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034" w:rsidRPr="00C7163E" w:rsidRDefault="007F3034" w:rsidP="007F30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C7163E">
        <w:rPr>
          <w:b/>
          <w:color w:val="000000"/>
          <w:lang w:val="en-GB"/>
        </w:rPr>
        <w:t>Second regular session 2016</w:t>
      </w:r>
    </w:p>
    <w:p w:rsidR="007F3034" w:rsidRPr="00C7163E" w:rsidRDefault="007F3034" w:rsidP="007F30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C7163E">
        <w:rPr>
          <w:color w:val="000000"/>
          <w:lang w:val="en-GB"/>
        </w:rPr>
        <w:t>6-9 and 13 September 2016, New York</w:t>
      </w:r>
    </w:p>
    <w:p w:rsidR="007F3034" w:rsidRPr="00C7163E" w:rsidRDefault="007329D0" w:rsidP="007F303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Pr>
          <w:color w:val="000000"/>
          <w:lang w:val="en-GB"/>
        </w:rPr>
        <w:t xml:space="preserve">Item </w:t>
      </w:r>
      <w:r w:rsidR="00E702BA">
        <w:rPr>
          <w:color w:val="000000"/>
          <w:lang w:val="en-GB"/>
        </w:rPr>
        <w:t>x</w:t>
      </w:r>
      <w:r w:rsidR="007F3034" w:rsidRPr="00C7163E">
        <w:rPr>
          <w:color w:val="000000"/>
          <w:lang w:val="en-GB"/>
        </w:rPr>
        <w:t xml:space="preserve"> of the provisional agenda</w:t>
      </w:r>
    </w:p>
    <w:p w:rsidR="007F3034" w:rsidRPr="00C7163E" w:rsidRDefault="007F3034" w:rsidP="007F3034">
      <w:pPr>
        <w:ind w:right="1260"/>
        <w:rPr>
          <w:b/>
          <w:color w:val="000000"/>
          <w:lang w:val="en-GB"/>
        </w:rPr>
      </w:pPr>
      <w:r w:rsidRPr="00C7163E">
        <w:rPr>
          <w:b/>
          <w:color w:val="000000"/>
          <w:lang w:val="en-GB"/>
        </w:rPr>
        <w:t>Country programmes and related matters</w:t>
      </w:r>
    </w:p>
    <w:p w:rsidR="007F3034" w:rsidRPr="00CA06FC" w:rsidRDefault="007F3034" w:rsidP="007F3034">
      <w:pPr>
        <w:pStyle w:val="SingleTxt"/>
        <w:spacing w:after="0" w:line="120" w:lineRule="exact"/>
        <w:rPr>
          <w:color w:val="000000"/>
          <w:sz w:val="10"/>
        </w:rPr>
      </w:pPr>
    </w:p>
    <w:p w:rsidR="007F3034" w:rsidRPr="002921ED" w:rsidRDefault="007F3034" w:rsidP="007F3034">
      <w:pPr>
        <w:pStyle w:val="SingleTxt"/>
        <w:spacing w:after="0" w:line="120" w:lineRule="exact"/>
        <w:rPr>
          <w:color w:val="000000"/>
          <w:sz w:val="10"/>
        </w:rPr>
      </w:pPr>
    </w:p>
    <w:p w:rsidR="007F3034" w:rsidRPr="002921ED" w:rsidRDefault="007F3034" w:rsidP="007F3034">
      <w:pPr>
        <w:pStyle w:val="SingleTxt"/>
        <w:spacing w:after="0" w:line="120" w:lineRule="exact"/>
        <w:rPr>
          <w:color w:val="000000"/>
          <w:sz w:val="10"/>
        </w:rPr>
      </w:pPr>
    </w:p>
    <w:p w:rsidR="007F3034" w:rsidRPr="002921ED" w:rsidRDefault="007F3034" w:rsidP="007F303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Theme="minorHAnsi" w:hAnsiTheme="minorHAnsi"/>
          <w:color w:val="000000"/>
        </w:rPr>
      </w:pPr>
    </w:p>
    <w:p w:rsidR="007F3034" w:rsidRPr="00524CDD" w:rsidRDefault="007F3034" w:rsidP="00C7163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color w:val="000000"/>
          <w:sz w:val="32"/>
          <w:szCs w:val="32"/>
        </w:rPr>
      </w:pPr>
      <w:r w:rsidRPr="00524CDD">
        <w:rPr>
          <w:color w:val="000000"/>
          <w:sz w:val="32"/>
          <w:szCs w:val="32"/>
        </w:rPr>
        <w:t>Draft country programme document for the Gambia</w:t>
      </w:r>
      <w:r w:rsidR="003A701A">
        <w:rPr>
          <w:color w:val="000000"/>
          <w:sz w:val="32"/>
          <w:szCs w:val="32"/>
        </w:rPr>
        <w:t xml:space="preserve"> (</w:t>
      </w:r>
      <w:r w:rsidR="00E310C8">
        <w:rPr>
          <w:color w:val="000000"/>
          <w:sz w:val="32"/>
          <w:szCs w:val="32"/>
        </w:rPr>
        <w:t>2017-2021</w:t>
      </w:r>
      <w:r w:rsidR="003A701A">
        <w:rPr>
          <w:color w:val="000000"/>
          <w:sz w:val="32"/>
          <w:szCs w:val="32"/>
        </w:rPr>
        <w:t>)</w:t>
      </w:r>
    </w:p>
    <w:p w:rsidR="007F3034" w:rsidRPr="00CA06FC" w:rsidRDefault="007F3034" w:rsidP="007F3034">
      <w:pPr>
        <w:rPr>
          <w:lang w:val="en-GB"/>
        </w:rPr>
      </w:pPr>
    </w:p>
    <w:p w:rsidR="007F3034" w:rsidRPr="00C7163E" w:rsidRDefault="007F3034" w:rsidP="007F3034">
      <w:pPr>
        <w:tabs>
          <w:tab w:val="left" w:pos="1620"/>
        </w:tabs>
        <w:rPr>
          <w:lang w:val="en-GB"/>
        </w:rPr>
      </w:pPr>
    </w:p>
    <w:p w:rsidR="007F3034" w:rsidRPr="00CA06FC" w:rsidRDefault="007F3034" w:rsidP="007F3034">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CA06FC">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7F3034" w:rsidRPr="00E92C03" w:rsidTr="00FE2C04">
        <w:tc>
          <w:tcPr>
            <w:tcW w:w="1060" w:type="dxa"/>
            <w:shd w:val="clear" w:color="auto" w:fill="auto"/>
          </w:tcPr>
          <w:p w:rsidR="007F3034" w:rsidRPr="002921ED" w:rsidRDefault="007F3034" w:rsidP="00FE2C04">
            <w:pPr>
              <w:tabs>
                <w:tab w:val="left" w:pos="1620"/>
              </w:tabs>
              <w:suppressAutoHyphens/>
              <w:spacing w:after="120"/>
              <w:jc w:val="right"/>
              <w:rPr>
                <w:i/>
                <w:spacing w:val="4"/>
                <w:w w:val="103"/>
                <w:kern w:val="14"/>
                <w:sz w:val="14"/>
                <w:lang w:val="en-GB"/>
              </w:rPr>
            </w:pPr>
          </w:p>
        </w:tc>
        <w:tc>
          <w:tcPr>
            <w:tcW w:w="8300" w:type="dxa"/>
            <w:shd w:val="clear" w:color="auto" w:fill="auto"/>
          </w:tcPr>
          <w:p w:rsidR="007F3034" w:rsidRPr="002921ED" w:rsidRDefault="007F3034" w:rsidP="00FE2C04">
            <w:pPr>
              <w:tabs>
                <w:tab w:val="left" w:pos="1620"/>
              </w:tabs>
              <w:suppressAutoHyphens/>
              <w:spacing w:after="120"/>
              <w:rPr>
                <w:i/>
                <w:spacing w:val="4"/>
                <w:w w:val="103"/>
                <w:kern w:val="14"/>
                <w:sz w:val="14"/>
                <w:lang w:val="en-GB"/>
              </w:rPr>
            </w:pPr>
          </w:p>
        </w:tc>
        <w:tc>
          <w:tcPr>
            <w:tcW w:w="542" w:type="dxa"/>
            <w:gridSpan w:val="2"/>
            <w:shd w:val="clear" w:color="auto" w:fill="auto"/>
          </w:tcPr>
          <w:p w:rsidR="007F3034" w:rsidRPr="002921ED" w:rsidRDefault="007F3034" w:rsidP="00FE2C04">
            <w:pPr>
              <w:tabs>
                <w:tab w:val="left" w:pos="1620"/>
              </w:tabs>
              <w:suppressAutoHyphens/>
              <w:spacing w:after="120"/>
              <w:jc w:val="right"/>
              <w:rPr>
                <w:i/>
                <w:spacing w:val="4"/>
                <w:w w:val="103"/>
                <w:kern w:val="14"/>
                <w:sz w:val="14"/>
                <w:lang w:val="en-GB"/>
              </w:rPr>
            </w:pPr>
            <w:r w:rsidRPr="002921ED">
              <w:rPr>
                <w:i/>
                <w:spacing w:val="4"/>
                <w:w w:val="103"/>
                <w:kern w:val="14"/>
                <w:sz w:val="14"/>
                <w:lang w:val="en-GB"/>
              </w:rPr>
              <w:t>Page</w:t>
            </w:r>
          </w:p>
        </w:tc>
      </w:tr>
      <w:tr w:rsidR="007F3034" w:rsidRPr="00E92C03" w:rsidTr="00FE2C04">
        <w:tc>
          <w:tcPr>
            <w:tcW w:w="9360" w:type="dxa"/>
            <w:gridSpan w:val="2"/>
            <w:shd w:val="clear" w:color="auto" w:fill="auto"/>
          </w:tcPr>
          <w:p w:rsidR="007F3034" w:rsidRPr="002921ED" w:rsidRDefault="007F3034" w:rsidP="007F3034">
            <w:pPr>
              <w:numPr>
                <w:ilvl w:val="0"/>
                <w:numId w:val="41"/>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CA06FC">
              <w:rPr>
                <w:spacing w:val="4"/>
                <w:w w:val="103"/>
                <w:kern w:val="14"/>
                <w:lang w:val="en-GB"/>
              </w:rPr>
              <w:tab/>
              <w:t>Programme rationale</w:t>
            </w:r>
            <w:r w:rsidRPr="00522402">
              <w:rPr>
                <w:spacing w:val="60"/>
                <w:w w:val="103"/>
                <w:kern w:val="14"/>
                <w:sz w:val="17"/>
                <w:lang w:val="en-GB"/>
              </w:rPr>
              <w:tab/>
            </w:r>
          </w:p>
        </w:tc>
        <w:tc>
          <w:tcPr>
            <w:tcW w:w="542" w:type="dxa"/>
            <w:gridSpan w:val="2"/>
            <w:vMerge w:val="restart"/>
            <w:shd w:val="clear" w:color="auto" w:fill="auto"/>
            <w:vAlign w:val="bottom"/>
          </w:tcPr>
          <w:p w:rsidR="007F3034" w:rsidRPr="002921ED" w:rsidRDefault="007F3034" w:rsidP="00FE2C04">
            <w:pPr>
              <w:tabs>
                <w:tab w:val="left" w:pos="1620"/>
              </w:tabs>
              <w:suppressAutoHyphens/>
              <w:spacing w:after="120" w:line="240" w:lineRule="exact"/>
              <w:jc w:val="right"/>
              <w:rPr>
                <w:spacing w:val="4"/>
                <w:w w:val="103"/>
                <w:kern w:val="14"/>
                <w:lang w:val="en-GB"/>
              </w:rPr>
            </w:pPr>
            <w:r w:rsidRPr="002921ED">
              <w:rPr>
                <w:spacing w:val="4"/>
                <w:w w:val="103"/>
                <w:kern w:val="14"/>
                <w:lang w:val="en-GB"/>
              </w:rPr>
              <w:t>2</w:t>
            </w:r>
          </w:p>
          <w:p w:rsidR="007F3034" w:rsidRPr="002921ED" w:rsidRDefault="00E92C03" w:rsidP="00FE2C04">
            <w:pPr>
              <w:tabs>
                <w:tab w:val="left" w:pos="1620"/>
              </w:tabs>
              <w:suppressAutoHyphens/>
              <w:spacing w:after="120" w:line="240" w:lineRule="exact"/>
              <w:jc w:val="right"/>
              <w:rPr>
                <w:spacing w:val="4"/>
                <w:w w:val="103"/>
                <w:kern w:val="14"/>
                <w:lang w:val="en-GB"/>
              </w:rPr>
            </w:pPr>
            <w:r w:rsidRPr="002921ED">
              <w:rPr>
                <w:spacing w:val="4"/>
                <w:w w:val="103"/>
                <w:kern w:val="14"/>
                <w:lang w:val="en-GB"/>
              </w:rPr>
              <w:t>4</w:t>
            </w:r>
          </w:p>
        </w:tc>
      </w:tr>
      <w:tr w:rsidR="007F3034" w:rsidRPr="00E92C03" w:rsidTr="00FE2C04">
        <w:tc>
          <w:tcPr>
            <w:tcW w:w="9360" w:type="dxa"/>
            <w:gridSpan w:val="2"/>
            <w:shd w:val="clear" w:color="auto" w:fill="auto"/>
          </w:tcPr>
          <w:p w:rsidR="007F3034" w:rsidRPr="002921ED" w:rsidRDefault="007F3034" w:rsidP="007F3034">
            <w:pPr>
              <w:numPr>
                <w:ilvl w:val="0"/>
                <w:numId w:val="41"/>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CA06FC">
              <w:rPr>
                <w:spacing w:val="4"/>
                <w:w w:val="103"/>
                <w:kern w:val="14"/>
                <w:lang w:val="en-GB"/>
              </w:rPr>
              <w:tab/>
              <w:t>Programm</w:t>
            </w:r>
            <w:r w:rsidRPr="00522402">
              <w:rPr>
                <w:spacing w:val="4"/>
                <w:w w:val="103"/>
                <w:kern w:val="14"/>
                <w:lang w:val="en-GB"/>
              </w:rPr>
              <w:t>e priorities and partnerships</w:t>
            </w:r>
            <w:r w:rsidRPr="002921ED">
              <w:rPr>
                <w:spacing w:val="60"/>
                <w:w w:val="103"/>
                <w:kern w:val="14"/>
                <w:sz w:val="17"/>
                <w:lang w:val="en-GB"/>
              </w:rPr>
              <w:tab/>
            </w:r>
          </w:p>
        </w:tc>
        <w:tc>
          <w:tcPr>
            <w:tcW w:w="542" w:type="dxa"/>
            <w:gridSpan w:val="2"/>
            <w:vMerge/>
            <w:shd w:val="clear" w:color="auto" w:fill="auto"/>
            <w:vAlign w:val="bottom"/>
          </w:tcPr>
          <w:p w:rsidR="007F3034" w:rsidRPr="002921ED" w:rsidRDefault="007F3034" w:rsidP="00FE2C04">
            <w:pPr>
              <w:tabs>
                <w:tab w:val="left" w:pos="1620"/>
              </w:tabs>
              <w:suppressAutoHyphens/>
              <w:spacing w:after="120" w:line="240" w:lineRule="exact"/>
              <w:jc w:val="right"/>
              <w:rPr>
                <w:spacing w:val="4"/>
                <w:w w:val="103"/>
                <w:kern w:val="14"/>
                <w:lang w:val="en-GB"/>
              </w:rPr>
            </w:pPr>
          </w:p>
        </w:tc>
      </w:tr>
      <w:tr w:rsidR="007F3034" w:rsidRPr="00E92C03" w:rsidTr="00FE2C04">
        <w:tc>
          <w:tcPr>
            <w:tcW w:w="9360" w:type="dxa"/>
            <w:gridSpan w:val="2"/>
            <w:shd w:val="clear" w:color="auto" w:fill="auto"/>
          </w:tcPr>
          <w:p w:rsidR="007F3034" w:rsidRPr="002921ED" w:rsidRDefault="007F3034" w:rsidP="007F3034">
            <w:pPr>
              <w:numPr>
                <w:ilvl w:val="0"/>
                <w:numId w:val="41"/>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CA06FC">
              <w:rPr>
                <w:spacing w:val="4"/>
                <w:w w:val="103"/>
                <w:kern w:val="14"/>
                <w:lang w:val="en-GB"/>
              </w:rPr>
              <w:tab/>
              <w:t>Programme and risk management</w:t>
            </w:r>
            <w:r w:rsidRPr="00522402">
              <w:rPr>
                <w:spacing w:val="60"/>
                <w:w w:val="103"/>
                <w:kern w:val="14"/>
                <w:sz w:val="17"/>
                <w:lang w:val="en-GB"/>
              </w:rPr>
              <w:tab/>
            </w:r>
          </w:p>
        </w:tc>
        <w:tc>
          <w:tcPr>
            <w:tcW w:w="542" w:type="dxa"/>
            <w:gridSpan w:val="2"/>
            <w:vMerge w:val="restart"/>
            <w:shd w:val="clear" w:color="auto" w:fill="auto"/>
            <w:vAlign w:val="bottom"/>
          </w:tcPr>
          <w:p w:rsidR="007F3034" w:rsidRPr="002921ED" w:rsidRDefault="00E92C03" w:rsidP="00FE2C04">
            <w:pPr>
              <w:tabs>
                <w:tab w:val="left" w:pos="1620"/>
              </w:tabs>
              <w:suppressAutoHyphens/>
              <w:spacing w:after="120" w:line="240" w:lineRule="exact"/>
              <w:jc w:val="right"/>
              <w:rPr>
                <w:spacing w:val="4"/>
                <w:w w:val="103"/>
                <w:kern w:val="14"/>
                <w:lang w:val="en-GB"/>
              </w:rPr>
            </w:pPr>
            <w:r w:rsidRPr="002921ED">
              <w:rPr>
                <w:spacing w:val="4"/>
                <w:w w:val="103"/>
                <w:kern w:val="14"/>
                <w:lang w:val="en-GB"/>
              </w:rPr>
              <w:t>6</w:t>
            </w:r>
          </w:p>
          <w:p w:rsidR="007F3034" w:rsidRPr="002921ED" w:rsidRDefault="00E92C03" w:rsidP="00FE2C04">
            <w:pPr>
              <w:tabs>
                <w:tab w:val="left" w:pos="1620"/>
              </w:tabs>
              <w:suppressAutoHyphens/>
              <w:spacing w:after="120" w:line="240" w:lineRule="exact"/>
              <w:jc w:val="right"/>
              <w:rPr>
                <w:spacing w:val="4"/>
                <w:w w:val="103"/>
                <w:kern w:val="14"/>
                <w:lang w:val="en-GB"/>
              </w:rPr>
            </w:pPr>
            <w:r w:rsidRPr="002921ED">
              <w:rPr>
                <w:spacing w:val="4"/>
                <w:w w:val="103"/>
                <w:kern w:val="14"/>
                <w:lang w:val="en-GB"/>
              </w:rPr>
              <w:t xml:space="preserve">7 </w:t>
            </w:r>
          </w:p>
        </w:tc>
      </w:tr>
      <w:tr w:rsidR="007F3034" w:rsidRPr="00E92C03" w:rsidTr="00FE2C04">
        <w:tc>
          <w:tcPr>
            <w:tcW w:w="9360" w:type="dxa"/>
            <w:gridSpan w:val="2"/>
            <w:shd w:val="clear" w:color="auto" w:fill="auto"/>
          </w:tcPr>
          <w:p w:rsidR="007F3034" w:rsidRPr="002921ED" w:rsidRDefault="007F3034" w:rsidP="007F3034">
            <w:pPr>
              <w:numPr>
                <w:ilvl w:val="0"/>
                <w:numId w:val="41"/>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CA06FC">
              <w:rPr>
                <w:spacing w:val="4"/>
                <w:w w:val="103"/>
                <w:kern w:val="14"/>
                <w:lang w:val="en-GB"/>
              </w:rPr>
              <w:tab/>
              <w:t>Monitoring and evaluation</w:t>
            </w:r>
            <w:r w:rsidRPr="00522402">
              <w:rPr>
                <w:spacing w:val="60"/>
                <w:w w:val="103"/>
                <w:kern w:val="14"/>
                <w:sz w:val="17"/>
                <w:lang w:val="en-GB"/>
              </w:rPr>
              <w:tab/>
            </w:r>
            <w:r w:rsidRPr="00522402">
              <w:rPr>
                <w:spacing w:val="60"/>
                <w:w w:val="103"/>
                <w:kern w:val="14"/>
                <w:sz w:val="17"/>
                <w:lang w:val="en-GB"/>
              </w:rPr>
              <w:tab/>
            </w:r>
          </w:p>
        </w:tc>
        <w:tc>
          <w:tcPr>
            <w:tcW w:w="542" w:type="dxa"/>
            <w:gridSpan w:val="2"/>
            <w:vMerge/>
            <w:shd w:val="clear" w:color="auto" w:fill="auto"/>
            <w:vAlign w:val="bottom"/>
          </w:tcPr>
          <w:p w:rsidR="007F3034" w:rsidRPr="002921ED" w:rsidRDefault="007F3034" w:rsidP="00FE2C04">
            <w:pPr>
              <w:tabs>
                <w:tab w:val="left" w:pos="1620"/>
              </w:tabs>
              <w:suppressAutoHyphens/>
              <w:spacing w:after="120" w:line="240" w:lineRule="exact"/>
              <w:jc w:val="right"/>
              <w:rPr>
                <w:spacing w:val="4"/>
                <w:w w:val="103"/>
                <w:kern w:val="14"/>
                <w:lang w:val="en-GB"/>
              </w:rPr>
            </w:pPr>
          </w:p>
        </w:tc>
      </w:tr>
      <w:tr w:rsidR="007F3034" w:rsidRPr="00E92C03" w:rsidTr="00FE2C04">
        <w:tc>
          <w:tcPr>
            <w:tcW w:w="9369" w:type="dxa"/>
            <w:gridSpan w:val="3"/>
            <w:shd w:val="clear" w:color="auto" w:fill="auto"/>
          </w:tcPr>
          <w:p w:rsidR="007F3034" w:rsidRPr="00CA06FC" w:rsidRDefault="007F3034" w:rsidP="00FE2C04">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CA06FC">
              <w:rPr>
                <w:spacing w:val="4"/>
                <w:w w:val="103"/>
                <w:kern w:val="14"/>
                <w:lang w:val="en-GB"/>
              </w:rPr>
              <w:t xml:space="preserve">     Annex</w:t>
            </w:r>
          </w:p>
        </w:tc>
        <w:tc>
          <w:tcPr>
            <w:tcW w:w="533" w:type="dxa"/>
            <w:shd w:val="clear" w:color="auto" w:fill="auto"/>
            <w:vAlign w:val="bottom"/>
          </w:tcPr>
          <w:p w:rsidR="007F3034" w:rsidRPr="002921ED" w:rsidRDefault="007F3034" w:rsidP="00FE2C04">
            <w:pPr>
              <w:tabs>
                <w:tab w:val="left" w:pos="1620"/>
              </w:tabs>
              <w:suppressAutoHyphens/>
              <w:spacing w:after="120" w:line="240" w:lineRule="exact"/>
              <w:jc w:val="right"/>
              <w:rPr>
                <w:spacing w:val="4"/>
                <w:w w:val="103"/>
                <w:kern w:val="14"/>
                <w:lang w:val="en-GB"/>
              </w:rPr>
            </w:pPr>
          </w:p>
        </w:tc>
      </w:tr>
      <w:tr w:rsidR="007F3034" w:rsidRPr="00E92C03" w:rsidTr="00FE2C04">
        <w:tc>
          <w:tcPr>
            <w:tcW w:w="9369" w:type="dxa"/>
            <w:gridSpan w:val="3"/>
            <w:shd w:val="clear" w:color="auto" w:fill="auto"/>
          </w:tcPr>
          <w:p w:rsidR="007F3034" w:rsidRPr="002921ED" w:rsidRDefault="007F3034" w:rsidP="004F009D">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CA06FC">
              <w:rPr>
                <w:spacing w:val="4"/>
                <w:w w:val="103"/>
                <w:kern w:val="14"/>
                <w:lang w:val="en-GB"/>
              </w:rPr>
              <w:t>Results and reso</w:t>
            </w:r>
            <w:r w:rsidR="007329D0">
              <w:rPr>
                <w:spacing w:val="4"/>
                <w:w w:val="103"/>
                <w:kern w:val="14"/>
                <w:lang w:val="en-GB"/>
              </w:rPr>
              <w:t>urces framework for the Gambia</w:t>
            </w:r>
            <w:r w:rsidR="00E310C8">
              <w:rPr>
                <w:spacing w:val="4"/>
                <w:w w:val="103"/>
                <w:kern w:val="14"/>
                <w:lang w:val="en-GB"/>
              </w:rPr>
              <w:t xml:space="preserve"> </w:t>
            </w:r>
            <w:r w:rsidR="007329D0">
              <w:rPr>
                <w:spacing w:val="4"/>
                <w:w w:val="103"/>
                <w:kern w:val="14"/>
                <w:lang w:val="en-GB"/>
              </w:rPr>
              <w:t>(</w:t>
            </w:r>
            <w:r w:rsidRPr="00CA06FC">
              <w:rPr>
                <w:spacing w:val="4"/>
                <w:w w:val="103"/>
                <w:kern w:val="14"/>
                <w:lang w:val="en-GB"/>
              </w:rPr>
              <w:t>2017-202</w:t>
            </w:r>
            <w:r w:rsidR="004F009D" w:rsidRPr="00522402">
              <w:rPr>
                <w:spacing w:val="4"/>
                <w:w w:val="103"/>
                <w:kern w:val="14"/>
                <w:lang w:val="en-GB"/>
              </w:rPr>
              <w:t>1</w:t>
            </w:r>
            <w:r w:rsidR="007329D0">
              <w:rPr>
                <w:spacing w:val="4"/>
                <w:w w:val="103"/>
                <w:kern w:val="14"/>
                <w:lang w:val="en-GB"/>
              </w:rPr>
              <w:t>)</w:t>
            </w:r>
            <w:r w:rsidRPr="002921ED">
              <w:rPr>
                <w:spacing w:val="60"/>
                <w:w w:val="103"/>
                <w:kern w:val="14"/>
                <w:sz w:val="17"/>
                <w:lang w:val="en-GB"/>
              </w:rPr>
              <w:tab/>
            </w:r>
          </w:p>
        </w:tc>
        <w:tc>
          <w:tcPr>
            <w:tcW w:w="533" w:type="dxa"/>
            <w:shd w:val="clear" w:color="auto" w:fill="auto"/>
            <w:vAlign w:val="bottom"/>
          </w:tcPr>
          <w:p w:rsidR="007F3034" w:rsidRPr="002921ED" w:rsidRDefault="007F3034" w:rsidP="00FE2C04">
            <w:pPr>
              <w:tabs>
                <w:tab w:val="left" w:pos="1620"/>
              </w:tabs>
              <w:suppressAutoHyphens/>
              <w:spacing w:after="120" w:line="240" w:lineRule="exact"/>
              <w:jc w:val="right"/>
              <w:rPr>
                <w:spacing w:val="4"/>
                <w:w w:val="103"/>
                <w:kern w:val="14"/>
                <w:lang w:val="en-GB"/>
              </w:rPr>
            </w:pPr>
            <w:r w:rsidRPr="002921ED">
              <w:rPr>
                <w:spacing w:val="4"/>
                <w:w w:val="103"/>
                <w:kern w:val="14"/>
                <w:lang w:val="en-GB"/>
              </w:rPr>
              <w:t>9</w:t>
            </w:r>
          </w:p>
        </w:tc>
      </w:tr>
    </w:tbl>
    <w:p w:rsidR="005D7D95" w:rsidRPr="00971930" w:rsidRDefault="005D7D95" w:rsidP="005D7D95">
      <w:pPr>
        <w:rPr>
          <w:lang w:val="en-GB"/>
        </w:rPr>
      </w:pPr>
    </w:p>
    <w:p w:rsidR="001278EA" w:rsidRPr="00971930" w:rsidRDefault="005D7D95" w:rsidP="001278EA">
      <w:pPr>
        <w:pStyle w:val="Heading2"/>
        <w:ind w:left="1530" w:right="1267" w:hanging="263"/>
        <w:jc w:val="both"/>
        <w:rPr>
          <w:rFonts w:ascii="Times New Roman" w:hAnsi="Times New Roman"/>
          <w:bCs/>
          <w:color w:val="000000"/>
          <w:sz w:val="24"/>
          <w:szCs w:val="24"/>
          <w:lang w:val="en-GB"/>
        </w:rPr>
      </w:pPr>
      <w:r w:rsidRPr="00971930">
        <w:rPr>
          <w:lang w:val="en-GB"/>
        </w:rPr>
        <w:br w:type="page"/>
      </w:r>
    </w:p>
    <w:p w:rsidR="00F6778E" w:rsidRPr="00971930" w:rsidRDefault="00F6778E" w:rsidP="005814B2">
      <w:pPr>
        <w:pStyle w:val="Heading2"/>
        <w:numPr>
          <w:ilvl w:val="0"/>
          <w:numId w:val="35"/>
        </w:numPr>
        <w:spacing w:after="120"/>
        <w:ind w:left="720" w:right="1264" w:hanging="540"/>
        <w:jc w:val="both"/>
        <w:rPr>
          <w:rFonts w:ascii="Times New Roman" w:hAnsi="Times New Roman"/>
          <w:bCs/>
          <w:color w:val="000000"/>
          <w:szCs w:val="28"/>
          <w:lang w:val="en-GB"/>
        </w:rPr>
      </w:pPr>
      <w:r w:rsidRPr="00971930">
        <w:rPr>
          <w:rFonts w:ascii="Times New Roman" w:hAnsi="Times New Roman"/>
          <w:bCs/>
          <w:color w:val="000000"/>
          <w:szCs w:val="28"/>
          <w:lang w:val="en-GB"/>
        </w:rPr>
        <w:lastRenderedPageBreak/>
        <w:t xml:space="preserve">Programme </w:t>
      </w:r>
      <w:r w:rsidR="006B38F4" w:rsidRPr="00971930">
        <w:rPr>
          <w:rFonts w:ascii="Times New Roman" w:hAnsi="Times New Roman"/>
          <w:bCs/>
          <w:color w:val="000000"/>
          <w:szCs w:val="28"/>
          <w:lang w:val="en-GB"/>
        </w:rPr>
        <w:t>r</w:t>
      </w:r>
      <w:r w:rsidRPr="00971930">
        <w:rPr>
          <w:rFonts w:ascii="Times New Roman" w:hAnsi="Times New Roman"/>
          <w:bCs/>
          <w:color w:val="000000"/>
          <w:szCs w:val="28"/>
          <w:lang w:val="en-GB"/>
        </w:rPr>
        <w:t xml:space="preserve">ationale </w:t>
      </w:r>
    </w:p>
    <w:p w:rsidR="00F6778E" w:rsidRPr="00C7163E" w:rsidRDefault="00D66746" w:rsidP="00410AA4">
      <w:pPr>
        <w:pStyle w:val="ListParagraph"/>
        <w:numPr>
          <w:ilvl w:val="0"/>
          <w:numId w:val="8"/>
        </w:numPr>
        <w:tabs>
          <w:tab w:val="left" w:pos="1080"/>
        </w:tabs>
        <w:spacing w:after="120"/>
        <w:ind w:left="720" w:right="811" w:firstLine="0"/>
        <w:contextualSpacing/>
        <w:jc w:val="both"/>
        <w:rPr>
          <w:color w:val="000000"/>
          <w:lang w:val="en-GB"/>
        </w:rPr>
      </w:pPr>
      <w:r w:rsidRPr="00971930">
        <w:rPr>
          <w:color w:val="000000"/>
          <w:lang w:val="en-GB"/>
        </w:rPr>
        <w:t>The Gambia has</w:t>
      </w:r>
      <w:r w:rsidR="00F6778E" w:rsidRPr="00971930">
        <w:rPr>
          <w:color w:val="000000"/>
          <w:lang w:val="en-GB"/>
        </w:rPr>
        <w:t xml:space="preserve"> enjoyed </w:t>
      </w:r>
      <w:r w:rsidR="00987674" w:rsidRPr="00971930">
        <w:rPr>
          <w:color w:val="000000"/>
          <w:lang w:val="en-GB"/>
        </w:rPr>
        <w:t xml:space="preserve">two decades of </w:t>
      </w:r>
      <w:r w:rsidR="00F6778E" w:rsidRPr="00C7163E">
        <w:rPr>
          <w:color w:val="000000"/>
          <w:lang w:val="en-GB"/>
        </w:rPr>
        <w:t xml:space="preserve">relative peace and </w:t>
      </w:r>
      <w:r w:rsidR="00F85D2E" w:rsidRPr="00C7163E">
        <w:rPr>
          <w:color w:val="000000"/>
          <w:lang w:val="en-GB"/>
        </w:rPr>
        <w:t xml:space="preserve">a </w:t>
      </w:r>
      <w:r w:rsidR="00F6778E" w:rsidRPr="00C7163E">
        <w:rPr>
          <w:color w:val="000000"/>
          <w:lang w:val="en-GB"/>
        </w:rPr>
        <w:t>stable political environment</w:t>
      </w:r>
      <w:r w:rsidR="005814B2" w:rsidRPr="00C7163E">
        <w:rPr>
          <w:color w:val="000000"/>
          <w:lang w:val="en-GB"/>
        </w:rPr>
        <w:t>,</w:t>
      </w:r>
      <w:r w:rsidR="00F6778E" w:rsidRPr="00C7163E">
        <w:rPr>
          <w:color w:val="000000"/>
          <w:lang w:val="en-GB"/>
        </w:rPr>
        <w:t xml:space="preserve"> despite two failed attempted coups</w:t>
      </w:r>
      <w:r w:rsidR="005814B2" w:rsidRPr="00C7163E">
        <w:rPr>
          <w:color w:val="000000"/>
          <w:lang w:val="en-GB"/>
        </w:rPr>
        <w:t>,</w:t>
      </w:r>
      <w:r w:rsidR="00F6778E" w:rsidRPr="00C7163E">
        <w:rPr>
          <w:color w:val="000000"/>
          <w:lang w:val="en-GB"/>
        </w:rPr>
        <w:t xml:space="preserve"> in 2006 and 2014. </w:t>
      </w:r>
      <w:r w:rsidR="00410AA4" w:rsidRPr="00C7163E">
        <w:rPr>
          <w:color w:val="000000"/>
          <w:lang w:val="en-GB"/>
        </w:rPr>
        <w:t xml:space="preserve">The </w:t>
      </w:r>
      <w:r w:rsidR="00F6778E" w:rsidRPr="00C7163E">
        <w:rPr>
          <w:color w:val="000000"/>
          <w:lang w:val="en-GB"/>
        </w:rPr>
        <w:t>Gambia Human Development Index value increased from 0.330 to 0.441</w:t>
      </w:r>
      <w:r w:rsidR="00410AA4" w:rsidRPr="00C7163E">
        <w:rPr>
          <w:color w:val="000000"/>
          <w:lang w:val="en-GB"/>
        </w:rPr>
        <w:t xml:space="preserve"> between 1990 and 2014</w:t>
      </w:r>
      <w:r w:rsidR="007526AE" w:rsidRPr="00C7163E">
        <w:rPr>
          <w:color w:val="000000"/>
          <w:lang w:val="en-GB"/>
        </w:rPr>
        <w:t>,</w:t>
      </w:r>
      <w:r w:rsidR="00F6778E" w:rsidRPr="00C7163E">
        <w:rPr>
          <w:rStyle w:val="FootnoteReference"/>
          <w:color w:val="000000"/>
          <w:lang w:val="en-GB"/>
        </w:rPr>
        <w:footnoteReference w:id="2"/>
      </w:r>
      <w:r w:rsidR="00F6778E" w:rsidRPr="00C7163E">
        <w:rPr>
          <w:color w:val="000000"/>
          <w:lang w:val="en-GB"/>
        </w:rPr>
        <w:t xml:space="preserve"> reflecting progress towards the achievement of the Millennium Development Goals</w:t>
      </w:r>
      <w:r w:rsidR="00987674" w:rsidRPr="00C7163E">
        <w:rPr>
          <w:color w:val="000000"/>
          <w:lang w:val="en-GB"/>
        </w:rPr>
        <w:t>, with</w:t>
      </w:r>
      <w:r w:rsidR="00F6778E" w:rsidRPr="00C7163E">
        <w:rPr>
          <w:color w:val="000000"/>
          <w:lang w:val="en-GB"/>
        </w:rPr>
        <w:t xml:space="preserve"> </w:t>
      </w:r>
      <w:r w:rsidR="00410AA4" w:rsidRPr="00C7163E">
        <w:rPr>
          <w:color w:val="000000"/>
          <w:lang w:val="en-GB"/>
        </w:rPr>
        <w:t>g</w:t>
      </w:r>
      <w:r w:rsidR="00987674" w:rsidRPr="00C7163E">
        <w:rPr>
          <w:color w:val="000000"/>
          <w:lang w:val="en-GB"/>
        </w:rPr>
        <w:t>oal 2</w:t>
      </w:r>
      <w:r w:rsidR="00987674" w:rsidRPr="00C7163E">
        <w:rPr>
          <w:rStyle w:val="FootnoteReference"/>
          <w:color w:val="000000"/>
          <w:lang w:val="en-GB"/>
        </w:rPr>
        <w:footnoteReference w:id="3"/>
      </w:r>
      <w:r w:rsidR="00987674" w:rsidRPr="00C7163E">
        <w:rPr>
          <w:color w:val="000000"/>
          <w:lang w:val="en-GB"/>
        </w:rPr>
        <w:t xml:space="preserve"> and </w:t>
      </w:r>
      <w:r w:rsidR="00410AA4" w:rsidRPr="00C7163E">
        <w:rPr>
          <w:color w:val="000000"/>
          <w:lang w:val="en-GB"/>
        </w:rPr>
        <w:t>g</w:t>
      </w:r>
      <w:r w:rsidR="00987674" w:rsidRPr="00C7163E">
        <w:rPr>
          <w:color w:val="000000"/>
          <w:lang w:val="en-GB"/>
        </w:rPr>
        <w:t>oal 4</w:t>
      </w:r>
      <w:r w:rsidR="00987674" w:rsidRPr="00C7163E">
        <w:rPr>
          <w:rStyle w:val="FootnoteReference"/>
          <w:color w:val="000000"/>
          <w:lang w:val="en-GB"/>
        </w:rPr>
        <w:footnoteReference w:id="4"/>
      </w:r>
      <w:r w:rsidR="00987674" w:rsidRPr="00C7163E">
        <w:rPr>
          <w:color w:val="000000"/>
          <w:lang w:val="en-GB"/>
        </w:rPr>
        <w:t xml:space="preserve"> </w:t>
      </w:r>
      <w:r w:rsidR="00F6778E" w:rsidRPr="00C7163E">
        <w:rPr>
          <w:color w:val="000000"/>
          <w:lang w:val="en-GB"/>
        </w:rPr>
        <w:t>achieved by 2015</w:t>
      </w:r>
      <w:r w:rsidR="00987674" w:rsidRPr="00C7163E">
        <w:rPr>
          <w:color w:val="000000"/>
          <w:lang w:val="en-GB"/>
        </w:rPr>
        <w:t>.</w:t>
      </w:r>
      <w:r w:rsidR="00F6778E" w:rsidRPr="00C7163E">
        <w:rPr>
          <w:color w:val="000000"/>
          <w:lang w:val="en-GB"/>
        </w:rPr>
        <w:t xml:space="preserve"> Its</w:t>
      </w:r>
      <w:r w:rsidR="00F85D2E" w:rsidRPr="00C7163E">
        <w:rPr>
          <w:color w:val="000000"/>
          <w:lang w:val="en-GB"/>
        </w:rPr>
        <w:t xml:space="preserve"> long-</w:t>
      </w:r>
      <w:r w:rsidR="00F6778E" w:rsidRPr="00C7163E">
        <w:rPr>
          <w:color w:val="000000"/>
          <w:lang w:val="en-GB"/>
        </w:rPr>
        <w:t>term ‘Vision 2020’</w:t>
      </w:r>
      <w:r w:rsidR="00410AA4" w:rsidRPr="00C7163E">
        <w:rPr>
          <w:color w:val="000000"/>
          <w:lang w:val="en-GB"/>
        </w:rPr>
        <w:t>,</w:t>
      </w:r>
      <w:r w:rsidR="00F6778E" w:rsidRPr="00C7163E">
        <w:rPr>
          <w:color w:val="000000"/>
          <w:lang w:val="en-GB"/>
        </w:rPr>
        <w:t xml:space="preserve"> developed in 1996, sets the goal of attaining middle</w:t>
      </w:r>
      <w:r w:rsidR="00410AA4" w:rsidRPr="00C7163E">
        <w:rPr>
          <w:color w:val="000000"/>
          <w:lang w:val="en-GB"/>
        </w:rPr>
        <w:t>-</w:t>
      </w:r>
      <w:r w:rsidR="00F6778E" w:rsidRPr="00C7163E">
        <w:rPr>
          <w:color w:val="000000"/>
          <w:lang w:val="en-GB"/>
        </w:rPr>
        <w:t>income status</w:t>
      </w:r>
      <w:r w:rsidR="00B54B9A" w:rsidRPr="00C7163E">
        <w:rPr>
          <w:color w:val="000000"/>
          <w:lang w:val="en-GB"/>
        </w:rPr>
        <w:t xml:space="preserve"> </w:t>
      </w:r>
      <w:r w:rsidR="00F6778E" w:rsidRPr="00C7163E">
        <w:rPr>
          <w:color w:val="000000"/>
          <w:lang w:val="en-GB"/>
        </w:rPr>
        <w:t xml:space="preserve">by 2020. </w:t>
      </w:r>
      <w:r w:rsidR="00C34750" w:rsidRPr="00C7163E">
        <w:rPr>
          <w:color w:val="000000"/>
          <w:lang w:val="en-GB"/>
        </w:rPr>
        <w:t>T</w:t>
      </w:r>
      <w:r w:rsidR="00F6778E" w:rsidRPr="00C7163E">
        <w:rPr>
          <w:color w:val="000000"/>
          <w:lang w:val="en-GB"/>
        </w:rPr>
        <w:t>h</w:t>
      </w:r>
      <w:r w:rsidR="00F85D2E" w:rsidRPr="00C7163E">
        <w:rPr>
          <w:color w:val="000000"/>
          <w:lang w:val="en-GB"/>
        </w:rPr>
        <w:t>ree medium-</w:t>
      </w:r>
      <w:r w:rsidR="00F6778E" w:rsidRPr="00C7163E">
        <w:rPr>
          <w:color w:val="000000"/>
          <w:lang w:val="en-GB"/>
        </w:rPr>
        <w:t>term development plans</w:t>
      </w:r>
      <w:r w:rsidR="00834D78" w:rsidRPr="00C7163E">
        <w:rPr>
          <w:rStyle w:val="FootnoteReference"/>
          <w:color w:val="000000"/>
          <w:lang w:val="en-GB"/>
        </w:rPr>
        <w:footnoteReference w:id="5"/>
      </w:r>
      <w:r w:rsidR="00F6778E" w:rsidRPr="00C7163E">
        <w:rPr>
          <w:color w:val="000000"/>
          <w:lang w:val="en-GB"/>
        </w:rPr>
        <w:t xml:space="preserve"> have not generated the growth required </w:t>
      </w:r>
      <w:r w:rsidR="00B54B9A" w:rsidRPr="00C7163E">
        <w:rPr>
          <w:color w:val="000000"/>
          <w:lang w:val="en-GB"/>
        </w:rPr>
        <w:t>for the</w:t>
      </w:r>
      <w:r w:rsidR="00F6778E" w:rsidRPr="00C7163E">
        <w:rPr>
          <w:color w:val="000000"/>
          <w:lang w:val="en-GB"/>
        </w:rPr>
        <w:t xml:space="preserve"> achieve</w:t>
      </w:r>
      <w:r w:rsidR="00B54B9A" w:rsidRPr="00C7163E">
        <w:rPr>
          <w:color w:val="000000"/>
          <w:lang w:val="en-GB"/>
        </w:rPr>
        <w:t>ment of</w:t>
      </w:r>
      <w:r w:rsidR="00F6778E" w:rsidRPr="00C7163E">
        <w:rPr>
          <w:color w:val="000000"/>
          <w:lang w:val="en-GB"/>
        </w:rPr>
        <w:t xml:space="preserve"> </w:t>
      </w:r>
      <w:r w:rsidR="00410AA4" w:rsidRPr="00C7163E">
        <w:rPr>
          <w:color w:val="000000"/>
          <w:lang w:val="en-GB"/>
        </w:rPr>
        <w:t xml:space="preserve">middle-income status, </w:t>
      </w:r>
      <w:r w:rsidR="00B54B9A" w:rsidRPr="00C7163E">
        <w:rPr>
          <w:color w:val="000000"/>
          <w:lang w:val="en-GB"/>
        </w:rPr>
        <w:t>as economic reforms are</w:t>
      </w:r>
      <w:r w:rsidR="00F6778E" w:rsidRPr="00C7163E">
        <w:rPr>
          <w:color w:val="000000"/>
          <w:lang w:val="en-GB"/>
        </w:rPr>
        <w:t xml:space="preserve"> </w:t>
      </w:r>
      <w:r w:rsidR="00314745">
        <w:rPr>
          <w:color w:val="000000"/>
          <w:lang w:val="en-GB"/>
        </w:rPr>
        <w:t>affected by policy slippages and other shocks</w:t>
      </w:r>
      <w:r w:rsidR="007526AE" w:rsidRPr="00C7163E">
        <w:rPr>
          <w:color w:val="000000"/>
          <w:lang w:val="en-GB"/>
        </w:rPr>
        <w:t>.</w:t>
      </w:r>
      <w:r w:rsidR="00BB17F5" w:rsidRPr="00C7163E">
        <w:rPr>
          <w:rStyle w:val="FootnoteReference"/>
          <w:color w:val="000000"/>
          <w:lang w:val="en-GB"/>
        </w:rPr>
        <w:footnoteReference w:id="6"/>
      </w:r>
      <w:r w:rsidR="007526AE" w:rsidRPr="00C7163E">
        <w:rPr>
          <w:color w:val="000000"/>
          <w:lang w:val="en-GB"/>
        </w:rPr>
        <w:t xml:space="preserve"> </w:t>
      </w:r>
      <w:r w:rsidR="006707AB" w:rsidRPr="00C7163E">
        <w:rPr>
          <w:color w:val="000000"/>
          <w:lang w:val="en-GB"/>
        </w:rPr>
        <w:t>The</w:t>
      </w:r>
      <w:r w:rsidR="00F6778E" w:rsidRPr="00C7163E">
        <w:rPr>
          <w:color w:val="000000"/>
          <w:lang w:val="en-GB"/>
        </w:rPr>
        <w:t xml:space="preserve"> successor plan being formulated </w:t>
      </w:r>
      <w:r w:rsidR="006707AB" w:rsidRPr="00C7163E">
        <w:rPr>
          <w:color w:val="000000"/>
          <w:lang w:val="en-GB"/>
        </w:rPr>
        <w:t>is</w:t>
      </w:r>
      <w:r w:rsidR="00F6778E" w:rsidRPr="00C7163E">
        <w:rPr>
          <w:color w:val="000000"/>
          <w:lang w:val="en-GB"/>
        </w:rPr>
        <w:t xml:space="preserve"> align</w:t>
      </w:r>
      <w:r w:rsidR="006707AB" w:rsidRPr="00C7163E">
        <w:rPr>
          <w:color w:val="000000"/>
          <w:lang w:val="en-GB"/>
        </w:rPr>
        <w:t>ed</w:t>
      </w:r>
      <w:r w:rsidR="00F6778E" w:rsidRPr="00C7163E">
        <w:rPr>
          <w:color w:val="000000"/>
          <w:lang w:val="en-GB"/>
        </w:rPr>
        <w:t xml:space="preserve"> to Vision 2020, the </w:t>
      </w:r>
      <w:r w:rsidR="00410AA4" w:rsidRPr="00C7163E">
        <w:rPr>
          <w:color w:val="000000"/>
          <w:lang w:val="en-GB"/>
        </w:rPr>
        <w:t>s</w:t>
      </w:r>
      <w:r w:rsidR="00F6778E" w:rsidRPr="00C7163E">
        <w:rPr>
          <w:color w:val="000000"/>
          <w:lang w:val="en-GB"/>
        </w:rPr>
        <w:t xml:space="preserve">ustainable </w:t>
      </w:r>
      <w:r w:rsidR="00410AA4" w:rsidRPr="00C7163E">
        <w:rPr>
          <w:color w:val="000000"/>
          <w:lang w:val="en-GB"/>
        </w:rPr>
        <w:t>d</w:t>
      </w:r>
      <w:r w:rsidR="00F6778E" w:rsidRPr="00C7163E">
        <w:rPr>
          <w:color w:val="000000"/>
          <w:lang w:val="en-GB"/>
        </w:rPr>
        <w:t xml:space="preserve">evelopment </w:t>
      </w:r>
      <w:r w:rsidR="00410AA4" w:rsidRPr="00C7163E">
        <w:rPr>
          <w:color w:val="000000"/>
          <w:lang w:val="en-GB"/>
        </w:rPr>
        <w:t>g</w:t>
      </w:r>
      <w:r w:rsidR="00F6778E" w:rsidRPr="00C7163E">
        <w:rPr>
          <w:color w:val="000000"/>
          <w:lang w:val="en-GB"/>
        </w:rPr>
        <w:t>oals</w:t>
      </w:r>
      <w:r w:rsidR="00410AA4" w:rsidRPr="00C7163E">
        <w:rPr>
          <w:color w:val="000000"/>
          <w:lang w:val="en-GB"/>
        </w:rPr>
        <w:t>,</w:t>
      </w:r>
      <w:r w:rsidR="00F6778E" w:rsidRPr="00C7163E">
        <w:rPr>
          <w:rStyle w:val="FootnoteReference"/>
          <w:color w:val="000000"/>
          <w:lang w:val="en-GB"/>
        </w:rPr>
        <w:footnoteReference w:id="7"/>
      </w:r>
      <w:r w:rsidR="00F6778E" w:rsidRPr="00C7163E">
        <w:rPr>
          <w:color w:val="000000"/>
          <w:lang w:val="en-GB"/>
        </w:rPr>
        <w:t xml:space="preserve"> and </w:t>
      </w:r>
      <w:r w:rsidR="00E92C03" w:rsidRPr="00CA06FC">
        <w:rPr>
          <w:color w:val="000000"/>
          <w:lang w:val="en-GB"/>
        </w:rPr>
        <w:t>‘</w:t>
      </w:r>
      <w:r w:rsidR="00F6778E" w:rsidRPr="00C7163E">
        <w:rPr>
          <w:color w:val="000000"/>
          <w:lang w:val="en-GB"/>
        </w:rPr>
        <w:t>Agenda</w:t>
      </w:r>
      <w:r w:rsidR="00E92C03" w:rsidRPr="00CA06FC">
        <w:rPr>
          <w:color w:val="000000"/>
          <w:lang w:val="en-GB"/>
        </w:rPr>
        <w:t xml:space="preserve"> 2063’</w:t>
      </w:r>
      <w:r w:rsidR="00410AA4" w:rsidRPr="00C7163E">
        <w:rPr>
          <w:color w:val="000000"/>
          <w:lang w:val="en-GB"/>
        </w:rPr>
        <w:t xml:space="preserve"> of the African Union</w:t>
      </w:r>
      <w:r w:rsidR="00F6778E" w:rsidRPr="00C7163E">
        <w:rPr>
          <w:color w:val="000000"/>
          <w:lang w:val="en-GB"/>
        </w:rPr>
        <w:t xml:space="preserve">. </w:t>
      </w:r>
    </w:p>
    <w:p w:rsidR="00F6778E" w:rsidRPr="00C7163E" w:rsidRDefault="00F6778E" w:rsidP="00410AA4">
      <w:pPr>
        <w:pStyle w:val="ListParagraph"/>
        <w:tabs>
          <w:tab w:val="left" w:pos="1080"/>
        </w:tabs>
        <w:spacing w:after="60"/>
        <w:ind w:right="811"/>
        <w:contextualSpacing/>
        <w:jc w:val="both"/>
        <w:rPr>
          <w:color w:val="000000"/>
          <w:sz w:val="12"/>
          <w:szCs w:val="12"/>
          <w:lang w:val="en-GB"/>
        </w:rPr>
      </w:pPr>
    </w:p>
    <w:p w:rsidR="00F6778E" w:rsidRPr="00CA06FC" w:rsidRDefault="00F6778E" w:rsidP="00410AA4">
      <w:pPr>
        <w:pStyle w:val="ListParagraph"/>
        <w:numPr>
          <w:ilvl w:val="0"/>
          <w:numId w:val="8"/>
        </w:numPr>
        <w:tabs>
          <w:tab w:val="left" w:pos="1080"/>
          <w:tab w:val="left" w:pos="1620"/>
        </w:tabs>
        <w:ind w:left="720" w:right="810" w:firstLine="0"/>
        <w:jc w:val="both"/>
        <w:rPr>
          <w:lang w:val="en-GB"/>
        </w:rPr>
      </w:pPr>
      <w:r w:rsidRPr="00C7163E">
        <w:rPr>
          <w:color w:val="000000"/>
          <w:lang w:val="en-GB"/>
        </w:rPr>
        <w:t>Poverty, inequality and exclusion are challenges in the Gambia due</w:t>
      </w:r>
      <w:r w:rsidR="00540772" w:rsidRPr="00C7163E">
        <w:rPr>
          <w:color w:val="000000"/>
          <w:lang w:val="en-GB"/>
        </w:rPr>
        <w:t xml:space="preserve"> to</w:t>
      </w:r>
      <w:r w:rsidR="005E6E64" w:rsidRPr="00C7163E">
        <w:rPr>
          <w:color w:val="000000"/>
          <w:lang w:val="en-GB"/>
        </w:rPr>
        <w:t>:</w:t>
      </w:r>
      <w:r w:rsidRPr="00C7163E">
        <w:rPr>
          <w:color w:val="000000"/>
          <w:lang w:val="en-GB"/>
        </w:rPr>
        <w:t xml:space="preserve"> </w:t>
      </w:r>
      <w:r w:rsidRPr="00C7163E">
        <w:rPr>
          <w:lang w:val="en-GB"/>
        </w:rPr>
        <w:t>limited productive natural resources</w:t>
      </w:r>
      <w:r w:rsidR="00540772" w:rsidRPr="00C7163E">
        <w:rPr>
          <w:lang w:val="en-GB"/>
        </w:rPr>
        <w:t>;</w:t>
      </w:r>
      <w:r w:rsidRPr="00C7163E">
        <w:rPr>
          <w:lang w:val="en-GB"/>
        </w:rPr>
        <w:t xml:space="preserve"> </w:t>
      </w:r>
      <w:r w:rsidR="00C34750" w:rsidRPr="00C7163E">
        <w:rPr>
          <w:lang w:val="en-GB"/>
        </w:rPr>
        <w:t xml:space="preserve">limited resilience capacities to climate change and external shocks; </w:t>
      </w:r>
      <w:r w:rsidR="005E6E64" w:rsidRPr="00C7163E">
        <w:rPr>
          <w:lang w:val="en-GB"/>
        </w:rPr>
        <w:t xml:space="preserve">disproportionate distribution of </w:t>
      </w:r>
      <w:r w:rsidR="00855743" w:rsidRPr="00C7163E">
        <w:rPr>
          <w:lang w:val="en-GB"/>
        </w:rPr>
        <w:t xml:space="preserve">growth </w:t>
      </w:r>
      <w:r w:rsidRPr="00C7163E">
        <w:rPr>
          <w:lang w:val="en-GB"/>
        </w:rPr>
        <w:t xml:space="preserve">benefits </w:t>
      </w:r>
      <w:r w:rsidR="00855743" w:rsidRPr="00C7163E">
        <w:rPr>
          <w:lang w:val="en-GB"/>
        </w:rPr>
        <w:t>between</w:t>
      </w:r>
      <w:r w:rsidRPr="00C7163E">
        <w:rPr>
          <w:lang w:val="en-GB"/>
        </w:rPr>
        <w:t xml:space="preserve"> urban </w:t>
      </w:r>
      <w:r w:rsidR="00855743" w:rsidRPr="00C7163E">
        <w:rPr>
          <w:lang w:val="en-GB"/>
        </w:rPr>
        <w:t>and rural areas</w:t>
      </w:r>
      <w:r w:rsidR="008865B4" w:rsidRPr="00C7163E">
        <w:rPr>
          <w:lang w:val="en-GB"/>
        </w:rPr>
        <w:t>;</w:t>
      </w:r>
      <w:r w:rsidR="008865B4" w:rsidRPr="00C7163E">
        <w:rPr>
          <w:rStyle w:val="FootnoteReference"/>
          <w:lang w:val="en-GB"/>
        </w:rPr>
        <w:footnoteReference w:id="8"/>
      </w:r>
      <w:r w:rsidRPr="00C7163E" w:rsidDel="00973FA6">
        <w:rPr>
          <w:color w:val="000000"/>
          <w:lang w:val="en-GB"/>
        </w:rPr>
        <w:t xml:space="preserve"> </w:t>
      </w:r>
      <w:r w:rsidRPr="00C7163E">
        <w:rPr>
          <w:color w:val="000000"/>
          <w:lang w:val="en-GB"/>
        </w:rPr>
        <w:t>limited employment opportunities for youth and women</w:t>
      </w:r>
      <w:r w:rsidR="00540772" w:rsidRPr="00C7163E">
        <w:rPr>
          <w:color w:val="000000"/>
          <w:lang w:val="en-GB"/>
        </w:rPr>
        <w:t>;</w:t>
      </w:r>
      <w:r w:rsidRPr="00C7163E">
        <w:rPr>
          <w:color w:val="000000"/>
          <w:lang w:val="en-GB"/>
        </w:rPr>
        <w:t xml:space="preserve"> restrict</w:t>
      </w:r>
      <w:r w:rsidR="00855743" w:rsidRPr="00C7163E">
        <w:rPr>
          <w:color w:val="000000"/>
          <w:lang w:val="en-GB"/>
        </w:rPr>
        <w:t>ive productive assets for women</w:t>
      </w:r>
      <w:r w:rsidR="002069BD" w:rsidRPr="00C7163E">
        <w:rPr>
          <w:color w:val="000000"/>
          <w:lang w:val="en-GB"/>
        </w:rPr>
        <w:t>;</w:t>
      </w:r>
      <w:r w:rsidR="002069BD" w:rsidRPr="00C7163E">
        <w:rPr>
          <w:rStyle w:val="FootnoteReference"/>
          <w:color w:val="000000"/>
          <w:lang w:val="en-GB"/>
        </w:rPr>
        <w:footnoteReference w:id="9"/>
      </w:r>
      <w:r w:rsidRPr="00C7163E">
        <w:rPr>
          <w:color w:val="000000"/>
          <w:lang w:val="en-GB"/>
        </w:rPr>
        <w:t xml:space="preserve"> limited institutional capacity for oversight; and </w:t>
      </w:r>
      <w:r w:rsidR="005E6E64" w:rsidRPr="00C7163E">
        <w:rPr>
          <w:color w:val="000000"/>
          <w:lang w:val="en-GB"/>
        </w:rPr>
        <w:t xml:space="preserve">absence of </w:t>
      </w:r>
      <w:r w:rsidRPr="00C7163E">
        <w:rPr>
          <w:color w:val="000000"/>
          <w:lang w:val="en-GB"/>
        </w:rPr>
        <w:t>state-supported welfare program</w:t>
      </w:r>
      <w:r w:rsidR="00E92C03" w:rsidRPr="00CA06FC">
        <w:rPr>
          <w:color w:val="000000"/>
          <w:lang w:val="en-GB"/>
        </w:rPr>
        <w:t>me</w:t>
      </w:r>
      <w:r w:rsidRPr="00C7163E">
        <w:rPr>
          <w:color w:val="000000"/>
          <w:lang w:val="en-GB"/>
        </w:rPr>
        <w:t>s and social safety</w:t>
      </w:r>
      <w:r w:rsidR="00410AA4" w:rsidRPr="00C7163E">
        <w:rPr>
          <w:color w:val="000000"/>
          <w:lang w:val="en-GB"/>
        </w:rPr>
        <w:t>-</w:t>
      </w:r>
      <w:r w:rsidRPr="00C7163E">
        <w:rPr>
          <w:color w:val="000000"/>
          <w:lang w:val="en-GB"/>
        </w:rPr>
        <w:t xml:space="preserve">nets. </w:t>
      </w:r>
    </w:p>
    <w:p w:rsidR="00F6778E" w:rsidRPr="00C7163E" w:rsidRDefault="00F6778E" w:rsidP="00410AA4">
      <w:pPr>
        <w:pStyle w:val="ListParagraph"/>
        <w:tabs>
          <w:tab w:val="left" w:pos="1080"/>
        </w:tabs>
        <w:rPr>
          <w:color w:val="000000"/>
          <w:sz w:val="12"/>
          <w:szCs w:val="12"/>
          <w:lang w:val="en-GB"/>
        </w:rPr>
      </w:pPr>
    </w:p>
    <w:p w:rsidR="00F6778E" w:rsidRPr="00C7163E" w:rsidRDefault="00410AA4" w:rsidP="00410AA4">
      <w:pPr>
        <w:pStyle w:val="ListParagraph"/>
        <w:numPr>
          <w:ilvl w:val="0"/>
          <w:numId w:val="8"/>
        </w:numPr>
        <w:tabs>
          <w:tab w:val="left" w:pos="1080"/>
        </w:tabs>
        <w:ind w:left="720" w:right="810" w:firstLine="0"/>
        <w:contextualSpacing/>
        <w:jc w:val="both"/>
        <w:rPr>
          <w:lang w:val="en-GB"/>
        </w:rPr>
      </w:pPr>
      <w:r w:rsidRPr="00C7163E">
        <w:rPr>
          <w:color w:val="000000"/>
          <w:lang w:val="en-GB"/>
        </w:rPr>
        <w:t>A p</w:t>
      </w:r>
      <w:r w:rsidR="00F6778E" w:rsidRPr="00C7163E">
        <w:rPr>
          <w:color w:val="000000"/>
          <w:lang w:val="en-GB"/>
        </w:rPr>
        <w:t xml:space="preserve">overty headcount in 2010 indicated </w:t>
      </w:r>
      <w:r w:rsidRPr="00C7163E">
        <w:rPr>
          <w:color w:val="000000"/>
          <w:lang w:val="en-GB"/>
        </w:rPr>
        <w:t xml:space="preserve">that </w:t>
      </w:r>
      <w:r w:rsidR="00F6778E" w:rsidRPr="00C7163E">
        <w:rPr>
          <w:color w:val="000000"/>
          <w:lang w:val="en-GB"/>
        </w:rPr>
        <w:t>48.4</w:t>
      </w:r>
      <w:r w:rsidRPr="00C7163E">
        <w:rPr>
          <w:color w:val="000000"/>
          <w:lang w:val="en-GB"/>
        </w:rPr>
        <w:t xml:space="preserve"> per cent</w:t>
      </w:r>
      <w:r w:rsidR="00F6778E" w:rsidRPr="00C7163E">
        <w:rPr>
          <w:color w:val="000000"/>
          <w:lang w:val="en-GB"/>
        </w:rPr>
        <w:t xml:space="preserve"> of </w:t>
      </w:r>
      <w:r w:rsidR="00D66746" w:rsidRPr="00C7163E">
        <w:rPr>
          <w:color w:val="000000"/>
          <w:lang w:val="en-GB"/>
        </w:rPr>
        <w:t xml:space="preserve">the </w:t>
      </w:r>
      <w:r w:rsidR="00F6778E" w:rsidRPr="00C7163E">
        <w:rPr>
          <w:color w:val="000000"/>
          <w:lang w:val="en-GB"/>
        </w:rPr>
        <w:t xml:space="preserve">population </w:t>
      </w:r>
      <w:r w:rsidRPr="00C7163E">
        <w:rPr>
          <w:color w:val="000000"/>
          <w:lang w:val="en-GB"/>
        </w:rPr>
        <w:t xml:space="preserve">lived </w:t>
      </w:r>
      <w:r w:rsidR="00F6778E" w:rsidRPr="00C7163E">
        <w:rPr>
          <w:color w:val="000000"/>
          <w:lang w:val="en-GB"/>
        </w:rPr>
        <w:t xml:space="preserve">below </w:t>
      </w:r>
      <w:r w:rsidRPr="00C7163E">
        <w:rPr>
          <w:color w:val="000000"/>
          <w:lang w:val="en-GB"/>
        </w:rPr>
        <w:t xml:space="preserve">the </w:t>
      </w:r>
      <w:r w:rsidR="00F6778E" w:rsidRPr="00C7163E">
        <w:rPr>
          <w:color w:val="000000"/>
          <w:lang w:val="en-GB"/>
        </w:rPr>
        <w:t>poverty line of $1.25 per day</w:t>
      </w:r>
      <w:r w:rsidR="007526AE" w:rsidRPr="00C7163E">
        <w:rPr>
          <w:color w:val="000000"/>
          <w:lang w:val="en-GB"/>
        </w:rPr>
        <w:t>.</w:t>
      </w:r>
      <w:r w:rsidR="00F6778E" w:rsidRPr="00C7163E">
        <w:rPr>
          <w:rStyle w:val="FootnoteReference"/>
          <w:color w:val="000000"/>
          <w:lang w:val="en-GB"/>
        </w:rPr>
        <w:footnoteReference w:id="10"/>
      </w:r>
      <w:r w:rsidR="00F6778E" w:rsidRPr="00C7163E">
        <w:rPr>
          <w:color w:val="000000"/>
          <w:lang w:val="en-GB"/>
        </w:rPr>
        <w:t xml:space="preserve"> The </w:t>
      </w:r>
      <w:r w:rsidR="0017015E" w:rsidRPr="00C7163E">
        <w:rPr>
          <w:color w:val="000000"/>
          <w:lang w:val="en-GB"/>
        </w:rPr>
        <w:t>m</w:t>
      </w:r>
      <w:r w:rsidR="00F6778E" w:rsidRPr="00C7163E">
        <w:rPr>
          <w:color w:val="000000"/>
          <w:lang w:val="en-GB"/>
        </w:rPr>
        <w:t xml:space="preserve">ultidimensional </w:t>
      </w:r>
      <w:r w:rsidR="0017015E" w:rsidRPr="00C7163E">
        <w:rPr>
          <w:color w:val="000000"/>
          <w:lang w:val="en-GB"/>
        </w:rPr>
        <w:t>p</w:t>
      </w:r>
      <w:r w:rsidR="00F6778E" w:rsidRPr="00C7163E">
        <w:rPr>
          <w:color w:val="000000"/>
          <w:lang w:val="en-GB"/>
        </w:rPr>
        <w:t xml:space="preserve">overty </w:t>
      </w:r>
      <w:r w:rsidR="0017015E" w:rsidRPr="00C7163E">
        <w:rPr>
          <w:color w:val="000000"/>
          <w:lang w:val="en-GB"/>
        </w:rPr>
        <w:t>i</w:t>
      </w:r>
      <w:r w:rsidR="00F6778E" w:rsidRPr="00C7163E">
        <w:rPr>
          <w:color w:val="000000"/>
          <w:lang w:val="en-GB"/>
        </w:rPr>
        <w:t>ndex</w:t>
      </w:r>
      <w:r w:rsidR="0017015E" w:rsidRPr="00C7163E">
        <w:rPr>
          <w:color w:val="000000"/>
          <w:lang w:val="en-GB"/>
        </w:rPr>
        <w:t>, 2013,</w:t>
      </w:r>
      <w:r w:rsidR="00F6778E" w:rsidRPr="00C7163E">
        <w:rPr>
          <w:color w:val="000000"/>
          <w:lang w:val="en-GB"/>
        </w:rPr>
        <w:t xml:space="preserve"> </w:t>
      </w:r>
      <w:r w:rsidR="00677BF5" w:rsidRPr="00C7163E">
        <w:rPr>
          <w:color w:val="000000"/>
          <w:lang w:val="en-GB"/>
        </w:rPr>
        <w:t xml:space="preserve">shows </w:t>
      </w:r>
      <w:r w:rsidR="0017015E" w:rsidRPr="00C7163E">
        <w:rPr>
          <w:color w:val="000000"/>
          <w:lang w:val="en-GB"/>
        </w:rPr>
        <w:t xml:space="preserve">that </w:t>
      </w:r>
      <w:r w:rsidR="00677BF5" w:rsidRPr="00C7163E">
        <w:rPr>
          <w:color w:val="000000"/>
          <w:lang w:val="en-GB"/>
        </w:rPr>
        <w:t>57.2</w:t>
      </w:r>
      <w:r w:rsidRPr="00C7163E">
        <w:rPr>
          <w:color w:val="000000"/>
          <w:lang w:val="en-GB"/>
        </w:rPr>
        <w:t xml:space="preserve"> per cent</w:t>
      </w:r>
      <w:r w:rsidR="00677BF5" w:rsidRPr="00C7163E">
        <w:rPr>
          <w:color w:val="000000"/>
          <w:lang w:val="en-GB"/>
        </w:rPr>
        <w:t xml:space="preserve"> of </w:t>
      </w:r>
      <w:r w:rsidR="0017015E" w:rsidRPr="00C7163E">
        <w:rPr>
          <w:color w:val="000000"/>
          <w:lang w:val="en-GB"/>
        </w:rPr>
        <w:t>people are</w:t>
      </w:r>
      <w:r w:rsidR="00F6778E" w:rsidRPr="00C7163E">
        <w:rPr>
          <w:color w:val="000000"/>
          <w:lang w:val="en-GB"/>
        </w:rPr>
        <w:t xml:space="preserve"> poor</w:t>
      </w:r>
      <w:r w:rsidR="00F6778E" w:rsidRPr="00C7163E">
        <w:rPr>
          <w:rStyle w:val="FootnoteReference"/>
          <w:color w:val="000000"/>
          <w:lang w:val="en-GB"/>
        </w:rPr>
        <w:footnoteReference w:id="11"/>
      </w:r>
      <w:r w:rsidR="00F6778E" w:rsidRPr="00C7163E">
        <w:rPr>
          <w:color w:val="000000"/>
          <w:lang w:val="en-GB"/>
        </w:rPr>
        <w:t xml:space="preserve"> while an additional 21.3</w:t>
      </w:r>
      <w:r w:rsidRPr="00C7163E">
        <w:rPr>
          <w:color w:val="000000"/>
          <w:lang w:val="en-GB"/>
        </w:rPr>
        <w:t xml:space="preserve"> per cent</w:t>
      </w:r>
      <w:r w:rsidR="00F6778E" w:rsidRPr="00C7163E">
        <w:rPr>
          <w:color w:val="000000"/>
          <w:lang w:val="en-GB"/>
        </w:rPr>
        <w:t xml:space="preserve"> live near multidimensional poverty</w:t>
      </w:r>
      <w:r w:rsidR="00664DA6" w:rsidRPr="00C7163E">
        <w:rPr>
          <w:color w:val="000000"/>
          <w:lang w:val="en-GB"/>
        </w:rPr>
        <w:t xml:space="preserve">, with </w:t>
      </w:r>
      <w:r w:rsidR="00F6778E" w:rsidRPr="00C7163E">
        <w:rPr>
          <w:color w:val="000000"/>
          <w:lang w:val="en-GB"/>
        </w:rPr>
        <w:t xml:space="preserve">marked </w:t>
      </w:r>
      <w:r w:rsidR="00F6778E" w:rsidRPr="00C7163E">
        <w:rPr>
          <w:lang w:val="en-GB"/>
        </w:rPr>
        <w:t>disparities and inequalities among regions</w:t>
      </w:r>
      <w:r w:rsidR="00F6778E" w:rsidRPr="00C7163E">
        <w:rPr>
          <w:rStyle w:val="FootnoteReference"/>
          <w:lang w:val="en-GB"/>
        </w:rPr>
        <w:footnoteReference w:id="12"/>
      </w:r>
      <w:r w:rsidR="00F6778E" w:rsidRPr="00C7163E">
        <w:rPr>
          <w:lang w:val="en-GB"/>
        </w:rPr>
        <w:t xml:space="preserve"> and gender</w:t>
      </w:r>
      <w:r w:rsidR="0017015E" w:rsidRPr="00C7163E">
        <w:rPr>
          <w:lang w:val="en-GB"/>
        </w:rPr>
        <w:t>s</w:t>
      </w:r>
      <w:r w:rsidR="00F6778E" w:rsidRPr="00C7163E">
        <w:rPr>
          <w:lang w:val="en-GB"/>
        </w:rPr>
        <w:t xml:space="preserve">. </w:t>
      </w:r>
      <w:r w:rsidR="00F6778E" w:rsidRPr="00C7163E">
        <w:rPr>
          <w:color w:val="000000"/>
          <w:lang w:val="en-GB"/>
        </w:rPr>
        <w:t>Over 79.5</w:t>
      </w:r>
      <w:r w:rsidRPr="00C7163E">
        <w:rPr>
          <w:color w:val="000000"/>
          <w:lang w:val="en-GB"/>
        </w:rPr>
        <w:t xml:space="preserve"> per cent</w:t>
      </w:r>
      <w:r w:rsidR="00F6778E" w:rsidRPr="00C7163E">
        <w:rPr>
          <w:color w:val="000000"/>
          <w:lang w:val="en-GB"/>
        </w:rPr>
        <w:t xml:space="preserve"> of the rural population</w:t>
      </w:r>
      <w:r w:rsidR="00B26C2D" w:rsidRPr="00CA06FC">
        <w:rPr>
          <w:color w:val="000000"/>
          <w:lang w:val="en-GB"/>
        </w:rPr>
        <w:t xml:space="preserve"> </w:t>
      </w:r>
      <w:r w:rsidR="00F6778E" w:rsidRPr="00C7163E">
        <w:rPr>
          <w:color w:val="000000"/>
          <w:lang w:val="en-GB"/>
        </w:rPr>
        <w:t>lives below the poverty line</w:t>
      </w:r>
      <w:r w:rsidR="0017015E" w:rsidRPr="00C7163E">
        <w:rPr>
          <w:color w:val="000000"/>
          <w:lang w:val="en-GB"/>
        </w:rPr>
        <w:t>,</w:t>
      </w:r>
      <w:r w:rsidR="00F6778E" w:rsidRPr="00C7163E">
        <w:rPr>
          <w:color w:val="000000"/>
          <w:lang w:val="en-GB"/>
        </w:rPr>
        <w:t xml:space="preserve"> </w:t>
      </w:r>
      <w:r w:rsidR="00677BF5" w:rsidRPr="00C7163E">
        <w:rPr>
          <w:color w:val="000000"/>
          <w:lang w:val="en-GB"/>
        </w:rPr>
        <w:t xml:space="preserve">against </w:t>
      </w:r>
      <w:r w:rsidR="00F6778E" w:rsidRPr="00C7163E">
        <w:rPr>
          <w:color w:val="000000"/>
          <w:lang w:val="en-GB"/>
        </w:rPr>
        <w:t>29.4</w:t>
      </w:r>
      <w:r w:rsidRPr="00C7163E">
        <w:rPr>
          <w:color w:val="000000"/>
          <w:lang w:val="en-GB"/>
        </w:rPr>
        <w:t xml:space="preserve"> per cent</w:t>
      </w:r>
      <w:r w:rsidR="00F6778E" w:rsidRPr="00C7163E">
        <w:rPr>
          <w:color w:val="000000"/>
          <w:lang w:val="en-GB"/>
        </w:rPr>
        <w:t xml:space="preserve"> for urban population. Inequality, as measured by the Gini coefficient, remains high, at 0.46 in 2010</w:t>
      </w:r>
      <w:r w:rsidR="0017015E" w:rsidRPr="00C7163E">
        <w:rPr>
          <w:color w:val="000000"/>
          <w:lang w:val="en-GB"/>
        </w:rPr>
        <w:t>,</w:t>
      </w:r>
      <w:r w:rsidR="00F6778E" w:rsidRPr="00C7163E">
        <w:rPr>
          <w:rStyle w:val="FootnoteReference"/>
          <w:color w:val="000000"/>
          <w:lang w:val="en-GB"/>
        </w:rPr>
        <w:footnoteReference w:id="13"/>
      </w:r>
      <w:r w:rsidR="00F6778E" w:rsidRPr="00C7163E">
        <w:rPr>
          <w:color w:val="000000"/>
          <w:lang w:val="en-GB"/>
        </w:rPr>
        <w:t xml:space="preserve"> and un</w:t>
      </w:r>
      <w:r w:rsidR="00F6778E" w:rsidRPr="00C7163E">
        <w:rPr>
          <w:lang w:val="en-GB"/>
        </w:rPr>
        <w:t xml:space="preserve">changed due to limited comprehensive social protection programmes to address inequality. </w:t>
      </w:r>
      <w:r w:rsidR="00F6778E" w:rsidRPr="00C7163E">
        <w:rPr>
          <w:color w:val="000000"/>
          <w:lang w:val="en-GB"/>
        </w:rPr>
        <w:t>Growth averaged 1.8</w:t>
      </w:r>
      <w:r w:rsidRPr="00C7163E">
        <w:rPr>
          <w:color w:val="000000"/>
          <w:lang w:val="en-GB"/>
        </w:rPr>
        <w:t xml:space="preserve"> per cent</w:t>
      </w:r>
      <w:r w:rsidR="00F6778E" w:rsidRPr="00C7163E">
        <w:rPr>
          <w:color w:val="000000"/>
          <w:lang w:val="en-GB"/>
        </w:rPr>
        <w:t xml:space="preserve"> over the last five years</w:t>
      </w:r>
      <w:r w:rsidR="007526AE" w:rsidRPr="00C7163E">
        <w:rPr>
          <w:color w:val="000000"/>
          <w:lang w:val="en-GB"/>
        </w:rPr>
        <w:t>,</w:t>
      </w:r>
      <w:r w:rsidR="00FD6D1F" w:rsidRPr="00C7163E">
        <w:rPr>
          <w:rStyle w:val="FootnoteReference"/>
          <w:color w:val="000000"/>
          <w:lang w:val="en-GB"/>
        </w:rPr>
        <w:footnoteReference w:id="14"/>
      </w:r>
      <w:r w:rsidR="00C34750" w:rsidRPr="00C7163E">
        <w:rPr>
          <w:color w:val="000000"/>
          <w:lang w:val="en-GB"/>
        </w:rPr>
        <w:t xml:space="preserve"> </w:t>
      </w:r>
      <w:r w:rsidR="00F6778E" w:rsidRPr="00C7163E">
        <w:rPr>
          <w:color w:val="000000"/>
          <w:lang w:val="en-GB"/>
        </w:rPr>
        <w:t xml:space="preserve">while </w:t>
      </w:r>
      <w:r w:rsidR="00710E70">
        <w:rPr>
          <w:color w:val="000000"/>
          <w:lang w:val="en-GB"/>
        </w:rPr>
        <w:t xml:space="preserve">the </w:t>
      </w:r>
      <w:r w:rsidR="00F6778E" w:rsidRPr="00C7163E">
        <w:rPr>
          <w:color w:val="000000"/>
          <w:lang w:val="en-GB"/>
        </w:rPr>
        <w:t xml:space="preserve">unemployment rate </w:t>
      </w:r>
      <w:r w:rsidR="00523329">
        <w:rPr>
          <w:color w:val="000000"/>
          <w:lang w:val="en-GB"/>
        </w:rPr>
        <w:t>w</w:t>
      </w:r>
      <w:r w:rsidR="00710E70">
        <w:rPr>
          <w:color w:val="000000"/>
          <w:lang w:val="en-GB"/>
        </w:rPr>
        <w:t>as</w:t>
      </w:r>
      <w:r w:rsidR="00F6778E" w:rsidRPr="00C7163E">
        <w:rPr>
          <w:color w:val="000000"/>
          <w:lang w:val="en-GB"/>
        </w:rPr>
        <w:t xml:space="preserve"> 29.2</w:t>
      </w:r>
      <w:r w:rsidRPr="00C7163E">
        <w:rPr>
          <w:color w:val="000000"/>
          <w:lang w:val="en-GB"/>
        </w:rPr>
        <w:t xml:space="preserve"> per cent</w:t>
      </w:r>
      <w:r w:rsidR="0017015E" w:rsidRPr="00C7163E">
        <w:rPr>
          <w:color w:val="000000"/>
          <w:lang w:val="en-GB"/>
        </w:rPr>
        <w:t>,</w:t>
      </w:r>
      <w:r w:rsidR="00F6778E" w:rsidRPr="00C7163E">
        <w:rPr>
          <w:color w:val="000000"/>
          <w:lang w:val="en-GB"/>
        </w:rPr>
        <w:t xml:space="preserve"> with women (38.3</w:t>
      </w:r>
      <w:r w:rsidR="0017015E" w:rsidRPr="00C7163E">
        <w:rPr>
          <w:color w:val="000000"/>
          <w:lang w:val="en-GB"/>
        </w:rPr>
        <w:t> per </w:t>
      </w:r>
      <w:r w:rsidRPr="00C7163E">
        <w:rPr>
          <w:color w:val="000000"/>
          <w:lang w:val="en-GB"/>
        </w:rPr>
        <w:t>cent</w:t>
      </w:r>
      <w:r w:rsidR="00F6778E" w:rsidRPr="00C7163E">
        <w:rPr>
          <w:color w:val="000000"/>
          <w:lang w:val="en-GB"/>
        </w:rPr>
        <w:t>) and youth (38</w:t>
      </w:r>
      <w:r w:rsidRPr="00C7163E">
        <w:rPr>
          <w:color w:val="000000"/>
          <w:lang w:val="en-GB"/>
        </w:rPr>
        <w:t xml:space="preserve"> per cent</w:t>
      </w:r>
      <w:r w:rsidR="00F6778E" w:rsidRPr="00C7163E">
        <w:rPr>
          <w:color w:val="000000"/>
          <w:lang w:val="en-GB"/>
        </w:rPr>
        <w:t>) affected disproportionately</w:t>
      </w:r>
      <w:r w:rsidR="007526AE" w:rsidRPr="00C7163E">
        <w:rPr>
          <w:color w:val="000000"/>
          <w:lang w:val="en-GB"/>
        </w:rPr>
        <w:t>.</w:t>
      </w:r>
      <w:r w:rsidR="00FD6D1F" w:rsidRPr="00C7163E">
        <w:rPr>
          <w:rStyle w:val="FootnoteReference"/>
          <w:color w:val="000000"/>
          <w:lang w:val="en-GB"/>
        </w:rPr>
        <w:footnoteReference w:id="15"/>
      </w:r>
      <w:r w:rsidR="00F6778E" w:rsidRPr="00CA06FC">
        <w:rPr>
          <w:lang w:val="en-GB"/>
        </w:rPr>
        <w:t xml:space="preserve"> Low productivity across sectors is due to </w:t>
      </w:r>
      <w:r w:rsidR="0017015E" w:rsidRPr="00522402">
        <w:rPr>
          <w:lang w:val="en-GB"/>
        </w:rPr>
        <w:t xml:space="preserve">the </w:t>
      </w:r>
      <w:r w:rsidR="00F6778E" w:rsidRPr="002921ED">
        <w:rPr>
          <w:lang w:val="en-GB"/>
        </w:rPr>
        <w:t>high illiteracy rate (48</w:t>
      </w:r>
      <w:r w:rsidRPr="002921ED">
        <w:rPr>
          <w:lang w:val="en-GB"/>
        </w:rPr>
        <w:t xml:space="preserve"> per cent</w:t>
      </w:r>
      <w:r w:rsidR="00F6778E" w:rsidRPr="002921ED">
        <w:rPr>
          <w:lang w:val="en-GB"/>
        </w:rPr>
        <w:t>) and limited professional skills</w:t>
      </w:r>
      <w:r w:rsidR="007526AE" w:rsidRPr="002921ED">
        <w:rPr>
          <w:lang w:val="en-GB"/>
        </w:rPr>
        <w:t>,</w:t>
      </w:r>
      <w:r w:rsidR="00F6778E" w:rsidRPr="002921ED">
        <w:rPr>
          <w:rStyle w:val="FootnoteReference"/>
          <w:lang w:val="en-GB"/>
        </w:rPr>
        <w:footnoteReference w:id="16"/>
      </w:r>
      <w:r w:rsidR="00F6778E" w:rsidRPr="002921ED">
        <w:rPr>
          <w:lang w:val="en-GB"/>
        </w:rPr>
        <w:t xml:space="preserve"> </w:t>
      </w:r>
      <w:r w:rsidR="00C34750" w:rsidRPr="002921ED">
        <w:rPr>
          <w:lang w:val="en-GB"/>
        </w:rPr>
        <w:t>result</w:t>
      </w:r>
      <w:r w:rsidR="007823D8" w:rsidRPr="002921ED">
        <w:rPr>
          <w:lang w:val="en-GB"/>
        </w:rPr>
        <w:t>ing</w:t>
      </w:r>
      <w:r w:rsidR="001679A7" w:rsidRPr="002921ED">
        <w:rPr>
          <w:lang w:val="en-GB"/>
        </w:rPr>
        <w:t xml:space="preserve"> </w:t>
      </w:r>
      <w:r w:rsidR="00C34750" w:rsidRPr="002921ED">
        <w:rPr>
          <w:lang w:val="en-GB"/>
        </w:rPr>
        <w:t>in</w:t>
      </w:r>
      <w:r w:rsidR="00F6778E" w:rsidRPr="002921ED">
        <w:rPr>
          <w:lang w:val="en-GB"/>
        </w:rPr>
        <w:t xml:space="preserve"> </w:t>
      </w:r>
      <w:r w:rsidR="00E92C03">
        <w:rPr>
          <w:lang w:val="en-GB"/>
        </w:rPr>
        <w:t>a dearth of</w:t>
      </w:r>
      <w:r w:rsidR="00E92C03" w:rsidRPr="00CA06FC">
        <w:rPr>
          <w:lang w:val="en-GB"/>
        </w:rPr>
        <w:t xml:space="preserve"> </w:t>
      </w:r>
      <w:r w:rsidR="00F6778E" w:rsidRPr="00522402">
        <w:rPr>
          <w:lang w:val="en-GB"/>
        </w:rPr>
        <w:t>employment, income</w:t>
      </w:r>
      <w:r w:rsidR="0017015E" w:rsidRPr="002921ED">
        <w:rPr>
          <w:lang w:val="en-GB"/>
        </w:rPr>
        <w:t>-</w:t>
      </w:r>
      <w:r w:rsidR="00F6778E" w:rsidRPr="002921ED">
        <w:rPr>
          <w:lang w:val="en-GB"/>
        </w:rPr>
        <w:t>generating opportunities</w:t>
      </w:r>
      <w:r w:rsidR="0017015E" w:rsidRPr="002921ED">
        <w:rPr>
          <w:lang w:val="en-GB"/>
        </w:rPr>
        <w:t xml:space="preserve">, and </w:t>
      </w:r>
      <w:r w:rsidR="00F6778E" w:rsidRPr="002921ED">
        <w:rPr>
          <w:lang w:val="en-GB"/>
        </w:rPr>
        <w:t>distributive income</w:t>
      </w:r>
      <w:r w:rsidR="00F6778E" w:rsidRPr="002921ED">
        <w:rPr>
          <w:rStyle w:val="FootnoteReference"/>
          <w:lang w:val="en-GB"/>
        </w:rPr>
        <w:footnoteReference w:id="17"/>
      </w:r>
      <w:r w:rsidR="0017015E" w:rsidRPr="002921ED">
        <w:rPr>
          <w:lang w:val="en-GB"/>
        </w:rPr>
        <w:t xml:space="preserve"> – </w:t>
      </w:r>
      <w:r w:rsidR="00E92C03">
        <w:rPr>
          <w:lang w:val="en-GB"/>
        </w:rPr>
        <w:t xml:space="preserve">which </w:t>
      </w:r>
      <w:r w:rsidR="00E65F8D" w:rsidRPr="00CA06FC">
        <w:rPr>
          <w:lang w:val="en-GB"/>
        </w:rPr>
        <w:t>perpetuat</w:t>
      </w:r>
      <w:r w:rsidR="00E92C03">
        <w:rPr>
          <w:lang w:val="en-GB"/>
        </w:rPr>
        <w:t>es</w:t>
      </w:r>
      <w:r w:rsidR="00E65F8D" w:rsidRPr="00522402">
        <w:rPr>
          <w:lang w:val="en-GB"/>
        </w:rPr>
        <w:t xml:space="preserve"> exclusion</w:t>
      </w:r>
      <w:r w:rsidR="00F6778E" w:rsidRPr="002921ED">
        <w:rPr>
          <w:lang w:val="en-GB"/>
        </w:rPr>
        <w:t xml:space="preserve">, especially </w:t>
      </w:r>
      <w:r w:rsidR="0017015E" w:rsidRPr="002921ED">
        <w:rPr>
          <w:lang w:val="en-GB"/>
        </w:rPr>
        <w:t xml:space="preserve">among </w:t>
      </w:r>
      <w:r w:rsidR="00F6778E" w:rsidRPr="002921ED">
        <w:rPr>
          <w:lang w:val="en-GB"/>
        </w:rPr>
        <w:t>r</w:t>
      </w:r>
      <w:r w:rsidR="007823D8" w:rsidRPr="002921ED">
        <w:rPr>
          <w:lang w:val="en-GB"/>
        </w:rPr>
        <w:t xml:space="preserve">ural women and </w:t>
      </w:r>
      <w:r w:rsidR="00F45DA3" w:rsidRPr="002921ED">
        <w:rPr>
          <w:lang w:val="en-GB"/>
        </w:rPr>
        <w:t>youth</w:t>
      </w:r>
      <w:r w:rsidR="00F6778E" w:rsidRPr="002921ED">
        <w:rPr>
          <w:lang w:val="en-GB"/>
        </w:rPr>
        <w:t xml:space="preserve">. </w:t>
      </w:r>
    </w:p>
    <w:p w:rsidR="00F6778E" w:rsidRPr="00CA06FC" w:rsidRDefault="00F6778E" w:rsidP="00410AA4">
      <w:pPr>
        <w:pStyle w:val="ListParagraph"/>
        <w:tabs>
          <w:tab w:val="left" w:pos="1080"/>
        </w:tabs>
        <w:rPr>
          <w:sz w:val="12"/>
          <w:szCs w:val="12"/>
          <w:lang w:val="en-GB"/>
        </w:rPr>
      </w:pPr>
    </w:p>
    <w:p w:rsidR="00F6778E" w:rsidRPr="002921ED" w:rsidRDefault="00F66B0C" w:rsidP="00410AA4">
      <w:pPr>
        <w:pStyle w:val="ListParagraph"/>
        <w:numPr>
          <w:ilvl w:val="0"/>
          <w:numId w:val="8"/>
        </w:numPr>
        <w:tabs>
          <w:tab w:val="left" w:pos="1080"/>
          <w:tab w:val="left" w:pos="1620"/>
        </w:tabs>
        <w:ind w:left="720" w:right="806" w:firstLine="0"/>
        <w:jc w:val="both"/>
        <w:rPr>
          <w:lang w:val="en-GB"/>
        </w:rPr>
      </w:pPr>
      <w:r w:rsidRPr="00522402">
        <w:rPr>
          <w:lang w:val="en-GB"/>
        </w:rPr>
        <w:t xml:space="preserve">The </w:t>
      </w:r>
      <w:r w:rsidR="00F6778E" w:rsidRPr="002921ED">
        <w:rPr>
          <w:lang w:val="en-GB"/>
        </w:rPr>
        <w:t xml:space="preserve">World Bank Country Policy and Institutional Assessment </w:t>
      </w:r>
      <w:r w:rsidRPr="002921ED">
        <w:rPr>
          <w:lang w:val="en-GB"/>
        </w:rPr>
        <w:t>indicated a deterioration of the</w:t>
      </w:r>
      <w:r w:rsidR="00F6778E" w:rsidRPr="002921ED">
        <w:rPr>
          <w:lang w:val="en-GB"/>
        </w:rPr>
        <w:t xml:space="preserve"> policy and institutional environment </w:t>
      </w:r>
      <w:r w:rsidR="00E80265" w:rsidRPr="002921ED">
        <w:rPr>
          <w:lang w:val="en-GB"/>
        </w:rPr>
        <w:t>with</w:t>
      </w:r>
      <w:r w:rsidR="00F6778E" w:rsidRPr="002921ED">
        <w:rPr>
          <w:lang w:val="en-GB"/>
        </w:rPr>
        <w:t xml:space="preserve"> the decline of the rating </w:t>
      </w:r>
      <w:r w:rsidR="00E92C03" w:rsidRPr="002921ED">
        <w:rPr>
          <w:lang w:val="en-GB"/>
        </w:rPr>
        <w:t>of the Gambia</w:t>
      </w:r>
      <w:r w:rsidR="0017015E" w:rsidRPr="002921ED">
        <w:rPr>
          <w:lang w:val="en-GB"/>
        </w:rPr>
        <w:t xml:space="preserve"> </w:t>
      </w:r>
      <w:r w:rsidR="00F6778E" w:rsidRPr="002921ED">
        <w:rPr>
          <w:lang w:val="en-GB"/>
        </w:rPr>
        <w:t>from 3.5 in 2011 to 3.1 in 2015</w:t>
      </w:r>
      <w:r w:rsidR="00646D73" w:rsidRPr="002921ED">
        <w:rPr>
          <w:lang w:val="en-GB"/>
        </w:rPr>
        <w:t>.</w:t>
      </w:r>
      <w:r w:rsidR="00FD6D1F" w:rsidRPr="002921ED">
        <w:rPr>
          <w:rStyle w:val="FootnoteReference"/>
          <w:lang w:val="en-GB"/>
        </w:rPr>
        <w:footnoteReference w:id="18"/>
      </w:r>
      <w:r w:rsidR="00F6778E" w:rsidRPr="002921ED">
        <w:rPr>
          <w:lang w:val="en-GB"/>
        </w:rPr>
        <w:t xml:space="preserve"> The Gambia is </w:t>
      </w:r>
      <w:r w:rsidR="00E92C03">
        <w:rPr>
          <w:lang w:val="en-GB"/>
        </w:rPr>
        <w:t>o</w:t>
      </w:r>
      <w:r w:rsidR="00F6778E" w:rsidRPr="00522402">
        <w:rPr>
          <w:lang w:val="en-GB"/>
        </w:rPr>
        <w:t xml:space="preserve">n the </w:t>
      </w:r>
      <w:r w:rsidR="00F6778E" w:rsidRPr="002921ED">
        <w:rPr>
          <w:lang w:val="en-GB"/>
        </w:rPr>
        <w:t>list of fragile states</w:t>
      </w:r>
      <w:r w:rsidR="00E92C03">
        <w:rPr>
          <w:lang w:val="en-GB"/>
        </w:rPr>
        <w:t xml:space="preserve">, </w:t>
      </w:r>
      <w:r w:rsidR="00E92C03" w:rsidRPr="00EC516A">
        <w:rPr>
          <w:lang w:val="en-GB"/>
        </w:rPr>
        <w:t>2016</w:t>
      </w:r>
      <w:r w:rsidR="0017015E" w:rsidRPr="00CA06FC">
        <w:rPr>
          <w:lang w:val="en-GB"/>
        </w:rPr>
        <w:t>,</w:t>
      </w:r>
      <w:r w:rsidR="00F6778E" w:rsidRPr="00522402">
        <w:rPr>
          <w:rStyle w:val="FootnoteReference"/>
          <w:lang w:val="en-GB"/>
        </w:rPr>
        <w:footnoteReference w:id="19"/>
      </w:r>
      <w:r w:rsidR="008C626E" w:rsidRPr="002921ED">
        <w:rPr>
          <w:lang w:val="en-GB"/>
        </w:rPr>
        <w:t xml:space="preserve"> due </w:t>
      </w:r>
      <w:r w:rsidR="00F6778E" w:rsidRPr="002921ED">
        <w:rPr>
          <w:lang w:val="en-GB"/>
        </w:rPr>
        <w:t xml:space="preserve">largely </w:t>
      </w:r>
      <w:r w:rsidR="008C626E" w:rsidRPr="002921ED">
        <w:rPr>
          <w:lang w:val="en-GB"/>
        </w:rPr>
        <w:t>to weak</w:t>
      </w:r>
      <w:r w:rsidR="00F6778E" w:rsidRPr="002921ED">
        <w:rPr>
          <w:lang w:val="en-GB"/>
        </w:rPr>
        <w:t xml:space="preserve"> institutional capacity</w:t>
      </w:r>
      <w:r w:rsidR="005E63C9" w:rsidRPr="002921ED">
        <w:rPr>
          <w:lang w:val="en-GB"/>
        </w:rPr>
        <w:t xml:space="preserve"> for effective economic management</w:t>
      </w:r>
      <w:r w:rsidR="00D952A1" w:rsidRPr="002921ED">
        <w:rPr>
          <w:rStyle w:val="FootnoteReference"/>
          <w:lang w:val="en-GB"/>
        </w:rPr>
        <w:footnoteReference w:id="20"/>
      </w:r>
      <w:r w:rsidR="00F6778E" w:rsidRPr="002921ED">
        <w:rPr>
          <w:lang w:val="en-GB"/>
        </w:rPr>
        <w:t xml:space="preserve"> and limited policy coherence. </w:t>
      </w:r>
      <w:r w:rsidRPr="002921ED">
        <w:rPr>
          <w:lang w:val="en-GB"/>
        </w:rPr>
        <w:t xml:space="preserve">The </w:t>
      </w:r>
      <w:r w:rsidR="0017015E" w:rsidRPr="002921ED">
        <w:rPr>
          <w:lang w:val="en-GB"/>
        </w:rPr>
        <w:t>m</w:t>
      </w:r>
      <w:r w:rsidR="00F6778E" w:rsidRPr="002921ED">
        <w:rPr>
          <w:lang w:val="en-GB"/>
        </w:rPr>
        <w:t xml:space="preserve">idterm </w:t>
      </w:r>
      <w:r w:rsidR="0017015E" w:rsidRPr="002921ED">
        <w:rPr>
          <w:lang w:val="en-GB"/>
        </w:rPr>
        <w:t>r</w:t>
      </w:r>
      <w:r w:rsidR="00F6778E" w:rsidRPr="002921ED">
        <w:rPr>
          <w:lang w:val="en-GB"/>
        </w:rPr>
        <w:t xml:space="preserve">eview </w:t>
      </w:r>
      <w:r w:rsidR="00F6778E" w:rsidRPr="002921ED">
        <w:rPr>
          <w:lang w:val="en-GB"/>
        </w:rPr>
        <w:lastRenderedPageBreak/>
        <w:t>of the</w:t>
      </w:r>
      <w:r w:rsidR="00EE220A" w:rsidRPr="002921ED">
        <w:rPr>
          <w:lang w:val="en-GB"/>
        </w:rPr>
        <w:t xml:space="preserve"> Programme for Accelerated Growth and Employment</w:t>
      </w:r>
      <w:r w:rsidR="00F6778E" w:rsidRPr="002921ED">
        <w:rPr>
          <w:lang w:val="en-GB"/>
        </w:rPr>
        <w:t xml:space="preserve"> </w:t>
      </w:r>
      <w:r w:rsidRPr="002921ED">
        <w:rPr>
          <w:lang w:val="en-GB"/>
        </w:rPr>
        <w:t xml:space="preserve">revealed </w:t>
      </w:r>
      <w:r w:rsidR="00F6778E" w:rsidRPr="002921ED">
        <w:rPr>
          <w:lang w:val="en-GB"/>
        </w:rPr>
        <w:t xml:space="preserve">weak </w:t>
      </w:r>
      <w:r w:rsidR="00664DA6" w:rsidRPr="002921ED">
        <w:rPr>
          <w:lang w:val="en-GB"/>
        </w:rPr>
        <w:t>economic management</w:t>
      </w:r>
      <w:r w:rsidR="00F6778E" w:rsidRPr="002921ED">
        <w:rPr>
          <w:lang w:val="en-GB"/>
        </w:rPr>
        <w:t xml:space="preserve">, </w:t>
      </w:r>
      <w:r w:rsidR="00E92C03">
        <w:rPr>
          <w:lang w:val="en-GB"/>
        </w:rPr>
        <w:t>minimal</w:t>
      </w:r>
      <w:r w:rsidR="00F6778E" w:rsidRPr="00522402">
        <w:rPr>
          <w:lang w:val="en-GB"/>
        </w:rPr>
        <w:t xml:space="preserve"> alignment bet</w:t>
      </w:r>
      <w:r w:rsidR="00F6778E" w:rsidRPr="002921ED">
        <w:rPr>
          <w:lang w:val="en-GB"/>
        </w:rPr>
        <w:t>ween priority areas and resources allocation</w:t>
      </w:r>
      <w:r w:rsidR="00664DA6" w:rsidRPr="002921ED">
        <w:rPr>
          <w:lang w:val="en-GB"/>
        </w:rPr>
        <w:t>,</w:t>
      </w:r>
      <w:r w:rsidR="00F6778E" w:rsidRPr="002921ED">
        <w:rPr>
          <w:lang w:val="en-GB"/>
        </w:rPr>
        <w:t xml:space="preserve"> </w:t>
      </w:r>
      <w:r w:rsidR="007823D8" w:rsidRPr="002921ED">
        <w:rPr>
          <w:lang w:val="en-GB"/>
        </w:rPr>
        <w:t>and</w:t>
      </w:r>
      <w:r w:rsidR="00F6778E" w:rsidRPr="002921ED">
        <w:rPr>
          <w:lang w:val="en-GB"/>
        </w:rPr>
        <w:t xml:space="preserve"> low outcome</w:t>
      </w:r>
      <w:r w:rsidR="0017015E" w:rsidRPr="002921ED">
        <w:rPr>
          <w:lang w:val="en-GB"/>
        </w:rPr>
        <w:t>-</w:t>
      </w:r>
      <w:r w:rsidR="00F6778E" w:rsidRPr="002921ED">
        <w:rPr>
          <w:lang w:val="en-GB"/>
        </w:rPr>
        <w:t>level results</w:t>
      </w:r>
      <w:r w:rsidR="00646D73" w:rsidRPr="002921ED">
        <w:rPr>
          <w:lang w:val="en-GB"/>
        </w:rPr>
        <w:t>;</w:t>
      </w:r>
      <w:r w:rsidR="00F6778E" w:rsidRPr="002921ED">
        <w:rPr>
          <w:lang w:val="en-GB"/>
        </w:rPr>
        <w:t xml:space="preserve"> further </w:t>
      </w:r>
      <w:r w:rsidR="00E92C03">
        <w:rPr>
          <w:lang w:val="en-GB"/>
        </w:rPr>
        <w:t>constricting</w:t>
      </w:r>
      <w:r w:rsidR="00E92C03" w:rsidRPr="00CA06FC">
        <w:rPr>
          <w:lang w:val="en-GB"/>
        </w:rPr>
        <w:t xml:space="preserve"> </w:t>
      </w:r>
      <w:r w:rsidR="00F6778E" w:rsidRPr="00522402">
        <w:rPr>
          <w:lang w:val="en-GB"/>
        </w:rPr>
        <w:t xml:space="preserve">growth, </w:t>
      </w:r>
      <w:r w:rsidR="00A30AFE">
        <w:rPr>
          <w:lang w:val="en-GB"/>
        </w:rPr>
        <w:t xml:space="preserve">with </w:t>
      </w:r>
      <w:r w:rsidR="00710E70">
        <w:rPr>
          <w:lang w:val="en-GB"/>
        </w:rPr>
        <w:t xml:space="preserve">a </w:t>
      </w:r>
      <w:r w:rsidR="00A30AFE">
        <w:rPr>
          <w:lang w:val="en-GB"/>
        </w:rPr>
        <w:t>negative impact on</w:t>
      </w:r>
      <w:r w:rsidR="00F6778E" w:rsidRPr="002921ED">
        <w:rPr>
          <w:lang w:val="en-GB"/>
        </w:rPr>
        <w:t xml:space="preserve"> poverty and employment</w:t>
      </w:r>
      <w:r w:rsidR="00646D73" w:rsidRPr="002921ED">
        <w:rPr>
          <w:lang w:val="en-GB"/>
        </w:rPr>
        <w:t>.</w:t>
      </w:r>
      <w:r w:rsidR="00F6778E" w:rsidRPr="002921ED">
        <w:rPr>
          <w:rStyle w:val="FootnoteReference"/>
          <w:lang w:val="en-GB"/>
        </w:rPr>
        <w:footnoteReference w:id="21"/>
      </w:r>
      <w:r w:rsidR="00F6778E" w:rsidRPr="002921ED">
        <w:rPr>
          <w:lang w:val="en-GB"/>
        </w:rPr>
        <w:t xml:space="preserve"> In 2015, the </w:t>
      </w:r>
      <w:r w:rsidR="0017015E" w:rsidRPr="002921ED">
        <w:rPr>
          <w:lang w:val="en-GB"/>
        </w:rPr>
        <w:t>G</w:t>
      </w:r>
      <w:r w:rsidR="00F6778E" w:rsidRPr="002921ED">
        <w:rPr>
          <w:lang w:val="en-GB"/>
        </w:rPr>
        <w:t>overnment recogni</w:t>
      </w:r>
      <w:r w:rsidR="00113770" w:rsidRPr="002921ED">
        <w:rPr>
          <w:lang w:val="en-GB"/>
        </w:rPr>
        <w:t>z</w:t>
      </w:r>
      <w:r w:rsidR="00F6778E" w:rsidRPr="002921ED">
        <w:rPr>
          <w:lang w:val="en-GB"/>
        </w:rPr>
        <w:t xml:space="preserve">ed the institutional weakness and established </w:t>
      </w:r>
      <w:r w:rsidR="0017015E" w:rsidRPr="002921ED">
        <w:rPr>
          <w:lang w:val="en-GB"/>
        </w:rPr>
        <w:t>the</w:t>
      </w:r>
      <w:r w:rsidR="00F6778E" w:rsidRPr="002921ED">
        <w:rPr>
          <w:lang w:val="en-GB"/>
        </w:rPr>
        <w:t xml:space="preserve"> Ministry of Planning </w:t>
      </w:r>
      <w:r w:rsidR="00CA06FC">
        <w:rPr>
          <w:lang w:val="en-GB"/>
        </w:rPr>
        <w:t xml:space="preserve">and Policy </w:t>
      </w:r>
      <w:r w:rsidR="00F90B98" w:rsidRPr="00CA06FC">
        <w:rPr>
          <w:lang w:val="en-GB"/>
        </w:rPr>
        <w:t xml:space="preserve">to </w:t>
      </w:r>
      <w:r w:rsidR="00F6778E" w:rsidRPr="00522402">
        <w:rPr>
          <w:lang w:val="en-GB"/>
        </w:rPr>
        <w:t>separat</w:t>
      </w:r>
      <w:r w:rsidR="00F90B98" w:rsidRPr="002921ED">
        <w:rPr>
          <w:lang w:val="en-GB"/>
        </w:rPr>
        <w:t>e</w:t>
      </w:r>
      <w:r w:rsidR="00F6778E" w:rsidRPr="002921ED">
        <w:rPr>
          <w:lang w:val="en-GB"/>
        </w:rPr>
        <w:t xml:space="preserve"> the planning functions from the Ministry </w:t>
      </w:r>
      <w:r w:rsidR="00113770" w:rsidRPr="002921ED">
        <w:rPr>
          <w:lang w:val="en-GB"/>
        </w:rPr>
        <w:t xml:space="preserve">of </w:t>
      </w:r>
      <w:r w:rsidR="00F6778E" w:rsidRPr="002921ED">
        <w:rPr>
          <w:lang w:val="en-GB"/>
        </w:rPr>
        <w:t xml:space="preserve">Finance and Economic Affairs </w:t>
      </w:r>
      <w:r w:rsidR="00F90B98" w:rsidRPr="002921ED">
        <w:rPr>
          <w:lang w:val="en-GB"/>
        </w:rPr>
        <w:t>and</w:t>
      </w:r>
      <w:r w:rsidR="00F6778E" w:rsidRPr="002921ED">
        <w:rPr>
          <w:lang w:val="en-GB"/>
        </w:rPr>
        <w:t xml:space="preserve"> </w:t>
      </w:r>
      <w:r w:rsidR="00130DB9" w:rsidRPr="002921ED">
        <w:rPr>
          <w:lang w:val="en-GB"/>
        </w:rPr>
        <w:t xml:space="preserve">create </w:t>
      </w:r>
      <w:r w:rsidR="00F6778E" w:rsidRPr="002921ED">
        <w:rPr>
          <w:lang w:val="en-GB"/>
        </w:rPr>
        <w:t xml:space="preserve">coherence between the different arms of the state. </w:t>
      </w:r>
    </w:p>
    <w:p w:rsidR="00F6778E" w:rsidRPr="002921ED" w:rsidRDefault="00F6778E" w:rsidP="00410AA4">
      <w:pPr>
        <w:pStyle w:val="ListParagraph"/>
        <w:tabs>
          <w:tab w:val="left" w:pos="1080"/>
          <w:tab w:val="left" w:pos="1620"/>
        </w:tabs>
        <w:ind w:right="806"/>
        <w:jc w:val="both"/>
        <w:rPr>
          <w:sz w:val="12"/>
          <w:szCs w:val="12"/>
          <w:lang w:val="en-GB"/>
        </w:rPr>
      </w:pPr>
    </w:p>
    <w:p w:rsidR="00F6778E" w:rsidRPr="00C7163E" w:rsidRDefault="00F6778E" w:rsidP="00410AA4">
      <w:pPr>
        <w:pStyle w:val="ListParagraph"/>
        <w:numPr>
          <w:ilvl w:val="0"/>
          <w:numId w:val="8"/>
        </w:numPr>
        <w:tabs>
          <w:tab w:val="left" w:pos="1080"/>
          <w:tab w:val="left" w:pos="1620"/>
        </w:tabs>
        <w:ind w:left="720" w:right="811" w:firstLine="0"/>
        <w:contextualSpacing/>
        <w:jc w:val="both"/>
        <w:rPr>
          <w:lang w:val="en-GB"/>
        </w:rPr>
      </w:pPr>
      <w:r w:rsidRPr="002921ED">
        <w:rPr>
          <w:lang w:val="en-GB"/>
        </w:rPr>
        <w:t>The impact of climat</w:t>
      </w:r>
      <w:r w:rsidR="00664DA6" w:rsidRPr="002921ED">
        <w:rPr>
          <w:lang w:val="en-GB"/>
        </w:rPr>
        <w:t>e change is high</w:t>
      </w:r>
      <w:r w:rsidR="007823D8" w:rsidRPr="002921ED">
        <w:rPr>
          <w:lang w:val="en-GB"/>
        </w:rPr>
        <w:t xml:space="preserve"> in </w:t>
      </w:r>
      <w:r w:rsidRPr="002921ED">
        <w:rPr>
          <w:lang w:val="en-GB"/>
        </w:rPr>
        <w:t>a</w:t>
      </w:r>
      <w:r w:rsidR="007823D8" w:rsidRPr="002921ED">
        <w:rPr>
          <w:lang w:val="en-GB"/>
        </w:rPr>
        <w:t>griculture</w:t>
      </w:r>
      <w:r w:rsidR="00664DA6" w:rsidRPr="002921ED">
        <w:rPr>
          <w:lang w:val="en-GB"/>
        </w:rPr>
        <w:t>,</w:t>
      </w:r>
      <w:r w:rsidRPr="002921ED">
        <w:rPr>
          <w:lang w:val="en-GB"/>
        </w:rPr>
        <w:t xml:space="preserve"> which is still heavily dependent on rainfall</w:t>
      </w:r>
      <w:r w:rsidR="007526AE" w:rsidRPr="002921ED">
        <w:rPr>
          <w:lang w:val="en-GB"/>
        </w:rPr>
        <w:t>.</w:t>
      </w:r>
      <w:r w:rsidR="002F1782" w:rsidRPr="002921ED">
        <w:rPr>
          <w:rStyle w:val="FootnoteReference"/>
          <w:lang w:val="en-GB"/>
        </w:rPr>
        <w:footnoteReference w:id="22"/>
      </w:r>
      <w:r w:rsidR="007526AE" w:rsidRPr="002921ED">
        <w:rPr>
          <w:lang w:val="en-GB"/>
        </w:rPr>
        <w:t xml:space="preserve"> </w:t>
      </w:r>
      <w:r w:rsidR="00130DB9" w:rsidRPr="002921ED">
        <w:rPr>
          <w:lang w:val="en-GB"/>
        </w:rPr>
        <w:t xml:space="preserve">The </w:t>
      </w:r>
      <w:r w:rsidRPr="002921ED">
        <w:rPr>
          <w:lang w:val="en-GB"/>
        </w:rPr>
        <w:t xml:space="preserve">contribution </w:t>
      </w:r>
      <w:r w:rsidR="00130DB9" w:rsidRPr="002921ED">
        <w:rPr>
          <w:lang w:val="en-GB"/>
        </w:rPr>
        <w:t xml:space="preserve">of agriculture </w:t>
      </w:r>
      <w:r w:rsidRPr="002921ED">
        <w:rPr>
          <w:lang w:val="en-GB"/>
        </w:rPr>
        <w:t>to the economy contracted from 29</w:t>
      </w:r>
      <w:r w:rsidR="00410AA4" w:rsidRPr="002921ED">
        <w:rPr>
          <w:lang w:val="en-GB"/>
        </w:rPr>
        <w:t xml:space="preserve"> per cent</w:t>
      </w:r>
      <w:r w:rsidRPr="002921ED">
        <w:rPr>
          <w:lang w:val="en-GB"/>
        </w:rPr>
        <w:t xml:space="preserve"> in </w:t>
      </w:r>
      <w:r w:rsidR="00130DB9" w:rsidRPr="002921ED">
        <w:rPr>
          <w:lang w:val="en-GB"/>
        </w:rPr>
        <w:t xml:space="preserve">the </w:t>
      </w:r>
      <w:r w:rsidRPr="002921ED">
        <w:rPr>
          <w:lang w:val="en-GB"/>
        </w:rPr>
        <w:t>1980s to 23</w:t>
      </w:r>
      <w:r w:rsidR="00410AA4" w:rsidRPr="002921ED">
        <w:rPr>
          <w:lang w:val="en-GB"/>
        </w:rPr>
        <w:t xml:space="preserve"> per cent</w:t>
      </w:r>
      <w:r w:rsidRPr="002921ED">
        <w:rPr>
          <w:lang w:val="en-GB"/>
        </w:rPr>
        <w:t xml:space="preserve"> in 2015</w:t>
      </w:r>
      <w:r w:rsidR="007823D8" w:rsidRPr="002921ED">
        <w:rPr>
          <w:lang w:val="en-GB"/>
        </w:rPr>
        <w:t>,</w:t>
      </w:r>
      <w:r w:rsidR="00B5521C" w:rsidRPr="00C7163E">
        <w:rPr>
          <w:lang w:val="en-GB"/>
        </w:rPr>
        <w:t xml:space="preserve"> leading to </w:t>
      </w:r>
      <w:r w:rsidR="00130DB9" w:rsidRPr="00C7163E">
        <w:rPr>
          <w:lang w:val="en-GB"/>
        </w:rPr>
        <w:t xml:space="preserve">a </w:t>
      </w:r>
      <w:r w:rsidR="00B5521C" w:rsidRPr="00C7163E">
        <w:rPr>
          <w:lang w:val="en-GB"/>
        </w:rPr>
        <w:t>downturn in economic growth</w:t>
      </w:r>
      <w:r w:rsidRPr="00CA06FC">
        <w:rPr>
          <w:lang w:val="en-GB"/>
        </w:rPr>
        <w:t xml:space="preserve">. Climate change </w:t>
      </w:r>
      <w:r w:rsidR="002F1782" w:rsidRPr="00522402">
        <w:rPr>
          <w:lang w:val="en-GB"/>
        </w:rPr>
        <w:t>also</w:t>
      </w:r>
      <w:r w:rsidRPr="002921ED">
        <w:rPr>
          <w:lang w:val="en-GB"/>
        </w:rPr>
        <w:t xml:space="preserve"> affect</w:t>
      </w:r>
      <w:r w:rsidR="002F1782" w:rsidRPr="002921ED">
        <w:rPr>
          <w:lang w:val="en-GB"/>
        </w:rPr>
        <w:t>s</w:t>
      </w:r>
      <w:r w:rsidRPr="002921ED">
        <w:rPr>
          <w:lang w:val="en-GB"/>
        </w:rPr>
        <w:t xml:space="preserve"> the tourism, fisheries and forestry </w:t>
      </w:r>
      <w:r w:rsidR="008E3679" w:rsidRPr="002921ED">
        <w:rPr>
          <w:lang w:val="en-GB"/>
        </w:rPr>
        <w:t>sector</w:t>
      </w:r>
      <w:r w:rsidR="002F1782" w:rsidRPr="002921ED">
        <w:rPr>
          <w:lang w:val="en-GB"/>
        </w:rPr>
        <w:t>s</w:t>
      </w:r>
      <w:r w:rsidR="008E3679" w:rsidRPr="002921ED">
        <w:rPr>
          <w:lang w:val="en-GB"/>
        </w:rPr>
        <w:t xml:space="preserve">, </w:t>
      </w:r>
      <w:r w:rsidRPr="002921ED">
        <w:rPr>
          <w:lang w:val="en-GB"/>
        </w:rPr>
        <w:t>limiting opportunit</w:t>
      </w:r>
      <w:r w:rsidR="002F1782" w:rsidRPr="002921ED">
        <w:rPr>
          <w:lang w:val="en-GB"/>
        </w:rPr>
        <w:t>ies for economic</w:t>
      </w:r>
      <w:r w:rsidRPr="002921ED">
        <w:rPr>
          <w:lang w:val="en-GB"/>
        </w:rPr>
        <w:t xml:space="preserve"> diversif</w:t>
      </w:r>
      <w:r w:rsidR="002F1782" w:rsidRPr="002921ED">
        <w:rPr>
          <w:lang w:val="en-GB"/>
        </w:rPr>
        <w:t>ication</w:t>
      </w:r>
      <w:r w:rsidRPr="002921ED">
        <w:rPr>
          <w:lang w:val="en-GB"/>
        </w:rPr>
        <w:t xml:space="preserve">. </w:t>
      </w:r>
      <w:r w:rsidR="00FD3DB0" w:rsidRPr="002921ED">
        <w:rPr>
          <w:lang w:val="en-GB"/>
        </w:rPr>
        <w:t xml:space="preserve">Vulnerability to </w:t>
      </w:r>
      <w:r w:rsidR="007823D8" w:rsidRPr="002921ED">
        <w:rPr>
          <w:lang w:val="en-GB"/>
        </w:rPr>
        <w:t>sea</w:t>
      </w:r>
      <w:r w:rsidR="00130DB9" w:rsidRPr="002921ED">
        <w:rPr>
          <w:lang w:val="en-GB"/>
        </w:rPr>
        <w:t>-</w:t>
      </w:r>
      <w:r w:rsidR="007823D8" w:rsidRPr="002921ED">
        <w:rPr>
          <w:lang w:val="en-GB"/>
        </w:rPr>
        <w:t>level</w:t>
      </w:r>
      <w:r w:rsidR="00CA06FC">
        <w:rPr>
          <w:lang w:val="en-GB"/>
        </w:rPr>
        <w:t xml:space="preserve"> rise</w:t>
      </w:r>
      <w:r w:rsidR="007823D8" w:rsidRPr="00CA06FC">
        <w:rPr>
          <w:rStyle w:val="FootnoteReference"/>
          <w:lang w:val="en-GB"/>
        </w:rPr>
        <w:footnoteReference w:id="23"/>
      </w:r>
      <w:r w:rsidR="007823D8" w:rsidRPr="002921ED">
        <w:rPr>
          <w:lang w:val="en-GB"/>
        </w:rPr>
        <w:t xml:space="preserve"> </w:t>
      </w:r>
      <w:r w:rsidR="007823D8" w:rsidRPr="00C7163E">
        <w:rPr>
          <w:lang w:val="en-GB"/>
        </w:rPr>
        <w:t>puts</w:t>
      </w:r>
      <w:r w:rsidRPr="00C7163E">
        <w:rPr>
          <w:lang w:val="en-GB"/>
        </w:rPr>
        <w:t xml:space="preserve"> pressure on the environment and livelihoods of coastal communities</w:t>
      </w:r>
      <w:r w:rsidR="007526AE" w:rsidRPr="00C7163E">
        <w:rPr>
          <w:lang w:val="en-GB"/>
        </w:rPr>
        <w:t>.</w:t>
      </w:r>
      <w:r w:rsidRPr="00C7163E">
        <w:rPr>
          <w:rStyle w:val="FootnoteReference"/>
          <w:lang w:val="en-GB"/>
        </w:rPr>
        <w:footnoteReference w:id="24"/>
      </w:r>
      <w:r w:rsidRPr="00CA06FC">
        <w:rPr>
          <w:color w:val="C00000"/>
          <w:lang w:val="en-GB"/>
        </w:rPr>
        <w:t xml:space="preserve"> </w:t>
      </w:r>
      <w:r w:rsidRPr="00522402">
        <w:rPr>
          <w:lang w:val="en-GB"/>
        </w:rPr>
        <w:t>Environmental degradation, loss of biodive</w:t>
      </w:r>
      <w:r w:rsidRPr="002921ED">
        <w:rPr>
          <w:lang w:val="en-GB"/>
        </w:rPr>
        <w:t xml:space="preserve">rsity, </w:t>
      </w:r>
      <w:r w:rsidR="00130DB9" w:rsidRPr="002921ED">
        <w:rPr>
          <w:lang w:val="en-GB"/>
        </w:rPr>
        <w:t xml:space="preserve">and </w:t>
      </w:r>
      <w:r w:rsidRPr="002921ED">
        <w:rPr>
          <w:lang w:val="en-GB"/>
        </w:rPr>
        <w:t xml:space="preserve">deforestation </w:t>
      </w:r>
      <w:r w:rsidR="00130DB9" w:rsidRPr="002921ED">
        <w:rPr>
          <w:lang w:val="en-GB"/>
        </w:rPr>
        <w:t>–</w:t>
      </w:r>
      <w:r w:rsidR="00CA06FC">
        <w:rPr>
          <w:lang w:val="en-GB"/>
        </w:rPr>
        <w:t xml:space="preserve"> </w:t>
      </w:r>
      <w:r w:rsidRPr="00CA06FC">
        <w:rPr>
          <w:lang w:val="en-GB"/>
        </w:rPr>
        <w:t xml:space="preserve">coupled with </w:t>
      </w:r>
      <w:r w:rsidRPr="00C7163E">
        <w:rPr>
          <w:color w:val="0D0D0D"/>
          <w:lang w:val="en-GB"/>
        </w:rPr>
        <w:t>limited adaptive capacity</w:t>
      </w:r>
      <w:r w:rsidR="00130DB9" w:rsidRPr="00C7163E">
        <w:rPr>
          <w:color w:val="0D0D0D"/>
          <w:lang w:val="en-GB"/>
        </w:rPr>
        <w:t xml:space="preserve"> – </w:t>
      </w:r>
      <w:r w:rsidRPr="00CA06FC">
        <w:rPr>
          <w:lang w:val="en-GB"/>
        </w:rPr>
        <w:t xml:space="preserve">are leading the economy </w:t>
      </w:r>
      <w:r w:rsidR="00130DB9" w:rsidRPr="002921ED">
        <w:rPr>
          <w:lang w:val="en-GB"/>
        </w:rPr>
        <w:t xml:space="preserve">along </w:t>
      </w:r>
      <w:r w:rsidRPr="002921ED">
        <w:rPr>
          <w:lang w:val="en-GB"/>
        </w:rPr>
        <w:t>an unsustainable development pathway</w:t>
      </w:r>
      <w:r w:rsidR="00D818C8" w:rsidRPr="002921ED">
        <w:rPr>
          <w:lang w:val="en-GB"/>
        </w:rPr>
        <w:t>.</w:t>
      </w:r>
      <w:r w:rsidR="00D818C8" w:rsidRPr="002921ED">
        <w:rPr>
          <w:rStyle w:val="FootnoteReference"/>
          <w:lang w:val="en-GB"/>
        </w:rPr>
        <w:footnoteReference w:id="25"/>
      </w:r>
      <w:r w:rsidR="00D818C8" w:rsidRPr="002921ED">
        <w:rPr>
          <w:lang w:val="en-GB"/>
        </w:rPr>
        <w:t xml:space="preserve"> </w:t>
      </w:r>
      <w:r w:rsidR="00227092" w:rsidRPr="00C7163E">
        <w:rPr>
          <w:color w:val="0D0D0D"/>
          <w:lang w:val="en-GB"/>
        </w:rPr>
        <w:t>Limited</w:t>
      </w:r>
      <w:r w:rsidR="00C811E3" w:rsidRPr="00CA06FC">
        <w:rPr>
          <w:lang w:val="en-GB"/>
        </w:rPr>
        <w:t xml:space="preserve"> access </w:t>
      </w:r>
      <w:r w:rsidR="00227092" w:rsidRPr="00522402">
        <w:rPr>
          <w:lang w:val="en-GB"/>
        </w:rPr>
        <w:t>of women</w:t>
      </w:r>
      <w:r w:rsidR="00227092" w:rsidRPr="002921ED">
        <w:rPr>
          <w:rStyle w:val="FootnoteReference"/>
          <w:lang w:val="en-GB"/>
        </w:rPr>
        <w:footnoteReference w:id="26"/>
      </w:r>
      <w:r w:rsidR="00227092" w:rsidRPr="002921ED">
        <w:rPr>
          <w:lang w:val="en-GB"/>
        </w:rPr>
        <w:t xml:space="preserve"> and youth </w:t>
      </w:r>
      <w:r w:rsidR="00C811E3" w:rsidRPr="002921ED">
        <w:rPr>
          <w:lang w:val="en-GB"/>
        </w:rPr>
        <w:t>to productive resources and decision</w:t>
      </w:r>
      <w:r w:rsidR="00130DB9" w:rsidRPr="002921ED">
        <w:rPr>
          <w:lang w:val="en-GB"/>
        </w:rPr>
        <w:t>-</w:t>
      </w:r>
      <w:r w:rsidR="00C811E3" w:rsidRPr="002921ED">
        <w:rPr>
          <w:lang w:val="en-GB"/>
        </w:rPr>
        <w:t xml:space="preserve">making opportunities have </w:t>
      </w:r>
      <w:r w:rsidR="00CA06FC">
        <w:rPr>
          <w:lang w:val="en-GB"/>
        </w:rPr>
        <w:t>affe</w:t>
      </w:r>
      <w:r w:rsidR="00CA06FC" w:rsidRPr="00CA06FC">
        <w:rPr>
          <w:lang w:val="en-GB"/>
        </w:rPr>
        <w:t xml:space="preserve">cted </w:t>
      </w:r>
      <w:r w:rsidR="00227092" w:rsidRPr="00522402">
        <w:rPr>
          <w:lang w:val="en-GB"/>
        </w:rPr>
        <w:t>the</w:t>
      </w:r>
      <w:r w:rsidR="00FB0EF2" w:rsidRPr="002921ED">
        <w:rPr>
          <w:lang w:val="en-GB"/>
        </w:rPr>
        <w:t>m</w:t>
      </w:r>
      <w:r w:rsidR="00227092" w:rsidRPr="002921ED">
        <w:rPr>
          <w:lang w:val="en-GB"/>
        </w:rPr>
        <w:t xml:space="preserve"> disproportionately.</w:t>
      </w:r>
      <w:r w:rsidR="00C811E3" w:rsidRPr="002921ED">
        <w:rPr>
          <w:lang w:val="en-GB"/>
        </w:rPr>
        <w:t xml:space="preserve"> </w:t>
      </w:r>
      <w:r w:rsidR="00227092" w:rsidRPr="002921ED">
        <w:rPr>
          <w:lang w:val="en-GB"/>
        </w:rPr>
        <w:t>L</w:t>
      </w:r>
      <w:r w:rsidR="00C811E3" w:rsidRPr="002921ED">
        <w:rPr>
          <w:lang w:val="en-GB"/>
        </w:rPr>
        <w:t xml:space="preserve">ivelihood opportunities to the increasing youth population in the rural areas </w:t>
      </w:r>
      <w:r w:rsidR="00227092" w:rsidRPr="002921ED">
        <w:rPr>
          <w:lang w:val="en-GB"/>
        </w:rPr>
        <w:t>could curtail</w:t>
      </w:r>
      <w:r w:rsidR="00C811E3" w:rsidRPr="002921ED">
        <w:rPr>
          <w:lang w:val="en-GB"/>
        </w:rPr>
        <w:t xml:space="preserve"> migration to urban areas and other countries</w:t>
      </w:r>
      <w:r w:rsidR="007526AE" w:rsidRPr="002921ED">
        <w:rPr>
          <w:lang w:val="en-GB"/>
        </w:rPr>
        <w:t>.</w:t>
      </w:r>
      <w:r w:rsidR="00C811E3" w:rsidRPr="002921ED">
        <w:rPr>
          <w:vertAlign w:val="superscript"/>
          <w:lang w:val="en-GB"/>
        </w:rPr>
        <w:footnoteReference w:id="27"/>
      </w:r>
      <w:r w:rsidR="007526AE" w:rsidRPr="002921ED">
        <w:rPr>
          <w:lang w:val="en-GB"/>
        </w:rPr>
        <w:t xml:space="preserve"> </w:t>
      </w:r>
      <w:r w:rsidR="00C811E3" w:rsidRPr="002921ED">
        <w:rPr>
          <w:vertAlign w:val="superscript"/>
          <w:lang w:val="en-GB"/>
        </w:rPr>
        <w:t xml:space="preserve"> </w:t>
      </w:r>
    </w:p>
    <w:p w:rsidR="00F6778E" w:rsidRPr="00C7163E" w:rsidRDefault="00F6778E" w:rsidP="00410AA4">
      <w:pPr>
        <w:pStyle w:val="ListParagraph"/>
        <w:tabs>
          <w:tab w:val="left" w:pos="1080"/>
        </w:tabs>
        <w:ind w:right="810"/>
        <w:jc w:val="both"/>
        <w:rPr>
          <w:sz w:val="12"/>
          <w:szCs w:val="12"/>
          <w:lang w:val="en-GB"/>
        </w:rPr>
      </w:pPr>
    </w:p>
    <w:p w:rsidR="00F6778E" w:rsidRPr="00C7163E" w:rsidRDefault="00F6778E" w:rsidP="00410AA4">
      <w:pPr>
        <w:pStyle w:val="ListParagraph"/>
        <w:numPr>
          <w:ilvl w:val="0"/>
          <w:numId w:val="8"/>
        </w:numPr>
        <w:tabs>
          <w:tab w:val="left" w:pos="1080"/>
          <w:tab w:val="left" w:pos="1620"/>
        </w:tabs>
        <w:spacing w:after="120"/>
        <w:ind w:left="720" w:right="810" w:firstLine="0"/>
        <w:contextualSpacing/>
        <w:jc w:val="both"/>
        <w:rPr>
          <w:color w:val="000000"/>
          <w:lang w:val="en-GB"/>
        </w:rPr>
      </w:pPr>
      <w:r w:rsidRPr="00CA06FC">
        <w:rPr>
          <w:lang w:val="en-GB"/>
        </w:rPr>
        <w:t xml:space="preserve">The </w:t>
      </w:r>
      <w:r w:rsidR="00130DB9" w:rsidRPr="002921ED">
        <w:rPr>
          <w:lang w:val="en-GB"/>
        </w:rPr>
        <w:t>United Nations Development Assistance Framework m</w:t>
      </w:r>
      <w:r w:rsidRPr="002921ED">
        <w:rPr>
          <w:lang w:val="en-GB"/>
        </w:rPr>
        <w:t>id</w:t>
      </w:r>
      <w:r w:rsidR="00130DB9" w:rsidRPr="002921ED">
        <w:rPr>
          <w:lang w:val="en-GB"/>
        </w:rPr>
        <w:t>t</w:t>
      </w:r>
      <w:r w:rsidRPr="002921ED">
        <w:rPr>
          <w:lang w:val="en-GB"/>
        </w:rPr>
        <w:t xml:space="preserve">erm </w:t>
      </w:r>
      <w:r w:rsidR="00130DB9" w:rsidRPr="002921ED">
        <w:rPr>
          <w:lang w:val="en-GB"/>
        </w:rPr>
        <w:t>r</w:t>
      </w:r>
      <w:r w:rsidRPr="002921ED">
        <w:rPr>
          <w:lang w:val="en-GB"/>
        </w:rPr>
        <w:t>eview</w:t>
      </w:r>
      <w:r w:rsidR="00130DB9" w:rsidRPr="002921ED">
        <w:rPr>
          <w:lang w:val="en-GB"/>
        </w:rPr>
        <w:t xml:space="preserve">, </w:t>
      </w:r>
      <w:r w:rsidRPr="002921ED">
        <w:rPr>
          <w:lang w:val="en-GB"/>
        </w:rPr>
        <w:t>2014</w:t>
      </w:r>
      <w:r w:rsidR="00130DB9" w:rsidRPr="002921ED">
        <w:rPr>
          <w:lang w:val="en-GB"/>
        </w:rPr>
        <w:t>,</w:t>
      </w:r>
      <w:r w:rsidRPr="002921ED">
        <w:rPr>
          <w:lang w:val="en-GB"/>
        </w:rPr>
        <w:t xml:space="preserve"> indicated that </w:t>
      </w:r>
      <w:r w:rsidR="00943DD7" w:rsidRPr="002921ED">
        <w:rPr>
          <w:lang w:val="en-GB"/>
        </w:rPr>
        <w:t xml:space="preserve">progress </w:t>
      </w:r>
      <w:r w:rsidR="00130DB9" w:rsidRPr="002921ED">
        <w:rPr>
          <w:lang w:val="en-GB"/>
        </w:rPr>
        <w:t xml:space="preserve">had been </w:t>
      </w:r>
      <w:r w:rsidRPr="002921ED">
        <w:rPr>
          <w:lang w:val="en-GB"/>
        </w:rPr>
        <w:t>made in deepening democratic governance but significant challenges remain</w:t>
      </w:r>
      <w:r w:rsidR="00130DB9" w:rsidRPr="002921ED">
        <w:rPr>
          <w:lang w:val="en-GB"/>
        </w:rPr>
        <w:t>ed</w:t>
      </w:r>
      <w:r w:rsidRPr="002921ED">
        <w:rPr>
          <w:lang w:val="en-GB"/>
        </w:rPr>
        <w:t xml:space="preserve">. The slow pace of reforms has </w:t>
      </w:r>
      <w:r w:rsidR="00CA06FC">
        <w:rPr>
          <w:lang w:val="en-GB"/>
        </w:rPr>
        <w:t>constrain</w:t>
      </w:r>
      <w:r w:rsidR="00CA06FC" w:rsidRPr="00CA06FC">
        <w:rPr>
          <w:lang w:val="en-GB"/>
        </w:rPr>
        <w:t xml:space="preserve">ed </w:t>
      </w:r>
      <w:r w:rsidRPr="002921ED">
        <w:rPr>
          <w:lang w:val="en-GB"/>
        </w:rPr>
        <w:t>citizen participation in decision</w:t>
      </w:r>
      <w:r w:rsidR="00130DB9" w:rsidRPr="002921ED">
        <w:rPr>
          <w:lang w:val="en-GB"/>
        </w:rPr>
        <w:t>-</w:t>
      </w:r>
      <w:r w:rsidRPr="002921ED">
        <w:rPr>
          <w:lang w:val="en-GB"/>
        </w:rPr>
        <w:t>making</w:t>
      </w:r>
      <w:r w:rsidR="0089541E" w:rsidRPr="002921ED">
        <w:rPr>
          <w:lang w:val="en-GB"/>
        </w:rPr>
        <w:t xml:space="preserve">, particularly </w:t>
      </w:r>
      <w:r w:rsidR="00130DB9" w:rsidRPr="002921ED">
        <w:rPr>
          <w:lang w:val="en-GB"/>
        </w:rPr>
        <w:t xml:space="preserve">concerning </w:t>
      </w:r>
      <w:r w:rsidR="0089541E" w:rsidRPr="002921ED">
        <w:rPr>
          <w:lang w:val="en-GB"/>
        </w:rPr>
        <w:t>women,</w:t>
      </w:r>
      <w:r w:rsidR="00C811E3" w:rsidRPr="002921ED">
        <w:rPr>
          <w:rStyle w:val="FootnoteReference"/>
          <w:lang w:val="en-GB"/>
        </w:rPr>
        <w:footnoteReference w:id="28"/>
      </w:r>
      <w:r w:rsidRPr="002921ED">
        <w:rPr>
          <w:lang w:val="en-GB"/>
        </w:rPr>
        <w:t xml:space="preserve"> anti-corruption and accountability</w:t>
      </w:r>
      <w:r w:rsidR="0089541E" w:rsidRPr="002921ED">
        <w:rPr>
          <w:lang w:val="en-GB"/>
        </w:rPr>
        <w:t>,</w:t>
      </w:r>
      <w:r w:rsidRPr="002921ED">
        <w:rPr>
          <w:lang w:val="en-GB"/>
        </w:rPr>
        <w:t xml:space="preserve"> </w:t>
      </w:r>
      <w:r w:rsidR="0089541E" w:rsidRPr="002921ED">
        <w:rPr>
          <w:lang w:val="en-GB"/>
        </w:rPr>
        <w:t xml:space="preserve">and </w:t>
      </w:r>
      <w:r w:rsidRPr="002921ED">
        <w:rPr>
          <w:lang w:val="en-GB"/>
        </w:rPr>
        <w:t>promotion of rule of law</w:t>
      </w:r>
      <w:r w:rsidR="003941E6" w:rsidRPr="002921ED">
        <w:rPr>
          <w:lang w:val="en-GB"/>
        </w:rPr>
        <w:t xml:space="preserve"> and human rights</w:t>
      </w:r>
      <w:r w:rsidR="00130DB9" w:rsidRPr="002921ED">
        <w:rPr>
          <w:lang w:val="en-GB"/>
        </w:rPr>
        <w:t>,</w:t>
      </w:r>
      <w:r w:rsidR="0089541E" w:rsidRPr="002921ED">
        <w:rPr>
          <w:lang w:val="en-GB"/>
        </w:rPr>
        <w:t xml:space="preserve"> </w:t>
      </w:r>
      <w:r w:rsidR="00CA06FC">
        <w:rPr>
          <w:lang w:val="en-GB"/>
        </w:rPr>
        <w:t>while hampering</w:t>
      </w:r>
      <w:r w:rsidR="0089541E" w:rsidRPr="00CA06FC">
        <w:rPr>
          <w:lang w:val="en-GB"/>
        </w:rPr>
        <w:t xml:space="preserve"> </w:t>
      </w:r>
      <w:r w:rsidRPr="00522402">
        <w:rPr>
          <w:lang w:val="en-GB"/>
        </w:rPr>
        <w:t>implementation of the decentrali</w:t>
      </w:r>
      <w:r w:rsidR="00130DB9" w:rsidRPr="002921ED">
        <w:rPr>
          <w:lang w:val="en-GB"/>
        </w:rPr>
        <w:t>z</w:t>
      </w:r>
      <w:r w:rsidRPr="002921ED">
        <w:rPr>
          <w:lang w:val="en-GB"/>
        </w:rPr>
        <w:t>ation policy</w:t>
      </w:r>
      <w:r w:rsidR="0089541E" w:rsidRPr="002921ED">
        <w:rPr>
          <w:lang w:val="en-GB"/>
        </w:rPr>
        <w:t xml:space="preserve"> and </w:t>
      </w:r>
      <w:r w:rsidRPr="002921ED">
        <w:rPr>
          <w:lang w:val="en-GB"/>
        </w:rPr>
        <w:t>strateg</w:t>
      </w:r>
      <w:r w:rsidR="0089541E" w:rsidRPr="002921ED">
        <w:rPr>
          <w:lang w:val="en-GB"/>
        </w:rPr>
        <w:t>ies for improved e</w:t>
      </w:r>
      <w:r w:rsidRPr="002921ED">
        <w:rPr>
          <w:lang w:val="en-GB"/>
        </w:rPr>
        <w:t>conomic and political governance, as illustrated by the evaluation of the civil service reform programme</w:t>
      </w:r>
      <w:r w:rsidR="007526AE" w:rsidRPr="002921ED">
        <w:rPr>
          <w:lang w:val="en-GB"/>
        </w:rPr>
        <w:t>.</w:t>
      </w:r>
      <w:r w:rsidR="00FC1CF1" w:rsidRPr="002921ED">
        <w:rPr>
          <w:rStyle w:val="FootnoteReference"/>
          <w:lang w:val="en-GB"/>
        </w:rPr>
        <w:footnoteReference w:id="29"/>
      </w:r>
    </w:p>
    <w:p w:rsidR="00F6778E" w:rsidRPr="00C7163E" w:rsidRDefault="00F6778E" w:rsidP="00410AA4">
      <w:pPr>
        <w:pStyle w:val="ListParagraph"/>
        <w:tabs>
          <w:tab w:val="left" w:pos="1080"/>
        </w:tabs>
        <w:rPr>
          <w:color w:val="000000"/>
          <w:sz w:val="12"/>
          <w:szCs w:val="12"/>
          <w:lang w:val="en-GB"/>
        </w:rPr>
      </w:pPr>
    </w:p>
    <w:p w:rsidR="00F6778E" w:rsidRPr="00C7163E" w:rsidRDefault="003941E6" w:rsidP="00410AA4">
      <w:pPr>
        <w:pStyle w:val="ListParagraph"/>
        <w:numPr>
          <w:ilvl w:val="0"/>
          <w:numId w:val="8"/>
        </w:numPr>
        <w:tabs>
          <w:tab w:val="left" w:pos="1080"/>
        </w:tabs>
        <w:ind w:left="720" w:right="810" w:firstLine="0"/>
        <w:contextualSpacing/>
        <w:jc w:val="both"/>
        <w:rPr>
          <w:lang w:val="en-GB"/>
        </w:rPr>
      </w:pPr>
      <w:r w:rsidRPr="00C7163E">
        <w:rPr>
          <w:lang w:val="en-GB"/>
        </w:rPr>
        <w:t>W</w:t>
      </w:r>
      <w:r w:rsidR="00F6778E" w:rsidRPr="00C7163E">
        <w:rPr>
          <w:lang w:val="en-GB"/>
        </w:rPr>
        <w:t>omen and girls suffer disproportiona</w:t>
      </w:r>
      <w:r w:rsidR="00CA06FC">
        <w:rPr>
          <w:lang w:val="en-GB"/>
        </w:rPr>
        <w:t>te</w:t>
      </w:r>
      <w:r w:rsidR="00F6778E" w:rsidRPr="00C7163E">
        <w:rPr>
          <w:lang w:val="en-GB"/>
        </w:rPr>
        <w:t>ly from deprivation due to social and traditional norms and practices</w:t>
      </w:r>
      <w:r w:rsidR="00937638" w:rsidRPr="00C7163E">
        <w:rPr>
          <w:lang w:val="en-GB"/>
        </w:rPr>
        <w:t>,</w:t>
      </w:r>
      <w:r w:rsidR="00F6778E" w:rsidRPr="00C7163E">
        <w:rPr>
          <w:lang w:val="en-GB"/>
        </w:rPr>
        <w:t xml:space="preserve"> </w:t>
      </w:r>
      <w:r w:rsidR="00937638" w:rsidRPr="00C7163E">
        <w:rPr>
          <w:lang w:val="en-GB"/>
        </w:rPr>
        <w:t>as</w:t>
      </w:r>
      <w:r w:rsidR="00F6778E" w:rsidRPr="00C7163E">
        <w:rPr>
          <w:lang w:val="en-GB"/>
        </w:rPr>
        <w:t xml:space="preserve"> manifested by a high prevalence of </w:t>
      </w:r>
      <w:r w:rsidR="00130DB9" w:rsidRPr="00C7163E">
        <w:rPr>
          <w:lang w:val="en-GB"/>
        </w:rPr>
        <w:t>f</w:t>
      </w:r>
      <w:r w:rsidR="00F6778E" w:rsidRPr="00C7163E">
        <w:rPr>
          <w:lang w:val="en-GB"/>
        </w:rPr>
        <w:t xml:space="preserve">emale </w:t>
      </w:r>
      <w:r w:rsidR="00130DB9" w:rsidRPr="00C7163E">
        <w:rPr>
          <w:lang w:val="en-GB"/>
        </w:rPr>
        <w:t>g</w:t>
      </w:r>
      <w:r w:rsidR="00F6778E" w:rsidRPr="00C7163E">
        <w:rPr>
          <w:lang w:val="en-GB"/>
        </w:rPr>
        <w:t xml:space="preserve">enital </w:t>
      </w:r>
      <w:r w:rsidR="00130DB9" w:rsidRPr="00C7163E">
        <w:rPr>
          <w:lang w:val="en-GB"/>
        </w:rPr>
        <w:t>m</w:t>
      </w:r>
      <w:r w:rsidR="00F6778E" w:rsidRPr="00C7163E">
        <w:rPr>
          <w:lang w:val="en-GB"/>
        </w:rPr>
        <w:t>utilation (76</w:t>
      </w:r>
      <w:r w:rsidR="00410AA4" w:rsidRPr="00C7163E">
        <w:rPr>
          <w:lang w:val="en-GB"/>
        </w:rPr>
        <w:t xml:space="preserve"> per cent</w:t>
      </w:r>
      <w:r w:rsidR="00F6778E" w:rsidRPr="00C7163E">
        <w:rPr>
          <w:lang w:val="en-GB"/>
        </w:rPr>
        <w:t>), child marriage</w:t>
      </w:r>
      <w:r w:rsidR="00F6778E" w:rsidRPr="00C7163E">
        <w:rPr>
          <w:rStyle w:val="FootnoteReference"/>
          <w:lang w:val="en-GB"/>
        </w:rPr>
        <w:footnoteReference w:id="30"/>
      </w:r>
      <w:r w:rsidR="00F6778E" w:rsidRPr="00C7163E">
        <w:rPr>
          <w:lang w:val="en-GB"/>
        </w:rPr>
        <w:t xml:space="preserve"> and </w:t>
      </w:r>
      <w:r w:rsidR="00130DB9" w:rsidRPr="00C7163E">
        <w:rPr>
          <w:lang w:val="en-GB"/>
        </w:rPr>
        <w:t xml:space="preserve">female </w:t>
      </w:r>
      <w:r w:rsidR="00F6778E" w:rsidRPr="00C7163E">
        <w:rPr>
          <w:lang w:val="en-GB"/>
        </w:rPr>
        <w:t>high</w:t>
      </w:r>
      <w:r w:rsidR="00130DB9" w:rsidRPr="00C7163E">
        <w:rPr>
          <w:lang w:val="en-GB"/>
        </w:rPr>
        <w:t>-</w:t>
      </w:r>
      <w:r w:rsidR="005F498B" w:rsidRPr="00C7163E">
        <w:rPr>
          <w:lang w:val="en-GB"/>
        </w:rPr>
        <w:t>school</w:t>
      </w:r>
      <w:r w:rsidR="00F6778E" w:rsidRPr="00C7163E">
        <w:rPr>
          <w:lang w:val="en-GB"/>
        </w:rPr>
        <w:t xml:space="preserve"> </w:t>
      </w:r>
      <w:r w:rsidR="005F498B" w:rsidRPr="00C7163E">
        <w:rPr>
          <w:lang w:val="en-GB"/>
        </w:rPr>
        <w:t>dropout rate</w:t>
      </w:r>
      <w:r w:rsidR="00130DB9" w:rsidRPr="00C7163E">
        <w:rPr>
          <w:lang w:val="en-GB"/>
        </w:rPr>
        <w:t>s</w:t>
      </w:r>
      <w:r w:rsidR="005F498B" w:rsidRPr="00C7163E">
        <w:rPr>
          <w:rStyle w:val="FootnoteReference"/>
          <w:lang w:val="en-GB"/>
        </w:rPr>
        <w:footnoteReference w:id="31"/>
      </w:r>
      <w:r w:rsidR="00A83EB9" w:rsidRPr="00C7163E">
        <w:rPr>
          <w:lang w:val="en-GB"/>
        </w:rPr>
        <w:t>.</w:t>
      </w:r>
      <w:r w:rsidR="00B306A6" w:rsidRPr="00C7163E">
        <w:rPr>
          <w:lang w:val="en-GB"/>
        </w:rPr>
        <w:t xml:space="preserve"> </w:t>
      </w:r>
      <w:r w:rsidR="00FB0EF2" w:rsidRPr="00C7163E">
        <w:rPr>
          <w:lang w:val="en-GB"/>
        </w:rPr>
        <w:t>UNDP advocat</w:t>
      </w:r>
      <w:r w:rsidR="0059414C" w:rsidRPr="00C7163E">
        <w:rPr>
          <w:lang w:val="en-GB"/>
        </w:rPr>
        <w:t>es</w:t>
      </w:r>
      <w:r w:rsidR="00FB0EF2" w:rsidRPr="00C7163E">
        <w:rPr>
          <w:lang w:val="en-GB"/>
        </w:rPr>
        <w:t xml:space="preserve"> </w:t>
      </w:r>
      <w:r w:rsidR="00B306A6" w:rsidRPr="00C7163E">
        <w:rPr>
          <w:lang w:val="en-GB"/>
        </w:rPr>
        <w:t xml:space="preserve">strong policy and legislative </w:t>
      </w:r>
      <w:r w:rsidR="00130DB9" w:rsidRPr="00C7163E">
        <w:rPr>
          <w:lang w:val="en-GB"/>
        </w:rPr>
        <w:t xml:space="preserve">gender equality </w:t>
      </w:r>
      <w:r w:rsidR="00B306A6" w:rsidRPr="00C7163E">
        <w:rPr>
          <w:lang w:val="en-GB"/>
        </w:rPr>
        <w:t>frameworks and women’s empowerment</w:t>
      </w:r>
      <w:r w:rsidR="00343B5B" w:rsidRPr="00C7163E">
        <w:rPr>
          <w:lang w:val="en-GB"/>
        </w:rPr>
        <w:t xml:space="preserve"> </w:t>
      </w:r>
      <w:r w:rsidR="00130DB9" w:rsidRPr="00C7163E">
        <w:rPr>
          <w:lang w:val="en-GB"/>
        </w:rPr>
        <w:t xml:space="preserve">in </w:t>
      </w:r>
      <w:r w:rsidR="00B306A6" w:rsidRPr="00C7163E">
        <w:rPr>
          <w:lang w:val="en-GB"/>
        </w:rPr>
        <w:t>decision</w:t>
      </w:r>
      <w:r w:rsidR="00130DB9" w:rsidRPr="00C7163E">
        <w:rPr>
          <w:lang w:val="en-GB"/>
        </w:rPr>
        <w:t>-</w:t>
      </w:r>
      <w:r w:rsidR="00B306A6" w:rsidRPr="00C7163E">
        <w:rPr>
          <w:lang w:val="en-GB"/>
        </w:rPr>
        <w:t>making processes</w:t>
      </w:r>
      <w:r w:rsidR="00343B5B" w:rsidRPr="00C7163E">
        <w:rPr>
          <w:lang w:val="en-GB"/>
        </w:rPr>
        <w:t>.</w:t>
      </w:r>
    </w:p>
    <w:p w:rsidR="00F6778E" w:rsidRPr="00C7163E" w:rsidRDefault="00F6778E" w:rsidP="00410AA4">
      <w:pPr>
        <w:pStyle w:val="ListParagraph"/>
        <w:tabs>
          <w:tab w:val="left" w:pos="1080"/>
          <w:tab w:val="left" w:pos="1620"/>
        </w:tabs>
        <w:spacing w:after="120"/>
        <w:ind w:right="810"/>
        <w:contextualSpacing/>
        <w:jc w:val="both"/>
        <w:rPr>
          <w:sz w:val="12"/>
          <w:szCs w:val="12"/>
          <w:lang w:val="en-GB"/>
        </w:rPr>
      </w:pPr>
    </w:p>
    <w:p w:rsidR="009C740E" w:rsidRPr="00C7163E" w:rsidRDefault="00F6778E" w:rsidP="00410AA4">
      <w:pPr>
        <w:pStyle w:val="ListParagraph"/>
        <w:numPr>
          <w:ilvl w:val="0"/>
          <w:numId w:val="8"/>
        </w:numPr>
        <w:tabs>
          <w:tab w:val="left" w:pos="1080"/>
          <w:tab w:val="left" w:pos="1620"/>
        </w:tabs>
        <w:spacing w:after="120"/>
        <w:ind w:left="720" w:right="810" w:firstLine="0"/>
        <w:contextualSpacing/>
        <w:jc w:val="both"/>
        <w:rPr>
          <w:color w:val="000000"/>
          <w:lang w:val="en-GB"/>
        </w:rPr>
      </w:pPr>
      <w:r w:rsidRPr="00C7163E">
        <w:rPr>
          <w:lang w:val="en-GB"/>
        </w:rPr>
        <w:t xml:space="preserve">The Independent Elections Commission organizes periodic </w:t>
      </w:r>
      <w:r w:rsidRPr="00CA06FC">
        <w:rPr>
          <w:lang w:val="en-GB"/>
        </w:rPr>
        <w:t>elections. However, the c</w:t>
      </w:r>
      <w:r w:rsidRPr="00522402">
        <w:rPr>
          <w:lang w:val="en-GB"/>
        </w:rPr>
        <w:t>ountry could benefit from widening the political space and participation. UNDP has shown comparative advantage in improving the efficiency of the judiciary through innovative mobile legal aid clinics, decentralized legal aid services</w:t>
      </w:r>
      <w:r w:rsidR="003E37CB" w:rsidRPr="002921ED">
        <w:rPr>
          <w:lang w:val="en-GB"/>
        </w:rPr>
        <w:t>,</w:t>
      </w:r>
      <w:r w:rsidRPr="002921ED">
        <w:rPr>
          <w:lang w:val="en-GB"/>
        </w:rPr>
        <w:t xml:space="preserve"> and a </w:t>
      </w:r>
      <w:r w:rsidR="003E37CB" w:rsidRPr="002921ED">
        <w:rPr>
          <w:lang w:val="en-GB"/>
        </w:rPr>
        <w:t>d</w:t>
      </w:r>
      <w:r w:rsidRPr="002921ED">
        <w:rPr>
          <w:lang w:val="en-GB"/>
        </w:rPr>
        <w:t xml:space="preserve">ispute </w:t>
      </w:r>
      <w:r w:rsidR="003E37CB" w:rsidRPr="002921ED">
        <w:rPr>
          <w:lang w:val="en-GB"/>
        </w:rPr>
        <w:t>r</w:t>
      </w:r>
      <w:r w:rsidRPr="002921ED">
        <w:rPr>
          <w:lang w:val="en-GB"/>
        </w:rPr>
        <w:t xml:space="preserve">esolution </w:t>
      </w:r>
      <w:r w:rsidR="003E37CB" w:rsidRPr="002921ED">
        <w:rPr>
          <w:lang w:val="en-GB"/>
        </w:rPr>
        <w:t>s</w:t>
      </w:r>
      <w:r w:rsidRPr="002921ED">
        <w:rPr>
          <w:lang w:val="en-GB"/>
        </w:rPr>
        <w:t xml:space="preserve">ecretariat </w:t>
      </w:r>
      <w:r w:rsidR="002F44B7" w:rsidRPr="002921ED">
        <w:rPr>
          <w:lang w:val="en-GB"/>
        </w:rPr>
        <w:t>for</w:t>
      </w:r>
      <w:r w:rsidRPr="002921ED">
        <w:rPr>
          <w:lang w:val="en-GB"/>
        </w:rPr>
        <w:t xml:space="preserve"> accessible dispensation of justice</w:t>
      </w:r>
      <w:r w:rsidR="007526AE" w:rsidRPr="002921ED">
        <w:rPr>
          <w:lang w:val="en-GB"/>
        </w:rPr>
        <w:t>.</w:t>
      </w:r>
      <w:r w:rsidRPr="002921ED">
        <w:rPr>
          <w:rStyle w:val="FootnoteReference"/>
          <w:lang w:val="en-GB"/>
        </w:rPr>
        <w:footnoteReference w:id="32"/>
      </w:r>
      <w:r w:rsidRPr="00C7163E">
        <w:rPr>
          <w:lang w:val="en-GB"/>
        </w:rPr>
        <w:t xml:space="preserve"> </w:t>
      </w:r>
      <w:r w:rsidR="009C740E" w:rsidRPr="00C7163E">
        <w:rPr>
          <w:lang w:val="en-GB"/>
        </w:rPr>
        <w:t xml:space="preserve">Support for </w:t>
      </w:r>
      <w:r w:rsidRPr="00C7163E">
        <w:rPr>
          <w:lang w:val="en-GB"/>
        </w:rPr>
        <w:t xml:space="preserve">performance audit at the National Audit Office, </w:t>
      </w:r>
      <w:r w:rsidR="003E37CB" w:rsidRPr="00C7163E">
        <w:rPr>
          <w:lang w:val="en-GB"/>
        </w:rPr>
        <w:t xml:space="preserve">the </w:t>
      </w:r>
      <w:r w:rsidRPr="00C7163E">
        <w:rPr>
          <w:lang w:val="en-GB"/>
        </w:rPr>
        <w:t xml:space="preserve">Joint Public Accounts Committee and </w:t>
      </w:r>
      <w:r w:rsidR="003E37CB" w:rsidRPr="00C7163E">
        <w:rPr>
          <w:lang w:val="en-GB"/>
        </w:rPr>
        <w:t xml:space="preserve">the </w:t>
      </w:r>
      <w:r w:rsidRPr="00C7163E">
        <w:rPr>
          <w:lang w:val="en-GB"/>
        </w:rPr>
        <w:t>Public Enterprise Committee at the National Assembly have strengthened the accountability frameworks</w:t>
      </w:r>
      <w:r w:rsidR="002F44B7" w:rsidRPr="00C7163E">
        <w:rPr>
          <w:lang w:val="en-GB"/>
        </w:rPr>
        <w:t>,</w:t>
      </w:r>
      <w:r w:rsidR="00B83CB0" w:rsidRPr="00C7163E">
        <w:rPr>
          <w:lang w:val="en-GB"/>
        </w:rPr>
        <w:t xml:space="preserve"> </w:t>
      </w:r>
      <w:r w:rsidR="00B83CB0" w:rsidRPr="00CA06FC">
        <w:rPr>
          <w:lang w:val="en-GB"/>
        </w:rPr>
        <w:t>promot</w:t>
      </w:r>
      <w:r w:rsidR="002F44B7" w:rsidRPr="00522402">
        <w:rPr>
          <w:lang w:val="en-GB"/>
        </w:rPr>
        <w:t>ing</w:t>
      </w:r>
      <w:r w:rsidR="00B83CB0" w:rsidRPr="002921ED">
        <w:rPr>
          <w:lang w:val="en-GB"/>
        </w:rPr>
        <w:t xml:space="preserve"> economic governance</w:t>
      </w:r>
      <w:r w:rsidRPr="00C7163E">
        <w:rPr>
          <w:lang w:val="en-GB"/>
        </w:rPr>
        <w:t xml:space="preserve">. </w:t>
      </w:r>
    </w:p>
    <w:p w:rsidR="009C740E" w:rsidRPr="00C7163E" w:rsidRDefault="009C740E" w:rsidP="00410AA4">
      <w:pPr>
        <w:pStyle w:val="ListParagraph"/>
        <w:tabs>
          <w:tab w:val="left" w:pos="1080"/>
          <w:tab w:val="left" w:pos="1620"/>
        </w:tabs>
        <w:spacing w:after="120"/>
        <w:ind w:right="810"/>
        <w:contextualSpacing/>
        <w:jc w:val="both"/>
        <w:rPr>
          <w:color w:val="000000"/>
          <w:sz w:val="12"/>
          <w:szCs w:val="12"/>
          <w:lang w:val="en-GB"/>
        </w:rPr>
      </w:pPr>
    </w:p>
    <w:p w:rsidR="00F6778E" w:rsidRPr="002921ED" w:rsidRDefault="00F6778E" w:rsidP="00410AA4">
      <w:pPr>
        <w:pStyle w:val="ListParagraph"/>
        <w:numPr>
          <w:ilvl w:val="0"/>
          <w:numId w:val="8"/>
        </w:numPr>
        <w:tabs>
          <w:tab w:val="left" w:pos="1080"/>
          <w:tab w:val="left" w:pos="1620"/>
        </w:tabs>
        <w:ind w:left="720" w:right="810" w:firstLine="0"/>
        <w:contextualSpacing/>
        <w:jc w:val="both"/>
        <w:rPr>
          <w:lang w:val="en-GB"/>
        </w:rPr>
      </w:pPr>
      <w:r w:rsidRPr="00CA06FC">
        <w:rPr>
          <w:lang w:val="en-GB"/>
        </w:rPr>
        <w:t xml:space="preserve">UNDP </w:t>
      </w:r>
      <w:r w:rsidR="003C67BC" w:rsidRPr="00522402">
        <w:rPr>
          <w:lang w:val="en-GB"/>
        </w:rPr>
        <w:t xml:space="preserve">contributed </w:t>
      </w:r>
      <w:r w:rsidR="00F85DB3" w:rsidRPr="002921ED">
        <w:rPr>
          <w:lang w:val="en-GB"/>
        </w:rPr>
        <w:t>to address</w:t>
      </w:r>
      <w:r w:rsidR="003E37CB" w:rsidRPr="002921ED">
        <w:rPr>
          <w:lang w:val="en-GB"/>
        </w:rPr>
        <w:t>ing</w:t>
      </w:r>
      <w:r w:rsidR="00F85DB3" w:rsidRPr="002921ED">
        <w:rPr>
          <w:lang w:val="en-GB"/>
        </w:rPr>
        <w:t xml:space="preserve"> </w:t>
      </w:r>
      <w:r w:rsidRPr="002921ED">
        <w:rPr>
          <w:lang w:val="en-GB"/>
        </w:rPr>
        <w:t xml:space="preserve">challenges </w:t>
      </w:r>
      <w:r w:rsidR="003C67BC" w:rsidRPr="002921ED">
        <w:rPr>
          <w:lang w:val="en-GB"/>
        </w:rPr>
        <w:t>identified by</w:t>
      </w:r>
      <w:r w:rsidRPr="002921ED">
        <w:rPr>
          <w:lang w:val="en-GB"/>
        </w:rPr>
        <w:t xml:space="preserve"> the </w:t>
      </w:r>
      <w:r w:rsidR="003E37CB" w:rsidRPr="002921ED">
        <w:rPr>
          <w:lang w:val="en-GB"/>
        </w:rPr>
        <w:t>m</w:t>
      </w:r>
      <w:r w:rsidRPr="002921ED">
        <w:rPr>
          <w:lang w:val="en-GB"/>
        </w:rPr>
        <w:t xml:space="preserve">idterm </w:t>
      </w:r>
      <w:r w:rsidR="003E37CB" w:rsidRPr="002921ED">
        <w:rPr>
          <w:lang w:val="en-GB"/>
        </w:rPr>
        <w:t>r</w:t>
      </w:r>
      <w:r w:rsidRPr="002921ED">
        <w:rPr>
          <w:lang w:val="en-GB"/>
        </w:rPr>
        <w:t xml:space="preserve">eview of the </w:t>
      </w:r>
      <w:r w:rsidR="003E37CB" w:rsidRPr="002921ED">
        <w:rPr>
          <w:lang w:val="en-GB"/>
        </w:rPr>
        <w:t xml:space="preserve">country programme action plan, </w:t>
      </w:r>
      <w:r w:rsidRPr="002921ED">
        <w:rPr>
          <w:lang w:val="en-GB"/>
        </w:rPr>
        <w:t>2012-2016</w:t>
      </w:r>
      <w:r w:rsidR="003E37CB" w:rsidRPr="002921ED">
        <w:rPr>
          <w:lang w:val="en-GB"/>
        </w:rPr>
        <w:t>,</w:t>
      </w:r>
      <w:r w:rsidRPr="002921ED">
        <w:rPr>
          <w:lang w:val="en-GB"/>
        </w:rPr>
        <w:t xml:space="preserve"> and </w:t>
      </w:r>
      <w:r w:rsidR="003E37CB" w:rsidRPr="002921ED">
        <w:rPr>
          <w:lang w:val="en-GB"/>
        </w:rPr>
        <w:t>the m</w:t>
      </w:r>
      <w:r w:rsidRPr="002921ED">
        <w:rPr>
          <w:lang w:val="en-GB"/>
        </w:rPr>
        <w:t xml:space="preserve">idterm </w:t>
      </w:r>
      <w:r w:rsidR="003E37CB" w:rsidRPr="002921ED">
        <w:rPr>
          <w:lang w:val="en-GB"/>
        </w:rPr>
        <w:t>r</w:t>
      </w:r>
      <w:r w:rsidRPr="002921ED">
        <w:rPr>
          <w:lang w:val="en-GB"/>
        </w:rPr>
        <w:t xml:space="preserve">eview of the </w:t>
      </w:r>
      <w:r w:rsidR="0017015E" w:rsidRPr="002921ED">
        <w:rPr>
          <w:lang w:val="en-GB"/>
        </w:rPr>
        <w:t>Programme for Accelerated Growth and Employment</w:t>
      </w:r>
      <w:r w:rsidR="00CA06FC">
        <w:rPr>
          <w:lang w:val="en-GB"/>
        </w:rPr>
        <w:t>,</w:t>
      </w:r>
      <w:r w:rsidRPr="00522402">
        <w:rPr>
          <w:lang w:val="en-GB"/>
        </w:rPr>
        <w:t xml:space="preserve"> 2014. UNDP</w:t>
      </w:r>
      <w:r w:rsidRPr="002921ED">
        <w:rPr>
          <w:lang w:val="en-GB"/>
        </w:rPr>
        <w:t xml:space="preserve"> support to policy formulation and </w:t>
      </w:r>
      <w:r w:rsidR="003E37CB" w:rsidRPr="002921ED">
        <w:rPr>
          <w:lang w:val="en-GB"/>
        </w:rPr>
        <w:t xml:space="preserve">its </w:t>
      </w:r>
      <w:r w:rsidRPr="002921ED">
        <w:rPr>
          <w:lang w:val="en-GB"/>
        </w:rPr>
        <w:t>development of sectoral plans improved coordination and monitoring of the medium</w:t>
      </w:r>
      <w:r w:rsidR="003E37CB" w:rsidRPr="002921ED">
        <w:rPr>
          <w:lang w:val="en-GB"/>
        </w:rPr>
        <w:t>-</w:t>
      </w:r>
      <w:r w:rsidRPr="002921ED">
        <w:rPr>
          <w:lang w:val="en-GB"/>
        </w:rPr>
        <w:t xml:space="preserve">term planning frameworks. </w:t>
      </w:r>
      <w:r w:rsidRPr="00C7163E">
        <w:rPr>
          <w:lang w:val="en-GB"/>
        </w:rPr>
        <w:t xml:space="preserve">Support to </w:t>
      </w:r>
      <w:r w:rsidR="003E37CB" w:rsidRPr="00C7163E">
        <w:rPr>
          <w:lang w:val="en-GB"/>
        </w:rPr>
        <w:t xml:space="preserve">the </w:t>
      </w:r>
      <w:r w:rsidRPr="00C7163E">
        <w:rPr>
          <w:lang w:val="en-GB"/>
        </w:rPr>
        <w:t xml:space="preserve">national </w:t>
      </w:r>
      <w:r w:rsidR="003E37CB" w:rsidRPr="00C7163E">
        <w:rPr>
          <w:lang w:val="en-GB"/>
        </w:rPr>
        <w:t>Millennium Development Goals</w:t>
      </w:r>
      <w:r w:rsidRPr="00C7163E">
        <w:rPr>
          <w:lang w:val="en-GB"/>
        </w:rPr>
        <w:t xml:space="preserve"> </w:t>
      </w:r>
      <w:r w:rsidR="003E37CB" w:rsidRPr="00C7163E">
        <w:rPr>
          <w:lang w:val="en-GB"/>
        </w:rPr>
        <w:t>s</w:t>
      </w:r>
      <w:r w:rsidRPr="00C7163E">
        <w:rPr>
          <w:lang w:val="en-GB"/>
        </w:rPr>
        <w:t xml:space="preserve">tatus </w:t>
      </w:r>
      <w:r w:rsidR="003E37CB" w:rsidRPr="00C7163E">
        <w:rPr>
          <w:lang w:val="en-GB"/>
        </w:rPr>
        <w:t>r</w:t>
      </w:r>
      <w:r w:rsidRPr="00C7163E">
        <w:rPr>
          <w:lang w:val="en-GB"/>
        </w:rPr>
        <w:t>eporting</w:t>
      </w:r>
      <w:r w:rsidR="004C248E" w:rsidRPr="00C7163E">
        <w:rPr>
          <w:lang w:val="en-GB"/>
        </w:rPr>
        <w:t xml:space="preserve"> and </w:t>
      </w:r>
      <w:r w:rsidR="003E37CB" w:rsidRPr="00C7163E">
        <w:rPr>
          <w:lang w:val="en-GB"/>
        </w:rPr>
        <w:t>d</w:t>
      </w:r>
      <w:r w:rsidRPr="00C7163E">
        <w:rPr>
          <w:lang w:val="en-GB"/>
        </w:rPr>
        <w:t>evelopment forums</w:t>
      </w:r>
      <w:r w:rsidR="004C248E" w:rsidRPr="00C7163E">
        <w:rPr>
          <w:lang w:val="en-GB"/>
        </w:rPr>
        <w:t>,</w:t>
      </w:r>
      <w:r w:rsidRPr="00C7163E">
        <w:rPr>
          <w:lang w:val="en-GB"/>
        </w:rPr>
        <w:t xml:space="preserve"> and strengthening statistics</w:t>
      </w:r>
      <w:r w:rsidR="004C248E" w:rsidRPr="00C7163E">
        <w:rPr>
          <w:lang w:val="en-GB"/>
        </w:rPr>
        <w:t>,</w:t>
      </w:r>
      <w:r w:rsidRPr="00C7163E">
        <w:rPr>
          <w:lang w:val="en-GB"/>
        </w:rPr>
        <w:t xml:space="preserve"> contributed to effective pro-poor policies and strategies formulation</w:t>
      </w:r>
      <w:r w:rsidR="007526AE" w:rsidRPr="00C7163E">
        <w:rPr>
          <w:lang w:val="en-GB"/>
        </w:rPr>
        <w:t>.</w:t>
      </w:r>
      <w:r w:rsidR="00257731" w:rsidRPr="00C7163E">
        <w:rPr>
          <w:rStyle w:val="FootnoteReference"/>
          <w:lang w:val="en-GB"/>
        </w:rPr>
        <w:footnoteReference w:id="33"/>
      </w:r>
      <w:r w:rsidRPr="00C7163E">
        <w:rPr>
          <w:lang w:val="en-GB"/>
        </w:rPr>
        <w:t xml:space="preserve"> </w:t>
      </w:r>
      <w:r w:rsidR="003C67BC" w:rsidRPr="00C7163E">
        <w:rPr>
          <w:lang w:val="en-GB"/>
        </w:rPr>
        <w:lastRenderedPageBreak/>
        <w:t xml:space="preserve">Support </w:t>
      </w:r>
      <w:r w:rsidR="004C248E" w:rsidRPr="00C7163E">
        <w:rPr>
          <w:lang w:val="en-GB"/>
        </w:rPr>
        <w:t>to the s</w:t>
      </w:r>
      <w:r w:rsidRPr="00C7163E">
        <w:rPr>
          <w:lang w:val="en-GB"/>
        </w:rPr>
        <w:t xml:space="preserve">ocial </w:t>
      </w:r>
      <w:r w:rsidR="004C248E" w:rsidRPr="00C7163E">
        <w:rPr>
          <w:lang w:val="en-GB"/>
        </w:rPr>
        <w:t>s</w:t>
      </w:r>
      <w:r w:rsidRPr="00C7163E">
        <w:rPr>
          <w:lang w:val="en-GB"/>
        </w:rPr>
        <w:t xml:space="preserve">ector </w:t>
      </w:r>
      <w:r w:rsidR="004C248E" w:rsidRPr="00C7163E">
        <w:rPr>
          <w:lang w:val="en-GB"/>
        </w:rPr>
        <w:t>p</w:t>
      </w:r>
      <w:r w:rsidRPr="00C7163E">
        <w:rPr>
          <w:lang w:val="en-GB"/>
        </w:rPr>
        <w:t xml:space="preserve">ublic </w:t>
      </w:r>
      <w:r w:rsidR="004C248E" w:rsidRPr="00C7163E">
        <w:rPr>
          <w:lang w:val="en-GB"/>
        </w:rPr>
        <w:t>e</w:t>
      </w:r>
      <w:r w:rsidRPr="00C7163E">
        <w:rPr>
          <w:lang w:val="en-GB"/>
        </w:rPr>
        <w:t xml:space="preserve">xpenditure </w:t>
      </w:r>
      <w:r w:rsidR="004C248E" w:rsidRPr="00C7163E">
        <w:rPr>
          <w:lang w:val="en-GB"/>
        </w:rPr>
        <w:t>r</w:t>
      </w:r>
      <w:r w:rsidRPr="00C7163E">
        <w:rPr>
          <w:lang w:val="en-GB"/>
        </w:rPr>
        <w:t xml:space="preserve">eview led to the preparation of the </w:t>
      </w:r>
      <w:r w:rsidR="004C248E" w:rsidRPr="00C7163E">
        <w:rPr>
          <w:lang w:val="en-GB"/>
        </w:rPr>
        <w:t>s</w:t>
      </w:r>
      <w:r w:rsidRPr="00C7163E">
        <w:rPr>
          <w:lang w:val="en-GB"/>
        </w:rPr>
        <w:t xml:space="preserve">ocial </w:t>
      </w:r>
      <w:r w:rsidR="004C248E" w:rsidRPr="00C7163E">
        <w:rPr>
          <w:lang w:val="en-GB"/>
        </w:rPr>
        <w:t>p</w:t>
      </w:r>
      <w:r w:rsidRPr="00C7163E">
        <w:rPr>
          <w:lang w:val="en-GB"/>
        </w:rPr>
        <w:t xml:space="preserve">rotection </w:t>
      </w:r>
      <w:r w:rsidR="004C248E" w:rsidRPr="00C7163E">
        <w:rPr>
          <w:lang w:val="en-GB"/>
        </w:rPr>
        <w:t>p</w:t>
      </w:r>
      <w:r w:rsidRPr="00C7163E">
        <w:rPr>
          <w:lang w:val="en-GB"/>
        </w:rPr>
        <w:t xml:space="preserve">olicy. </w:t>
      </w:r>
      <w:r w:rsidRPr="00CA06FC">
        <w:rPr>
          <w:lang w:val="en-GB"/>
        </w:rPr>
        <w:t xml:space="preserve">UNDP and </w:t>
      </w:r>
      <w:r w:rsidR="00A83EB9" w:rsidRPr="00CA06FC">
        <w:rPr>
          <w:lang w:val="en-GB"/>
        </w:rPr>
        <w:t xml:space="preserve">the </w:t>
      </w:r>
      <w:r w:rsidRPr="00522402">
        <w:rPr>
          <w:lang w:val="en-GB"/>
        </w:rPr>
        <w:t>African Union</w:t>
      </w:r>
      <w:r w:rsidRPr="002921ED">
        <w:rPr>
          <w:lang w:val="en-GB"/>
        </w:rPr>
        <w:t xml:space="preserve"> facilitated the development of the African </w:t>
      </w:r>
      <w:r w:rsidR="004C248E" w:rsidRPr="002921ED">
        <w:rPr>
          <w:lang w:val="en-GB"/>
        </w:rPr>
        <w:t>d</w:t>
      </w:r>
      <w:r w:rsidRPr="002921ED">
        <w:rPr>
          <w:lang w:val="en-GB"/>
        </w:rPr>
        <w:t xml:space="preserve">evelopment </w:t>
      </w:r>
      <w:r w:rsidR="004C248E" w:rsidRPr="002921ED">
        <w:rPr>
          <w:lang w:val="en-GB"/>
        </w:rPr>
        <w:t>g</w:t>
      </w:r>
      <w:r w:rsidRPr="002921ED">
        <w:rPr>
          <w:lang w:val="en-GB"/>
        </w:rPr>
        <w:t xml:space="preserve">ender </w:t>
      </w:r>
      <w:r w:rsidR="004C248E" w:rsidRPr="002921ED">
        <w:rPr>
          <w:lang w:val="en-GB"/>
        </w:rPr>
        <w:t>i</w:t>
      </w:r>
      <w:r w:rsidRPr="002921ED">
        <w:rPr>
          <w:lang w:val="en-GB"/>
        </w:rPr>
        <w:t>ndex</w:t>
      </w:r>
      <w:r w:rsidR="007526AE" w:rsidRPr="002921ED">
        <w:rPr>
          <w:lang w:val="en-GB"/>
        </w:rPr>
        <w:t>.</w:t>
      </w:r>
      <w:r w:rsidR="00E222A7" w:rsidRPr="002921ED">
        <w:rPr>
          <w:rStyle w:val="FootnoteReference"/>
          <w:lang w:val="en-GB"/>
        </w:rPr>
        <w:footnoteReference w:id="34"/>
      </w:r>
      <w:r w:rsidRPr="002921ED">
        <w:rPr>
          <w:lang w:val="en-GB"/>
        </w:rPr>
        <w:t xml:space="preserve"> </w:t>
      </w:r>
    </w:p>
    <w:p w:rsidR="00F6778E" w:rsidRPr="002921ED" w:rsidRDefault="00F6778E" w:rsidP="00410AA4">
      <w:pPr>
        <w:pStyle w:val="ListParagraph"/>
        <w:tabs>
          <w:tab w:val="left" w:pos="1080"/>
          <w:tab w:val="left" w:pos="1620"/>
        </w:tabs>
        <w:ind w:right="810"/>
        <w:contextualSpacing/>
        <w:jc w:val="both"/>
        <w:rPr>
          <w:sz w:val="12"/>
          <w:szCs w:val="12"/>
          <w:lang w:val="en-GB"/>
        </w:rPr>
      </w:pPr>
    </w:p>
    <w:p w:rsidR="00F6778E" w:rsidRPr="002921ED" w:rsidRDefault="00B83CB0" w:rsidP="00410AA4">
      <w:pPr>
        <w:pStyle w:val="ListParagraph"/>
        <w:numPr>
          <w:ilvl w:val="0"/>
          <w:numId w:val="8"/>
        </w:numPr>
        <w:tabs>
          <w:tab w:val="left" w:pos="1080"/>
          <w:tab w:val="left" w:pos="1620"/>
        </w:tabs>
        <w:ind w:left="720" w:right="810" w:firstLine="0"/>
        <w:contextualSpacing/>
        <w:jc w:val="both"/>
        <w:rPr>
          <w:lang w:val="en-GB"/>
        </w:rPr>
      </w:pPr>
      <w:r w:rsidRPr="002921ED">
        <w:rPr>
          <w:lang w:val="en-GB"/>
        </w:rPr>
        <w:t xml:space="preserve"> </w:t>
      </w:r>
      <w:r w:rsidR="00F6778E" w:rsidRPr="002921ED">
        <w:rPr>
          <w:lang w:val="en-GB"/>
        </w:rPr>
        <w:t>UNDP</w:t>
      </w:r>
      <w:r w:rsidR="004C248E" w:rsidRPr="002921ED">
        <w:rPr>
          <w:lang w:val="en-GB"/>
        </w:rPr>
        <w:t>,</w:t>
      </w:r>
      <w:r w:rsidR="00F6778E" w:rsidRPr="002921ED">
        <w:rPr>
          <w:lang w:val="en-GB"/>
        </w:rPr>
        <w:t xml:space="preserve"> in partnership with </w:t>
      </w:r>
      <w:r w:rsidR="004C248E" w:rsidRPr="002921ED">
        <w:rPr>
          <w:lang w:val="en-GB"/>
        </w:rPr>
        <w:t xml:space="preserve">the </w:t>
      </w:r>
      <w:r w:rsidR="004C248E" w:rsidRPr="00894CD0">
        <w:rPr>
          <w:lang w:val="en-GB"/>
        </w:rPr>
        <w:t>Office of the United Nations High Commissioner for Human Rights</w:t>
      </w:r>
      <w:r w:rsidR="004C248E" w:rsidRPr="00CA06FC">
        <w:rPr>
          <w:lang w:val="en-GB"/>
        </w:rPr>
        <w:t xml:space="preserve">, </w:t>
      </w:r>
      <w:r w:rsidR="00F6778E" w:rsidRPr="00522402">
        <w:rPr>
          <w:lang w:val="en-GB"/>
        </w:rPr>
        <w:t xml:space="preserve">supported </w:t>
      </w:r>
      <w:r w:rsidR="00327FCE" w:rsidRPr="00522402">
        <w:rPr>
          <w:lang w:val="en-GB"/>
        </w:rPr>
        <w:t>preparation</w:t>
      </w:r>
      <w:r w:rsidR="00F6778E" w:rsidRPr="002921ED">
        <w:rPr>
          <w:lang w:val="en-GB"/>
        </w:rPr>
        <w:t xml:space="preserve"> </w:t>
      </w:r>
      <w:r w:rsidR="00A83EB9" w:rsidRPr="002921ED">
        <w:rPr>
          <w:lang w:val="en-GB"/>
        </w:rPr>
        <w:t xml:space="preserve">of </w:t>
      </w:r>
      <w:r w:rsidR="00F6778E" w:rsidRPr="002921ED">
        <w:rPr>
          <w:lang w:val="en-GB"/>
        </w:rPr>
        <w:t xml:space="preserve">the Human Rights Commission Act, </w:t>
      </w:r>
      <w:r w:rsidR="004C248E" w:rsidRPr="002921ED">
        <w:rPr>
          <w:lang w:val="en-GB"/>
        </w:rPr>
        <w:t xml:space="preserve">the </w:t>
      </w:r>
      <w:r w:rsidR="00F6778E" w:rsidRPr="002921ED">
        <w:rPr>
          <w:lang w:val="en-GB"/>
        </w:rPr>
        <w:t>Universal Periodic Review report</w:t>
      </w:r>
      <w:r w:rsidR="004C248E" w:rsidRPr="002921ED">
        <w:rPr>
          <w:lang w:val="en-GB"/>
        </w:rPr>
        <w:t>, 2014,</w:t>
      </w:r>
      <w:r w:rsidR="00F6778E" w:rsidRPr="002921ED">
        <w:rPr>
          <w:lang w:val="en-GB"/>
        </w:rPr>
        <w:t xml:space="preserve"> and national compliance </w:t>
      </w:r>
      <w:r w:rsidR="004C248E" w:rsidRPr="002921ED">
        <w:rPr>
          <w:lang w:val="en-GB"/>
        </w:rPr>
        <w:t>with s</w:t>
      </w:r>
      <w:r w:rsidR="00F6778E" w:rsidRPr="002921ED">
        <w:rPr>
          <w:lang w:val="en-GB"/>
        </w:rPr>
        <w:t xml:space="preserve">pecial </w:t>
      </w:r>
      <w:r w:rsidR="004C248E" w:rsidRPr="002921ED">
        <w:rPr>
          <w:lang w:val="en-GB"/>
        </w:rPr>
        <w:t>p</w:t>
      </w:r>
      <w:r w:rsidR="00F6778E" w:rsidRPr="002921ED">
        <w:rPr>
          <w:lang w:val="en-GB"/>
        </w:rPr>
        <w:t>rocedures.</w:t>
      </w:r>
      <w:r w:rsidR="00892038" w:rsidRPr="002921ED">
        <w:rPr>
          <w:lang w:val="en-GB"/>
        </w:rPr>
        <w:t xml:space="preserve"> </w:t>
      </w:r>
      <w:r w:rsidR="00E80265" w:rsidRPr="00894CD0">
        <w:rPr>
          <w:lang w:val="en-GB"/>
        </w:rPr>
        <w:t xml:space="preserve">Institutionalization of the </w:t>
      </w:r>
      <w:r w:rsidR="004C248E" w:rsidRPr="00894CD0">
        <w:rPr>
          <w:lang w:val="en-GB"/>
        </w:rPr>
        <w:t>v</w:t>
      </w:r>
      <w:r w:rsidR="00E80265" w:rsidRPr="00894CD0">
        <w:rPr>
          <w:lang w:val="en-GB"/>
        </w:rPr>
        <w:t>alue</w:t>
      </w:r>
      <w:r w:rsidR="004C248E" w:rsidRPr="00894CD0">
        <w:rPr>
          <w:lang w:val="en-GB"/>
        </w:rPr>
        <w:t>-a</w:t>
      </w:r>
      <w:r w:rsidR="00E80265" w:rsidRPr="00894CD0">
        <w:rPr>
          <w:lang w:val="en-GB"/>
        </w:rPr>
        <w:t xml:space="preserve">dded </w:t>
      </w:r>
      <w:r w:rsidR="004C248E" w:rsidRPr="00894CD0">
        <w:rPr>
          <w:lang w:val="en-GB"/>
        </w:rPr>
        <w:t>t</w:t>
      </w:r>
      <w:r w:rsidR="00E80265" w:rsidRPr="00894CD0">
        <w:rPr>
          <w:lang w:val="en-GB"/>
        </w:rPr>
        <w:t>ax</w:t>
      </w:r>
      <w:r w:rsidR="004C248E" w:rsidRPr="00894CD0">
        <w:rPr>
          <w:lang w:val="en-GB"/>
        </w:rPr>
        <w:t>,</w:t>
      </w:r>
      <w:r w:rsidR="00E80265" w:rsidRPr="00894CD0">
        <w:rPr>
          <w:lang w:val="en-GB"/>
        </w:rPr>
        <w:t xml:space="preserve"> in partnership with the International Monetary Fund and World Bank</w:t>
      </w:r>
      <w:r w:rsidR="004C248E" w:rsidRPr="00894CD0">
        <w:rPr>
          <w:lang w:val="en-GB"/>
        </w:rPr>
        <w:t>,</w:t>
      </w:r>
      <w:r w:rsidR="00E80265" w:rsidRPr="00894CD0">
        <w:rPr>
          <w:lang w:val="en-GB"/>
        </w:rPr>
        <w:t xml:space="preserve"> led to </w:t>
      </w:r>
      <w:r w:rsidR="004C248E" w:rsidRPr="00894CD0">
        <w:rPr>
          <w:lang w:val="en-GB"/>
        </w:rPr>
        <w:t xml:space="preserve">an </w:t>
      </w:r>
      <w:r w:rsidR="00E80265" w:rsidRPr="00894CD0">
        <w:rPr>
          <w:lang w:val="en-GB"/>
        </w:rPr>
        <w:t>increase in tax revenue collection</w:t>
      </w:r>
      <w:r w:rsidR="007526AE" w:rsidRPr="00894CD0">
        <w:rPr>
          <w:lang w:val="en-GB"/>
        </w:rPr>
        <w:t>.</w:t>
      </w:r>
      <w:r w:rsidR="00F6778E" w:rsidRPr="00CA06FC">
        <w:rPr>
          <w:rStyle w:val="FootnoteReference"/>
          <w:lang w:val="en-GB"/>
        </w:rPr>
        <w:footnoteReference w:id="35"/>
      </w:r>
      <w:r w:rsidR="00F6778E" w:rsidRPr="00CA06FC">
        <w:rPr>
          <w:lang w:val="en-GB"/>
        </w:rPr>
        <w:t xml:space="preserve"> </w:t>
      </w:r>
      <w:r w:rsidR="00F743F8" w:rsidRPr="00522402">
        <w:rPr>
          <w:lang w:val="en-GB"/>
        </w:rPr>
        <w:t xml:space="preserve">Future </w:t>
      </w:r>
      <w:r w:rsidR="00761DA4" w:rsidRPr="00522402">
        <w:rPr>
          <w:lang w:val="en-GB"/>
        </w:rPr>
        <w:t xml:space="preserve">support </w:t>
      </w:r>
      <w:r w:rsidR="00F743F8" w:rsidRPr="002921ED">
        <w:rPr>
          <w:lang w:val="en-GB"/>
        </w:rPr>
        <w:t>should</w:t>
      </w:r>
      <w:r w:rsidR="00F6778E" w:rsidRPr="002921ED">
        <w:rPr>
          <w:lang w:val="en-GB"/>
        </w:rPr>
        <w:t xml:space="preserve"> focus </w:t>
      </w:r>
      <w:r w:rsidR="004C248E" w:rsidRPr="002921ED">
        <w:rPr>
          <w:lang w:val="en-GB"/>
        </w:rPr>
        <w:t xml:space="preserve">on </w:t>
      </w:r>
      <w:r w:rsidR="00F6778E" w:rsidRPr="002921ED">
        <w:rPr>
          <w:lang w:val="en-GB"/>
        </w:rPr>
        <w:t>improving expenditure management, restor</w:t>
      </w:r>
      <w:r w:rsidR="00F743F8" w:rsidRPr="002921ED">
        <w:rPr>
          <w:lang w:val="en-GB"/>
        </w:rPr>
        <w:t>ing</w:t>
      </w:r>
      <w:r w:rsidR="00F6778E" w:rsidRPr="002921ED">
        <w:rPr>
          <w:lang w:val="en-GB"/>
        </w:rPr>
        <w:t xml:space="preserve"> </w:t>
      </w:r>
      <w:r w:rsidR="00F743F8" w:rsidRPr="002921ED">
        <w:rPr>
          <w:lang w:val="en-GB"/>
        </w:rPr>
        <w:t>macroeconomic stability</w:t>
      </w:r>
      <w:r w:rsidR="00667401" w:rsidRPr="002921ED">
        <w:rPr>
          <w:lang w:val="en-GB"/>
        </w:rPr>
        <w:t>,</w:t>
      </w:r>
      <w:r w:rsidR="00F743F8" w:rsidRPr="002921ED">
        <w:rPr>
          <w:lang w:val="en-GB"/>
        </w:rPr>
        <w:t xml:space="preserve"> </w:t>
      </w:r>
      <w:r w:rsidR="00F6778E" w:rsidRPr="002921ED">
        <w:rPr>
          <w:lang w:val="en-GB"/>
        </w:rPr>
        <w:t>and develop</w:t>
      </w:r>
      <w:r w:rsidR="00F743F8" w:rsidRPr="002921ED">
        <w:rPr>
          <w:lang w:val="en-GB"/>
        </w:rPr>
        <w:t>ing</w:t>
      </w:r>
      <w:r w:rsidR="00F6778E" w:rsidRPr="002921ED">
        <w:rPr>
          <w:lang w:val="en-GB"/>
        </w:rPr>
        <w:t xml:space="preserve"> policies and program</w:t>
      </w:r>
      <w:r w:rsidR="004C248E" w:rsidRPr="002921ED">
        <w:rPr>
          <w:lang w:val="en-GB"/>
        </w:rPr>
        <w:t>me</w:t>
      </w:r>
      <w:r w:rsidR="00F6778E" w:rsidRPr="002921ED">
        <w:rPr>
          <w:lang w:val="en-GB"/>
        </w:rPr>
        <w:t xml:space="preserve">s </w:t>
      </w:r>
      <w:r w:rsidR="004C248E" w:rsidRPr="002921ED">
        <w:rPr>
          <w:lang w:val="en-GB"/>
        </w:rPr>
        <w:t xml:space="preserve">to </w:t>
      </w:r>
      <w:r w:rsidR="00F6778E" w:rsidRPr="002921ED">
        <w:rPr>
          <w:lang w:val="en-GB"/>
        </w:rPr>
        <w:t>address</w:t>
      </w:r>
      <w:r w:rsidR="004C248E" w:rsidRPr="002921ED">
        <w:rPr>
          <w:lang w:val="en-GB"/>
        </w:rPr>
        <w:t xml:space="preserve"> the</w:t>
      </w:r>
      <w:r w:rsidR="00F6778E" w:rsidRPr="002921ED">
        <w:rPr>
          <w:lang w:val="en-GB"/>
        </w:rPr>
        <w:t xml:space="preserve"> needs of </w:t>
      </w:r>
      <w:r w:rsidR="00761DA4" w:rsidRPr="002921ED">
        <w:rPr>
          <w:lang w:val="en-GB"/>
        </w:rPr>
        <w:t xml:space="preserve">rural </w:t>
      </w:r>
      <w:r w:rsidR="00F6778E" w:rsidRPr="002921ED">
        <w:rPr>
          <w:lang w:val="en-GB"/>
        </w:rPr>
        <w:t xml:space="preserve">women and unemployed youths. </w:t>
      </w:r>
    </w:p>
    <w:p w:rsidR="00F6778E" w:rsidRPr="002921ED" w:rsidRDefault="00F6778E" w:rsidP="00410AA4">
      <w:pPr>
        <w:pStyle w:val="ListParagraph"/>
        <w:tabs>
          <w:tab w:val="left" w:pos="1080"/>
          <w:tab w:val="left" w:pos="1620"/>
        </w:tabs>
        <w:ind w:right="810"/>
        <w:contextualSpacing/>
        <w:jc w:val="both"/>
        <w:rPr>
          <w:sz w:val="12"/>
          <w:szCs w:val="12"/>
          <w:lang w:val="en-GB"/>
        </w:rPr>
      </w:pPr>
    </w:p>
    <w:p w:rsidR="00F6778E" w:rsidRPr="002921ED" w:rsidRDefault="004C248E" w:rsidP="00410AA4">
      <w:pPr>
        <w:pStyle w:val="ListParagraph"/>
        <w:numPr>
          <w:ilvl w:val="0"/>
          <w:numId w:val="8"/>
        </w:numPr>
        <w:tabs>
          <w:tab w:val="left" w:pos="1080"/>
          <w:tab w:val="left" w:pos="1620"/>
        </w:tabs>
        <w:ind w:left="720" w:right="810" w:firstLine="0"/>
        <w:jc w:val="both"/>
        <w:rPr>
          <w:lang w:val="en-GB"/>
        </w:rPr>
      </w:pPr>
      <w:r w:rsidRPr="002921ED">
        <w:rPr>
          <w:lang w:val="en-GB"/>
        </w:rPr>
        <w:t>I</w:t>
      </w:r>
      <w:r w:rsidR="0039640B" w:rsidRPr="002921ED">
        <w:rPr>
          <w:lang w:val="en-GB"/>
        </w:rPr>
        <w:t xml:space="preserve">n collaboration with the Government, </w:t>
      </w:r>
      <w:r w:rsidRPr="002921ED">
        <w:rPr>
          <w:lang w:val="en-GB"/>
        </w:rPr>
        <w:t xml:space="preserve">UNDP </w:t>
      </w:r>
      <w:r w:rsidR="00642900" w:rsidRPr="002921ED">
        <w:rPr>
          <w:lang w:val="en-GB"/>
        </w:rPr>
        <w:t xml:space="preserve">piloted </w:t>
      </w:r>
      <w:r w:rsidR="0039640B" w:rsidRPr="002921ED">
        <w:rPr>
          <w:lang w:val="en-GB"/>
        </w:rPr>
        <w:t xml:space="preserve">the Songhai </w:t>
      </w:r>
      <w:r w:rsidR="00642900" w:rsidRPr="002921ED">
        <w:rPr>
          <w:lang w:val="en-GB"/>
        </w:rPr>
        <w:t xml:space="preserve">project through </w:t>
      </w:r>
      <w:r w:rsidRPr="002921ED">
        <w:rPr>
          <w:lang w:val="en-GB"/>
        </w:rPr>
        <w:t>S</w:t>
      </w:r>
      <w:r w:rsidR="00642900" w:rsidRPr="002921ED">
        <w:rPr>
          <w:lang w:val="en-GB"/>
        </w:rPr>
        <w:t>outh</w:t>
      </w:r>
      <w:r w:rsidRPr="002921ED">
        <w:rPr>
          <w:lang w:val="en-GB"/>
        </w:rPr>
        <w:t>-S</w:t>
      </w:r>
      <w:r w:rsidR="00642900" w:rsidRPr="002921ED">
        <w:rPr>
          <w:lang w:val="en-GB"/>
        </w:rPr>
        <w:t xml:space="preserve">outh cooperation </w:t>
      </w:r>
      <w:r w:rsidR="0039640B" w:rsidRPr="002921ED">
        <w:rPr>
          <w:lang w:val="en-GB"/>
        </w:rPr>
        <w:t>and replicate</w:t>
      </w:r>
      <w:r w:rsidR="00613332" w:rsidRPr="002921ED">
        <w:rPr>
          <w:lang w:val="en-GB"/>
        </w:rPr>
        <w:t>d</w:t>
      </w:r>
      <w:r w:rsidR="0039640B" w:rsidRPr="002921ED">
        <w:rPr>
          <w:lang w:val="en-GB"/>
        </w:rPr>
        <w:t xml:space="preserve"> the model</w:t>
      </w:r>
      <w:r w:rsidRPr="002921ED">
        <w:rPr>
          <w:lang w:val="en-GB"/>
        </w:rPr>
        <w:t>,</w:t>
      </w:r>
      <w:r w:rsidR="0039640B" w:rsidRPr="002921ED">
        <w:rPr>
          <w:lang w:val="en-GB"/>
        </w:rPr>
        <w:t xml:space="preserve"> wh</w:t>
      </w:r>
      <w:r w:rsidR="00613332" w:rsidRPr="002921ED">
        <w:rPr>
          <w:lang w:val="en-GB"/>
        </w:rPr>
        <w:t>ere 165 jobs have been created</w:t>
      </w:r>
      <w:r w:rsidRPr="002921ED">
        <w:rPr>
          <w:lang w:val="en-GB"/>
        </w:rPr>
        <w:t xml:space="preserve">. Forty-five young people were </w:t>
      </w:r>
      <w:r w:rsidR="0039640B" w:rsidRPr="002921ED">
        <w:rPr>
          <w:lang w:val="en-GB"/>
        </w:rPr>
        <w:t xml:space="preserve">trained in self-employed oriented skills, and 256 hectares of land transformed </w:t>
      </w:r>
      <w:r w:rsidRPr="002921ED">
        <w:rPr>
          <w:lang w:val="en-GB"/>
        </w:rPr>
        <w:t xml:space="preserve">for </w:t>
      </w:r>
      <w:r w:rsidR="0039640B" w:rsidRPr="002921ED">
        <w:rPr>
          <w:lang w:val="en-GB"/>
        </w:rPr>
        <w:t xml:space="preserve">productive use. </w:t>
      </w:r>
      <w:r w:rsidRPr="002921ED">
        <w:rPr>
          <w:lang w:val="en-GB"/>
        </w:rPr>
        <w:t>Forty</w:t>
      </w:r>
      <w:r w:rsidR="00410AA4" w:rsidRPr="002921ED">
        <w:rPr>
          <w:lang w:val="en-GB"/>
        </w:rPr>
        <w:t xml:space="preserve"> per cent</w:t>
      </w:r>
      <w:r w:rsidR="0039640B" w:rsidRPr="002921ED">
        <w:rPr>
          <w:lang w:val="en-GB"/>
        </w:rPr>
        <w:t xml:space="preserve"> of the beneficiaries were women.</w:t>
      </w:r>
    </w:p>
    <w:p w:rsidR="0039640B" w:rsidRPr="002921ED" w:rsidRDefault="0039640B" w:rsidP="00410AA4">
      <w:pPr>
        <w:pStyle w:val="ListParagraph"/>
        <w:tabs>
          <w:tab w:val="left" w:pos="1080"/>
        </w:tabs>
        <w:rPr>
          <w:sz w:val="12"/>
          <w:szCs w:val="12"/>
          <w:lang w:val="en-GB"/>
        </w:rPr>
      </w:pPr>
    </w:p>
    <w:p w:rsidR="00EC63B5" w:rsidRPr="002921ED" w:rsidRDefault="00710E70" w:rsidP="00410AA4">
      <w:pPr>
        <w:pStyle w:val="ListParagraph"/>
        <w:numPr>
          <w:ilvl w:val="0"/>
          <w:numId w:val="8"/>
        </w:numPr>
        <w:tabs>
          <w:tab w:val="left" w:pos="1080"/>
          <w:tab w:val="left" w:pos="1620"/>
        </w:tabs>
        <w:ind w:left="720" w:right="810" w:firstLine="0"/>
        <w:jc w:val="both"/>
        <w:rPr>
          <w:lang w:val="en-GB"/>
        </w:rPr>
      </w:pPr>
      <w:r>
        <w:rPr>
          <w:lang w:val="en-GB"/>
        </w:rPr>
        <w:t>Although the Gambia is one of</w:t>
      </w:r>
      <w:r w:rsidR="00025DD1">
        <w:rPr>
          <w:lang w:val="en-GB"/>
        </w:rPr>
        <w:t xml:space="preserve"> the </w:t>
      </w:r>
      <w:r w:rsidR="00025DD1" w:rsidRPr="00710E70">
        <w:rPr>
          <w:lang w:val="en-GB"/>
        </w:rPr>
        <w:t>least-aided countries</w:t>
      </w:r>
      <w:r w:rsidR="007526AE" w:rsidRPr="002921ED">
        <w:rPr>
          <w:lang w:val="en-GB"/>
        </w:rPr>
        <w:t>,</w:t>
      </w:r>
      <w:r w:rsidR="00F6778E" w:rsidRPr="002921ED">
        <w:rPr>
          <w:rStyle w:val="FootnoteReference"/>
          <w:lang w:val="en-GB"/>
        </w:rPr>
        <w:footnoteReference w:id="36"/>
      </w:r>
      <w:r w:rsidR="00F6778E" w:rsidRPr="002921ED">
        <w:rPr>
          <w:lang w:val="en-GB"/>
        </w:rPr>
        <w:t xml:space="preserve"> </w:t>
      </w:r>
      <w:r>
        <w:rPr>
          <w:lang w:val="en-GB"/>
        </w:rPr>
        <w:t>the UNDP</w:t>
      </w:r>
      <w:r w:rsidR="00F6778E" w:rsidRPr="002921ED">
        <w:rPr>
          <w:lang w:val="en-GB"/>
        </w:rPr>
        <w:t xml:space="preserve"> comparative advantage in econom</w:t>
      </w:r>
      <w:r w:rsidR="00892038" w:rsidRPr="002921ED">
        <w:rPr>
          <w:lang w:val="en-GB"/>
        </w:rPr>
        <w:t xml:space="preserve">ic and political governance, </w:t>
      </w:r>
      <w:r w:rsidR="00F6778E" w:rsidRPr="002921ED">
        <w:rPr>
          <w:lang w:val="en-GB"/>
        </w:rPr>
        <w:t>human capital developm</w:t>
      </w:r>
      <w:r w:rsidR="00892038" w:rsidRPr="002921ED">
        <w:rPr>
          <w:lang w:val="en-GB"/>
        </w:rPr>
        <w:t xml:space="preserve">ent, poverty eradication and </w:t>
      </w:r>
      <w:r w:rsidR="00F6778E" w:rsidRPr="002921ED">
        <w:rPr>
          <w:lang w:val="en-GB"/>
        </w:rPr>
        <w:t xml:space="preserve">resilience development proved </w:t>
      </w:r>
      <w:r w:rsidR="00BE3706" w:rsidRPr="002921ED">
        <w:rPr>
          <w:lang w:val="en-GB"/>
        </w:rPr>
        <w:t>effective in</w:t>
      </w:r>
      <w:r w:rsidR="00F6778E" w:rsidRPr="002921ED">
        <w:rPr>
          <w:lang w:val="en-GB"/>
        </w:rPr>
        <w:t xml:space="preserve"> mobili</w:t>
      </w:r>
      <w:r w:rsidR="004C248E" w:rsidRPr="002921ED">
        <w:rPr>
          <w:lang w:val="en-GB"/>
        </w:rPr>
        <w:t>z</w:t>
      </w:r>
      <w:r w:rsidR="00F6778E" w:rsidRPr="002921ED">
        <w:rPr>
          <w:lang w:val="en-GB"/>
        </w:rPr>
        <w:t>ing resources for programming, while ef</w:t>
      </w:r>
      <w:r w:rsidR="0039500E" w:rsidRPr="002921ED">
        <w:rPr>
          <w:lang w:val="en-GB"/>
        </w:rPr>
        <w:t xml:space="preserve">fective collaboration </w:t>
      </w:r>
      <w:r w:rsidR="00AC44E3" w:rsidRPr="002921ED">
        <w:rPr>
          <w:lang w:val="en-GB"/>
        </w:rPr>
        <w:t xml:space="preserve">on policy reform </w:t>
      </w:r>
      <w:r w:rsidR="00BE3706" w:rsidRPr="002921ED">
        <w:rPr>
          <w:lang w:val="en-GB"/>
        </w:rPr>
        <w:t>(</w:t>
      </w:r>
      <w:r w:rsidR="00AC44E3" w:rsidRPr="002921ED">
        <w:rPr>
          <w:lang w:val="en-GB"/>
        </w:rPr>
        <w:t xml:space="preserve">with the </w:t>
      </w:r>
      <w:r w:rsidR="00BE3706" w:rsidRPr="002921ED">
        <w:rPr>
          <w:lang w:val="en-GB"/>
        </w:rPr>
        <w:t xml:space="preserve">World Bank, </w:t>
      </w:r>
      <w:r w:rsidR="00AC44E3" w:rsidRPr="002921ED">
        <w:rPr>
          <w:lang w:val="en-GB"/>
        </w:rPr>
        <w:t xml:space="preserve">the </w:t>
      </w:r>
      <w:r w:rsidR="00BE3706" w:rsidRPr="002921ED">
        <w:rPr>
          <w:lang w:val="en-GB"/>
        </w:rPr>
        <w:t>IMF and other U</w:t>
      </w:r>
      <w:r>
        <w:rPr>
          <w:lang w:val="en-GB"/>
        </w:rPr>
        <w:t xml:space="preserve">nited </w:t>
      </w:r>
      <w:r w:rsidR="00AC44E3" w:rsidRPr="002921ED">
        <w:rPr>
          <w:lang w:val="en-GB"/>
        </w:rPr>
        <w:t>Nations partners</w:t>
      </w:r>
      <w:r w:rsidR="00BE3706" w:rsidRPr="002921ED">
        <w:rPr>
          <w:lang w:val="en-GB"/>
        </w:rPr>
        <w:t xml:space="preserve">) </w:t>
      </w:r>
      <w:r w:rsidR="00AC44E3" w:rsidRPr="002921ED">
        <w:rPr>
          <w:lang w:val="en-GB"/>
        </w:rPr>
        <w:t>improv</w:t>
      </w:r>
      <w:r w:rsidR="00F6778E" w:rsidRPr="002921ED">
        <w:rPr>
          <w:lang w:val="en-GB"/>
        </w:rPr>
        <w:t xml:space="preserve">ed development effectiveness. </w:t>
      </w:r>
      <w:r w:rsidR="00171821" w:rsidRPr="002921ED">
        <w:rPr>
          <w:lang w:val="en-GB"/>
        </w:rPr>
        <w:t>Continued support</w:t>
      </w:r>
      <w:r w:rsidR="00AC44E3" w:rsidRPr="002921ED">
        <w:rPr>
          <w:lang w:val="en-GB"/>
        </w:rPr>
        <w:t>,</w:t>
      </w:r>
      <w:r w:rsidR="00171821" w:rsidRPr="002921ED">
        <w:rPr>
          <w:lang w:val="en-GB"/>
        </w:rPr>
        <w:t xml:space="preserve"> informed by analytical studies in institutional strengthening and development of pro-poor policies and strategies</w:t>
      </w:r>
      <w:r w:rsidR="00AC44E3" w:rsidRPr="002921ED">
        <w:rPr>
          <w:lang w:val="en-GB"/>
        </w:rPr>
        <w:t>,</w:t>
      </w:r>
      <w:r w:rsidR="00171821" w:rsidRPr="002921ED">
        <w:rPr>
          <w:lang w:val="en-GB"/>
        </w:rPr>
        <w:t xml:space="preserve"> positioned UNDP as a major thought leader in policy dialogue</w:t>
      </w:r>
      <w:r w:rsidR="00AC44E3" w:rsidRPr="002921ED">
        <w:rPr>
          <w:lang w:val="en-GB"/>
        </w:rPr>
        <w:t xml:space="preserve"> and </w:t>
      </w:r>
      <w:r w:rsidR="00171821" w:rsidRPr="002921ED">
        <w:rPr>
          <w:lang w:val="en-GB"/>
        </w:rPr>
        <w:t xml:space="preserve">capacity development, and </w:t>
      </w:r>
      <w:r w:rsidR="00AC44E3" w:rsidRPr="002921ED">
        <w:rPr>
          <w:lang w:val="en-GB"/>
        </w:rPr>
        <w:t xml:space="preserve">as </w:t>
      </w:r>
      <w:r w:rsidR="00CA06FC">
        <w:rPr>
          <w:lang w:val="en-GB"/>
        </w:rPr>
        <w:t xml:space="preserve">a </w:t>
      </w:r>
      <w:r w:rsidR="00171821" w:rsidRPr="00CA06FC">
        <w:rPr>
          <w:lang w:val="en-GB"/>
        </w:rPr>
        <w:t>coordinator for international agenda</w:t>
      </w:r>
      <w:r w:rsidR="00AC44E3" w:rsidRPr="00CA06FC">
        <w:rPr>
          <w:lang w:val="en-GB"/>
        </w:rPr>
        <w:t>s such as the sustainable development goals.</w:t>
      </w:r>
      <w:r w:rsidR="00171821" w:rsidRPr="00522402">
        <w:rPr>
          <w:lang w:val="en-GB"/>
        </w:rPr>
        <w:t xml:space="preserve"> </w:t>
      </w:r>
      <w:r w:rsidR="00171821" w:rsidRPr="002921ED">
        <w:rPr>
          <w:lang w:val="en-GB"/>
        </w:rPr>
        <w:t>Lessons learn</w:t>
      </w:r>
      <w:r w:rsidR="00AC44E3" w:rsidRPr="002921ED">
        <w:rPr>
          <w:lang w:val="en-GB"/>
        </w:rPr>
        <w:t>ed</w:t>
      </w:r>
      <w:r w:rsidR="00171821" w:rsidRPr="002921ED">
        <w:rPr>
          <w:lang w:val="en-GB"/>
        </w:rPr>
        <w:t xml:space="preserve"> from past support have </w:t>
      </w:r>
      <w:r w:rsidR="00AC44E3" w:rsidRPr="002921ED">
        <w:rPr>
          <w:lang w:val="en-GB"/>
        </w:rPr>
        <w:t xml:space="preserve">contributed to </w:t>
      </w:r>
      <w:r w:rsidR="00171821" w:rsidRPr="002921ED">
        <w:rPr>
          <w:lang w:val="en-GB"/>
        </w:rPr>
        <w:t>the design of the proposed country programme.</w:t>
      </w:r>
    </w:p>
    <w:p w:rsidR="00F03E21" w:rsidRPr="002921ED" w:rsidRDefault="00F03E21" w:rsidP="00410AA4">
      <w:pPr>
        <w:tabs>
          <w:tab w:val="left" w:pos="1080"/>
          <w:tab w:val="left" w:pos="1620"/>
        </w:tabs>
        <w:ind w:left="720" w:right="810"/>
        <w:jc w:val="both"/>
        <w:rPr>
          <w:sz w:val="12"/>
          <w:szCs w:val="12"/>
          <w:lang w:val="en-GB"/>
        </w:rPr>
      </w:pPr>
    </w:p>
    <w:p w:rsidR="00F6778E" w:rsidRPr="002921ED" w:rsidRDefault="00F6778E"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2921ED">
        <w:rPr>
          <w:rFonts w:ascii="Times New Roman" w:hAnsi="Times New Roman"/>
          <w:b w:val="0"/>
          <w:sz w:val="20"/>
          <w:lang w:val="en-GB"/>
        </w:rPr>
        <w:t>The proposed programme is underpinned by the logic of accelerating inclusive</w:t>
      </w:r>
      <w:r w:rsidR="00AC44E3" w:rsidRPr="002921ED">
        <w:rPr>
          <w:rFonts w:ascii="Times New Roman" w:hAnsi="Times New Roman"/>
          <w:b w:val="0"/>
          <w:sz w:val="20"/>
          <w:lang w:val="en-GB"/>
        </w:rPr>
        <w:t>,</w:t>
      </w:r>
      <w:r w:rsidRPr="002921ED">
        <w:rPr>
          <w:rFonts w:ascii="Times New Roman" w:hAnsi="Times New Roman"/>
          <w:b w:val="0"/>
          <w:sz w:val="20"/>
          <w:lang w:val="en-GB"/>
        </w:rPr>
        <w:t xml:space="preserve"> sustainable economic growth, reinforced by </w:t>
      </w:r>
      <w:r w:rsidR="00AC44E3" w:rsidRPr="002921ED">
        <w:rPr>
          <w:rFonts w:ascii="Times New Roman" w:hAnsi="Times New Roman"/>
          <w:b w:val="0"/>
          <w:sz w:val="20"/>
          <w:lang w:val="en-GB"/>
        </w:rPr>
        <w:t xml:space="preserve">a </w:t>
      </w:r>
      <w:r w:rsidRPr="002921ED">
        <w:rPr>
          <w:rFonts w:ascii="Times New Roman" w:hAnsi="Times New Roman"/>
          <w:b w:val="0"/>
          <w:sz w:val="20"/>
          <w:lang w:val="en-GB"/>
        </w:rPr>
        <w:t>holistic resilience-building approach that promotes sustainable management of the economy, natural resources</w:t>
      </w:r>
      <w:r w:rsidR="00CA06FC">
        <w:rPr>
          <w:rFonts w:ascii="Times New Roman" w:hAnsi="Times New Roman"/>
          <w:b w:val="0"/>
          <w:sz w:val="20"/>
          <w:lang w:val="en-GB"/>
        </w:rPr>
        <w:t>,</w:t>
      </w:r>
      <w:r w:rsidRPr="00CA06FC">
        <w:rPr>
          <w:rFonts w:ascii="Times New Roman" w:hAnsi="Times New Roman"/>
          <w:b w:val="0"/>
          <w:sz w:val="20"/>
          <w:lang w:val="en-GB"/>
        </w:rPr>
        <w:t xml:space="preserve"> and the environment</w:t>
      </w:r>
      <w:r w:rsidR="00CA06FC">
        <w:rPr>
          <w:rFonts w:ascii="Times New Roman" w:hAnsi="Times New Roman"/>
          <w:b w:val="0"/>
          <w:sz w:val="20"/>
          <w:lang w:val="en-GB"/>
        </w:rPr>
        <w:t>,</w:t>
      </w:r>
      <w:r w:rsidRPr="00CA06FC">
        <w:rPr>
          <w:rFonts w:ascii="Times New Roman" w:hAnsi="Times New Roman"/>
          <w:b w:val="0"/>
          <w:sz w:val="20"/>
          <w:lang w:val="en-GB"/>
        </w:rPr>
        <w:t xml:space="preserve"> through </w:t>
      </w:r>
      <w:r w:rsidR="003A3618" w:rsidRPr="00CA06FC">
        <w:rPr>
          <w:rFonts w:ascii="Times New Roman" w:hAnsi="Times New Roman"/>
          <w:b w:val="0"/>
          <w:sz w:val="20"/>
          <w:lang w:val="en-GB"/>
        </w:rPr>
        <w:t>capacity</w:t>
      </w:r>
      <w:r w:rsidR="00AC44E3" w:rsidRPr="00522402">
        <w:rPr>
          <w:rFonts w:ascii="Times New Roman" w:hAnsi="Times New Roman"/>
          <w:b w:val="0"/>
          <w:sz w:val="20"/>
          <w:lang w:val="en-GB"/>
        </w:rPr>
        <w:t>-</w:t>
      </w:r>
      <w:r w:rsidRPr="002921ED">
        <w:rPr>
          <w:rFonts w:ascii="Times New Roman" w:hAnsi="Times New Roman"/>
          <w:b w:val="0"/>
          <w:sz w:val="20"/>
          <w:lang w:val="en-GB"/>
        </w:rPr>
        <w:t xml:space="preserve">building of national institutions and </w:t>
      </w:r>
      <w:r w:rsidR="005B1C16" w:rsidRPr="002921ED">
        <w:rPr>
          <w:rFonts w:ascii="Times New Roman" w:hAnsi="Times New Roman"/>
          <w:b w:val="0"/>
          <w:sz w:val="20"/>
          <w:lang w:val="en-GB"/>
        </w:rPr>
        <w:t>communities</w:t>
      </w:r>
      <w:r w:rsidR="00AC44E3" w:rsidRPr="00894CD0">
        <w:rPr>
          <w:rFonts w:ascii="Times New Roman" w:hAnsi="Times New Roman"/>
          <w:b w:val="0"/>
          <w:sz w:val="20"/>
          <w:lang w:val="en-GB"/>
        </w:rPr>
        <w:t xml:space="preserve">, </w:t>
      </w:r>
      <w:r w:rsidRPr="00CA06FC">
        <w:rPr>
          <w:rFonts w:ascii="Times New Roman" w:hAnsi="Times New Roman"/>
          <w:b w:val="0"/>
          <w:sz w:val="20"/>
          <w:lang w:val="en-GB"/>
        </w:rPr>
        <w:t>focus</w:t>
      </w:r>
      <w:r w:rsidR="00AC44E3" w:rsidRPr="00CA06FC">
        <w:rPr>
          <w:rFonts w:ascii="Times New Roman" w:hAnsi="Times New Roman"/>
          <w:b w:val="0"/>
          <w:sz w:val="20"/>
          <w:lang w:val="en-GB"/>
        </w:rPr>
        <w:t>ing</w:t>
      </w:r>
      <w:r w:rsidRPr="00522402">
        <w:rPr>
          <w:rFonts w:ascii="Times New Roman" w:hAnsi="Times New Roman"/>
          <w:b w:val="0"/>
          <w:sz w:val="20"/>
          <w:lang w:val="en-GB"/>
        </w:rPr>
        <w:t xml:space="preserve"> on selected strategic areas </w:t>
      </w:r>
      <w:r w:rsidR="003A3618" w:rsidRPr="00522402">
        <w:rPr>
          <w:rFonts w:ascii="Times New Roman" w:hAnsi="Times New Roman"/>
          <w:b w:val="0"/>
          <w:sz w:val="20"/>
          <w:lang w:val="en-GB"/>
        </w:rPr>
        <w:t>with</w:t>
      </w:r>
      <w:r w:rsidRPr="002921ED">
        <w:rPr>
          <w:rFonts w:ascii="Times New Roman" w:hAnsi="Times New Roman"/>
          <w:b w:val="0"/>
          <w:sz w:val="20"/>
          <w:lang w:val="en-GB"/>
        </w:rPr>
        <w:t xml:space="preserve"> multiplier effects. The development of evidence-based policies, rooted in lessons from downstream interventions</w:t>
      </w:r>
      <w:r w:rsidR="00AC44E3" w:rsidRPr="002921ED">
        <w:rPr>
          <w:rFonts w:ascii="Times New Roman" w:hAnsi="Times New Roman"/>
          <w:b w:val="0"/>
          <w:sz w:val="20"/>
          <w:lang w:val="en-GB"/>
        </w:rPr>
        <w:t>,</w:t>
      </w:r>
      <w:r w:rsidRPr="002921ED">
        <w:rPr>
          <w:rFonts w:ascii="Times New Roman" w:hAnsi="Times New Roman"/>
          <w:b w:val="0"/>
          <w:sz w:val="20"/>
          <w:lang w:val="en-GB"/>
        </w:rPr>
        <w:t xml:space="preserve"> will be prioriti</w:t>
      </w:r>
      <w:r w:rsidR="00AC44E3" w:rsidRPr="002921ED">
        <w:rPr>
          <w:rFonts w:ascii="Times New Roman" w:hAnsi="Times New Roman"/>
          <w:b w:val="0"/>
          <w:sz w:val="20"/>
          <w:lang w:val="en-GB"/>
        </w:rPr>
        <w:t>z</w:t>
      </w:r>
      <w:r w:rsidRPr="002921ED">
        <w:rPr>
          <w:rFonts w:ascii="Times New Roman" w:hAnsi="Times New Roman"/>
          <w:b w:val="0"/>
          <w:sz w:val="20"/>
          <w:lang w:val="en-GB"/>
        </w:rPr>
        <w:t>ed to promote</w:t>
      </w:r>
      <w:r w:rsidR="003A3618" w:rsidRPr="002921ED">
        <w:rPr>
          <w:rFonts w:ascii="Times New Roman" w:hAnsi="Times New Roman"/>
          <w:b w:val="0"/>
          <w:sz w:val="20"/>
          <w:lang w:val="en-GB"/>
        </w:rPr>
        <w:t xml:space="preserve"> growth</w:t>
      </w:r>
      <w:r w:rsidR="00033E8E" w:rsidRPr="002921ED">
        <w:rPr>
          <w:rFonts w:ascii="Times New Roman" w:hAnsi="Times New Roman"/>
          <w:b w:val="0"/>
          <w:sz w:val="20"/>
          <w:lang w:val="en-GB"/>
        </w:rPr>
        <w:t>,</w:t>
      </w:r>
      <w:r w:rsidR="003A3618" w:rsidRPr="002921ED">
        <w:rPr>
          <w:rFonts w:ascii="Times New Roman" w:hAnsi="Times New Roman"/>
          <w:b w:val="0"/>
          <w:sz w:val="20"/>
          <w:lang w:val="en-GB"/>
        </w:rPr>
        <w:t xml:space="preserve"> inclusiveness </w:t>
      </w:r>
      <w:r w:rsidR="00033E8E" w:rsidRPr="002921ED">
        <w:rPr>
          <w:rFonts w:ascii="Times New Roman" w:hAnsi="Times New Roman"/>
          <w:b w:val="0"/>
          <w:sz w:val="20"/>
          <w:lang w:val="en-GB"/>
        </w:rPr>
        <w:t>and</w:t>
      </w:r>
      <w:r w:rsidRPr="002921ED">
        <w:rPr>
          <w:rFonts w:ascii="Times New Roman" w:hAnsi="Times New Roman"/>
          <w:b w:val="0"/>
          <w:sz w:val="20"/>
          <w:lang w:val="en-GB"/>
        </w:rPr>
        <w:t xml:space="preserve"> empowerment of women, youth</w:t>
      </w:r>
      <w:r w:rsidRPr="00522402">
        <w:rPr>
          <w:rFonts w:ascii="Times New Roman" w:hAnsi="Times New Roman"/>
          <w:b w:val="0"/>
          <w:sz w:val="20"/>
          <w:vertAlign w:val="superscript"/>
          <w:lang w:val="en-GB"/>
        </w:rPr>
        <w:footnoteReference w:id="37"/>
      </w:r>
      <w:r w:rsidRPr="00522402">
        <w:rPr>
          <w:rFonts w:ascii="Times New Roman" w:hAnsi="Times New Roman"/>
          <w:b w:val="0"/>
          <w:sz w:val="20"/>
          <w:lang w:val="en-GB"/>
        </w:rPr>
        <w:t xml:space="preserve"> and </w:t>
      </w:r>
      <w:r w:rsidR="00AC44E3" w:rsidRPr="00522402">
        <w:rPr>
          <w:rFonts w:ascii="Times New Roman" w:hAnsi="Times New Roman"/>
          <w:b w:val="0"/>
          <w:sz w:val="20"/>
          <w:lang w:val="en-GB"/>
        </w:rPr>
        <w:t xml:space="preserve">the </w:t>
      </w:r>
      <w:r w:rsidRPr="002921ED">
        <w:rPr>
          <w:rFonts w:ascii="Times New Roman" w:hAnsi="Times New Roman"/>
          <w:b w:val="0"/>
          <w:sz w:val="20"/>
          <w:lang w:val="en-GB"/>
        </w:rPr>
        <w:t>rural poor</w:t>
      </w:r>
      <w:r w:rsidR="00AC44E3" w:rsidRPr="002921ED">
        <w:rPr>
          <w:rFonts w:ascii="Times New Roman" w:hAnsi="Times New Roman"/>
          <w:b w:val="0"/>
          <w:sz w:val="20"/>
          <w:lang w:val="en-GB"/>
        </w:rPr>
        <w:t>,</w:t>
      </w:r>
      <w:r w:rsidRPr="002921ED">
        <w:rPr>
          <w:rFonts w:ascii="Times New Roman" w:hAnsi="Times New Roman"/>
          <w:b w:val="0"/>
          <w:sz w:val="20"/>
          <w:lang w:val="en-GB"/>
        </w:rPr>
        <w:t xml:space="preserve"> through skills development, employment creation, income generation and resilience-building</w:t>
      </w:r>
      <w:r w:rsidR="003A3618" w:rsidRPr="002921ED">
        <w:rPr>
          <w:rFonts w:ascii="Times New Roman" w:hAnsi="Times New Roman"/>
          <w:b w:val="0"/>
          <w:sz w:val="20"/>
          <w:lang w:val="en-GB"/>
        </w:rPr>
        <w:t>,</w:t>
      </w:r>
      <w:r w:rsidRPr="002921ED">
        <w:rPr>
          <w:rFonts w:ascii="Times New Roman" w:hAnsi="Times New Roman"/>
          <w:b w:val="0"/>
          <w:sz w:val="20"/>
          <w:lang w:val="en-GB"/>
        </w:rPr>
        <w:t xml:space="preserve"> using innovative approach</w:t>
      </w:r>
      <w:r w:rsidR="00033E8E" w:rsidRPr="002921ED">
        <w:rPr>
          <w:rFonts w:ascii="Times New Roman" w:hAnsi="Times New Roman"/>
          <w:b w:val="0"/>
          <w:sz w:val="20"/>
          <w:lang w:val="en-GB"/>
        </w:rPr>
        <w:t>es. I</w:t>
      </w:r>
      <w:r w:rsidR="00E80265" w:rsidRPr="002921ED">
        <w:rPr>
          <w:rFonts w:ascii="Times New Roman" w:hAnsi="Times New Roman"/>
          <w:b w:val="0"/>
          <w:sz w:val="20"/>
          <w:lang w:val="en-GB"/>
        </w:rPr>
        <w:t>mportant component</w:t>
      </w:r>
      <w:r w:rsidR="00033E8E" w:rsidRPr="002921ED">
        <w:rPr>
          <w:rFonts w:ascii="Times New Roman" w:hAnsi="Times New Roman"/>
          <w:b w:val="0"/>
          <w:sz w:val="20"/>
          <w:lang w:val="en-GB"/>
        </w:rPr>
        <w:t>s are</w:t>
      </w:r>
      <w:r w:rsidR="00E80265" w:rsidRPr="002921ED">
        <w:rPr>
          <w:rFonts w:ascii="Times New Roman" w:hAnsi="Times New Roman"/>
          <w:b w:val="0"/>
          <w:sz w:val="20"/>
          <w:lang w:val="en-GB"/>
        </w:rPr>
        <w:t xml:space="preserve"> </w:t>
      </w:r>
      <w:r w:rsidR="005B1C16" w:rsidRPr="002921ED">
        <w:rPr>
          <w:rFonts w:ascii="Times New Roman" w:hAnsi="Times New Roman"/>
          <w:b w:val="0"/>
          <w:sz w:val="20"/>
          <w:lang w:val="en-GB"/>
        </w:rPr>
        <w:t xml:space="preserve">governance reform and </w:t>
      </w:r>
      <w:r w:rsidR="00E80265" w:rsidRPr="002921ED">
        <w:rPr>
          <w:rFonts w:ascii="Times New Roman" w:hAnsi="Times New Roman"/>
          <w:b w:val="0"/>
          <w:sz w:val="20"/>
          <w:lang w:val="en-GB"/>
        </w:rPr>
        <w:t>partnership</w:t>
      </w:r>
      <w:r w:rsidR="00AC44E3" w:rsidRPr="002921ED">
        <w:rPr>
          <w:rFonts w:ascii="Times New Roman" w:hAnsi="Times New Roman"/>
          <w:b w:val="0"/>
          <w:sz w:val="20"/>
          <w:lang w:val="en-GB"/>
        </w:rPr>
        <w:t>-</w:t>
      </w:r>
      <w:r w:rsidR="00E80265" w:rsidRPr="002921ED">
        <w:rPr>
          <w:rFonts w:ascii="Times New Roman" w:hAnsi="Times New Roman"/>
          <w:b w:val="0"/>
          <w:sz w:val="20"/>
          <w:lang w:val="en-GB"/>
        </w:rPr>
        <w:t xml:space="preserve">building </w:t>
      </w:r>
      <w:r w:rsidR="00AC44E3" w:rsidRPr="002921ED">
        <w:rPr>
          <w:rFonts w:ascii="Times New Roman" w:hAnsi="Times New Roman"/>
          <w:b w:val="0"/>
          <w:sz w:val="20"/>
          <w:lang w:val="en-GB"/>
        </w:rPr>
        <w:t xml:space="preserve">to </w:t>
      </w:r>
      <w:r w:rsidRPr="002921ED">
        <w:rPr>
          <w:rFonts w:ascii="Times New Roman" w:hAnsi="Times New Roman"/>
          <w:b w:val="0"/>
          <w:sz w:val="20"/>
          <w:lang w:val="en-GB"/>
        </w:rPr>
        <w:t>open financial space with renewed inflow</w:t>
      </w:r>
      <w:r w:rsidR="00CA06FC">
        <w:rPr>
          <w:rFonts w:ascii="Times New Roman" w:hAnsi="Times New Roman"/>
          <w:b w:val="0"/>
          <w:sz w:val="20"/>
          <w:lang w:val="en-GB"/>
        </w:rPr>
        <w:t>s</w:t>
      </w:r>
      <w:r w:rsidRPr="00CA06FC">
        <w:rPr>
          <w:rFonts w:ascii="Times New Roman" w:hAnsi="Times New Roman"/>
          <w:b w:val="0"/>
          <w:sz w:val="20"/>
          <w:lang w:val="en-GB"/>
        </w:rPr>
        <w:t xml:space="preserve"> of private</w:t>
      </w:r>
      <w:r w:rsidR="00AC44E3" w:rsidRPr="00CA06FC">
        <w:rPr>
          <w:rFonts w:ascii="Times New Roman" w:hAnsi="Times New Roman"/>
          <w:b w:val="0"/>
          <w:sz w:val="20"/>
          <w:lang w:val="en-GB"/>
        </w:rPr>
        <w:t>-</w:t>
      </w:r>
      <w:r w:rsidRPr="00522402">
        <w:rPr>
          <w:rFonts w:ascii="Times New Roman" w:hAnsi="Times New Roman"/>
          <w:b w:val="0"/>
          <w:sz w:val="20"/>
          <w:lang w:val="en-GB"/>
        </w:rPr>
        <w:t>sector investment</w:t>
      </w:r>
      <w:r w:rsidR="00CA06FC">
        <w:rPr>
          <w:rFonts w:ascii="Times New Roman" w:hAnsi="Times New Roman"/>
          <w:b w:val="0"/>
          <w:sz w:val="20"/>
          <w:lang w:val="en-GB"/>
        </w:rPr>
        <w:t>;</w:t>
      </w:r>
      <w:r w:rsidRPr="00CA06FC">
        <w:rPr>
          <w:rFonts w:ascii="Times New Roman" w:hAnsi="Times New Roman"/>
          <w:b w:val="0"/>
          <w:sz w:val="20"/>
          <w:lang w:val="en-GB"/>
        </w:rPr>
        <w:t xml:space="preserve"> </w:t>
      </w:r>
      <w:r w:rsidR="00AC44E3" w:rsidRPr="00522402">
        <w:rPr>
          <w:rFonts w:ascii="Times New Roman" w:hAnsi="Times New Roman"/>
          <w:b w:val="0"/>
          <w:sz w:val="20"/>
          <w:lang w:val="en-GB"/>
        </w:rPr>
        <w:t>o</w:t>
      </w:r>
      <w:r w:rsidRPr="002921ED">
        <w:rPr>
          <w:rFonts w:ascii="Times New Roman" w:hAnsi="Times New Roman"/>
          <w:b w:val="0"/>
          <w:sz w:val="20"/>
          <w:lang w:val="en-GB"/>
        </w:rPr>
        <w:t xml:space="preserve">fficial </w:t>
      </w:r>
      <w:r w:rsidR="00AC44E3" w:rsidRPr="002921ED">
        <w:rPr>
          <w:rFonts w:ascii="Times New Roman" w:hAnsi="Times New Roman"/>
          <w:b w:val="0"/>
          <w:sz w:val="20"/>
          <w:lang w:val="en-GB"/>
        </w:rPr>
        <w:t>d</w:t>
      </w:r>
      <w:r w:rsidRPr="002921ED">
        <w:rPr>
          <w:rFonts w:ascii="Times New Roman" w:hAnsi="Times New Roman"/>
          <w:b w:val="0"/>
          <w:sz w:val="20"/>
          <w:lang w:val="en-GB"/>
        </w:rPr>
        <w:t xml:space="preserve">evelopment </w:t>
      </w:r>
      <w:r w:rsidR="00AC44E3" w:rsidRPr="002921ED">
        <w:rPr>
          <w:rFonts w:ascii="Times New Roman" w:hAnsi="Times New Roman"/>
          <w:b w:val="0"/>
          <w:sz w:val="20"/>
          <w:lang w:val="en-GB"/>
        </w:rPr>
        <w:t>a</w:t>
      </w:r>
      <w:r w:rsidRPr="002921ED">
        <w:rPr>
          <w:rFonts w:ascii="Times New Roman" w:hAnsi="Times New Roman"/>
          <w:b w:val="0"/>
          <w:sz w:val="20"/>
          <w:lang w:val="en-GB"/>
        </w:rPr>
        <w:t xml:space="preserve">ssistance and </w:t>
      </w:r>
      <w:r w:rsidR="00AC44E3" w:rsidRPr="002921ED">
        <w:rPr>
          <w:rFonts w:ascii="Times New Roman" w:hAnsi="Times New Roman"/>
          <w:b w:val="0"/>
          <w:sz w:val="20"/>
          <w:lang w:val="en-GB"/>
        </w:rPr>
        <w:t>f</w:t>
      </w:r>
      <w:r w:rsidRPr="002921ED">
        <w:rPr>
          <w:rFonts w:ascii="Times New Roman" w:hAnsi="Times New Roman"/>
          <w:b w:val="0"/>
          <w:sz w:val="20"/>
          <w:lang w:val="en-GB"/>
        </w:rPr>
        <w:t xml:space="preserve">oreign </w:t>
      </w:r>
      <w:r w:rsidR="00AC44E3" w:rsidRPr="002921ED">
        <w:rPr>
          <w:rFonts w:ascii="Times New Roman" w:hAnsi="Times New Roman"/>
          <w:b w:val="0"/>
          <w:sz w:val="20"/>
          <w:lang w:val="en-GB"/>
        </w:rPr>
        <w:t>d</w:t>
      </w:r>
      <w:r w:rsidRPr="002921ED">
        <w:rPr>
          <w:rFonts w:ascii="Times New Roman" w:hAnsi="Times New Roman"/>
          <w:b w:val="0"/>
          <w:sz w:val="20"/>
          <w:lang w:val="en-GB"/>
        </w:rPr>
        <w:t xml:space="preserve">irect </w:t>
      </w:r>
      <w:r w:rsidR="00AC44E3" w:rsidRPr="002921ED">
        <w:rPr>
          <w:rFonts w:ascii="Times New Roman" w:hAnsi="Times New Roman"/>
          <w:b w:val="0"/>
          <w:sz w:val="20"/>
          <w:lang w:val="en-GB"/>
        </w:rPr>
        <w:t>i</w:t>
      </w:r>
      <w:r w:rsidRPr="002921ED">
        <w:rPr>
          <w:rFonts w:ascii="Times New Roman" w:hAnsi="Times New Roman"/>
          <w:b w:val="0"/>
          <w:sz w:val="20"/>
          <w:lang w:val="en-GB"/>
        </w:rPr>
        <w:t xml:space="preserve">nvestment to supplement domestic resources to </w:t>
      </w:r>
      <w:r w:rsidR="005B1C16" w:rsidRPr="002921ED">
        <w:rPr>
          <w:rFonts w:ascii="Times New Roman" w:hAnsi="Times New Roman"/>
          <w:b w:val="0"/>
          <w:sz w:val="20"/>
          <w:lang w:val="en-GB"/>
        </w:rPr>
        <w:t>acce</w:t>
      </w:r>
      <w:r w:rsidR="00033E8E" w:rsidRPr="002921ED">
        <w:rPr>
          <w:rFonts w:ascii="Times New Roman" w:hAnsi="Times New Roman"/>
          <w:b w:val="0"/>
          <w:sz w:val="20"/>
          <w:lang w:val="en-GB"/>
        </w:rPr>
        <w:t>lerate inclusive growth</w:t>
      </w:r>
      <w:r w:rsidR="00CA06FC">
        <w:rPr>
          <w:rFonts w:ascii="Times New Roman" w:hAnsi="Times New Roman"/>
          <w:b w:val="0"/>
          <w:sz w:val="20"/>
          <w:lang w:val="en-GB"/>
        </w:rPr>
        <w:t>;</w:t>
      </w:r>
      <w:r w:rsidR="00033E8E" w:rsidRPr="00CA06FC">
        <w:rPr>
          <w:rFonts w:ascii="Times New Roman" w:hAnsi="Times New Roman"/>
          <w:b w:val="0"/>
          <w:sz w:val="20"/>
          <w:lang w:val="en-GB"/>
        </w:rPr>
        <w:t xml:space="preserve"> and </w:t>
      </w:r>
      <w:r w:rsidR="005B1C16" w:rsidRPr="00CA06FC">
        <w:rPr>
          <w:rFonts w:ascii="Times New Roman" w:hAnsi="Times New Roman"/>
          <w:b w:val="0"/>
          <w:sz w:val="20"/>
          <w:lang w:val="en-GB"/>
        </w:rPr>
        <w:t xml:space="preserve">implementation of </w:t>
      </w:r>
      <w:r w:rsidR="00AC44E3" w:rsidRPr="00522402">
        <w:rPr>
          <w:rFonts w:ascii="Times New Roman" w:hAnsi="Times New Roman"/>
          <w:b w:val="0"/>
          <w:sz w:val="20"/>
          <w:lang w:val="en-GB"/>
        </w:rPr>
        <w:t>sustainable development goals</w:t>
      </w:r>
      <w:r w:rsidRPr="002921ED">
        <w:rPr>
          <w:rFonts w:ascii="Times New Roman" w:hAnsi="Times New Roman"/>
          <w:b w:val="0"/>
          <w:sz w:val="20"/>
          <w:lang w:val="en-GB"/>
        </w:rPr>
        <w:t xml:space="preserve">. </w:t>
      </w:r>
    </w:p>
    <w:p w:rsidR="001278EA" w:rsidRPr="002921ED" w:rsidRDefault="001278EA" w:rsidP="00410AA4">
      <w:pPr>
        <w:tabs>
          <w:tab w:val="left" w:pos="1080"/>
        </w:tabs>
        <w:ind w:left="720"/>
        <w:rPr>
          <w:lang w:val="en-GB"/>
        </w:rPr>
      </w:pPr>
    </w:p>
    <w:p w:rsidR="00B30549" w:rsidRPr="00CA06FC" w:rsidRDefault="00B30549" w:rsidP="00410AA4">
      <w:pPr>
        <w:pStyle w:val="Heading2"/>
        <w:tabs>
          <w:tab w:val="left" w:pos="1080"/>
        </w:tabs>
        <w:spacing w:after="120"/>
        <w:ind w:left="720" w:right="811" w:hanging="360"/>
        <w:jc w:val="both"/>
        <w:rPr>
          <w:rFonts w:ascii="Times New Roman" w:hAnsi="Times New Roman"/>
          <w:b w:val="0"/>
          <w:szCs w:val="28"/>
          <w:lang w:val="en-GB"/>
        </w:rPr>
      </w:pPr>
      <w:r w:rsidRPr="00894CD0">
        <w:rPr>
          <w:rFonts w:ascii="Times New Roman" w:hAnsi="Times New Roman"/>
          <w:bCs/>
          <w:color w:val="000000"/>
          <w:szCs w:val="28"/>
          <w:lang w:val="en-GB"/>
        </w:rPr>
        <w:t xml:space="preserve">II. </w:t>
      </w:r>
      <w:r w:rsidR="00186048" w:rsidRPr="00894CD0">
        <w:rPr>
          <w:rFonts w:ascii="Times New Roman" w:hAnsi="Times New Roman"/>
          <w:bCs/>
          <w:color w:val="000000"/>
          <w:szCs w:val="28"/>
          <w:lang w:val="en-GB"/>
        </w:rPr>
        <w:tab/>
      </w:r>
      <w:r w:rsidR="00FE2C04" w:rsidRPr="00894CD0">
        <w:rPr>
          <w:rFonts w:ascii="Times New Roman" w:hAnsi="Times New Roman"/>
          <w:bCs/>
          <w:color w:val="000000"/>
          <w:szCs w:val="28"/>
          <w:lang w:val="en-GB"/>
        </w:rPr>
        <w:t>Programme p</w:t>
      </w:r>
      <w:r w:rsidRPr="00894CD0">
        <w:rPr>
          <w:rFonts w:ascii="Times New Roman" w:hAnsi="Times New Roman"/>
          <w:bCs/>
          <w:color w:val="000000"/>
          <w:szCs w:val="28"/>
          <w:lang w:val="en-GB"/>
        </w:rPr>
        <w:t xml:space="preserve">riorities and </w:t>
      </w:r>
      <w:r w:rsidR="00FE2C04" w:rsidRPr="00894CD0">
        <w:rPr>
          <w:rFonts w:ascii="Times New Roman" w:hAnsi="Times New Roman"/>
          <w:bCs/>
          <w:color w:val="000000"/>
          <w:szCs w:val="28"/>
          <w:lang w:val="en-GB"/>
        </w:rPr>
        <w:t>p</w:t>
      </w:r>
      <w:r w:rsidRPr="00894CD0">
        <w:rPr>
          <w:rFonts w:ascii="Times New Roman" w:hAnsi="Times New Roman"/>
          <w:bCs/>
          <w:color w:val="000000"/>
          <w:szCs w:val="28"/>
          <w:lang w:val="en-GB"/>
        </w:rPr>
        <w:t xml:space="preserve">artnerships </w:t>
      </w:r>
    </w:p>
    <w:p w:rsidR="00FD5504" w:rsidRPr="002921ED" w:rsidRDefault="00B30549"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CA06FC">
        <w:rPr>
          <w:rFonts w:ascii="Times New Roman" w:hAnsi="Times New Roman"/>
          <w:b w:val="0"/>
          <w:sz w:val="20"/>
          <w:lang w:val="en-GB"/>
        </w:rPr>
        <w:t xml:space="preserve">UNDP, in </w:t>
      </w:r>
      <w:r w:rsidRPr="00522402">
        <w:rPr>
          <w:rFonts w:ascii="Times New Roman" w:hAnsi="Times New Roman"/>
          <w:b w:val="0"/>
          <w:sz w:val="20"/>
          <w:lang w:val="en-GB"/>
        </w:rPr>
        <w:t xml:space="preserve">alignment with </w:t>
      </w:r>
      <w:r w:rsidR="00F85D2E" w:rsidRPr="002921ED">
        <w:rPr>
          <w:rFonts w:ascii="Times New Roman" w:hAnsi="Times New Roman"/>
          <w:b w:val="0"/>
          <w:sz w:val="20"/>
          <w:lang w:val="en-GB"/>
        </w:rPr>
        <w:t xml:space="preserve">the </w:t>
      </w:r>
      <w:r w:rsidR="000A3CFD" w:rsidRPr="00894CD0">
        <w:rPr>
          <w:rFonts w:ascii="Times New Roman" w:hAnsi="Times New Roman"/>
          <w:b w:val="0"/>
          <w:sz w:val="20"/>
          <w:lang w:val="en-GB"/>
        </w:rPr>
        <w:t>United Nations Development Assistance Framework,</w:t>
      </w:r>
      <w:r w:rsidRPr="00CA06FC">
        <w:rPr>
          <w:rFonts w:ascii="Times New Roman" w:hAnsi="Times New Roman"/>
          <w:b w:val="0"/>
          <w:sz w:val="20"/>
          <w:lang w:val="en-GB"/>
        </w:rPr>
        <w:t xml:space="preserve"> </w:t>
      </w:r>
      <w:r w:rsidRPr="00522402">
        <w:rPr>
          <w:rFonts w:ascii="Times New Roman" w:hAnsi="Times New Roman"/>
          <w:b w:val="0"/>
          <w:sz w:val="20"/>
          <w:lang w:val="en-GB"/>
        </w:rPr>
        <w:t>2017-2021</w:t>
      </w:r>
      <w:r w:rsidR="000A3CFD" w:rsidRPr="00894CD0">
        <w:rPr>
          <w:rFonts w:ascii="Times New Roman" w:hAnsi="Times New Roman"/>
          <w:b w:val="0"/>
          <w:sz w:val="20"/>
          <w:lang w:val="en-GB"/>
        </w:rPr>
        <w:t>,</w:t>
      </w:r>
      <w:r w:rsidRPr="00CA06FC">
        <w:rPr>
          <w:rFonts w:ascii="Times New Roman" w:hAnsi="Times New Roman"/>
          <w:b w:val="0"/>
          <w:sz w:val="20"/>
          <w:lang w:val="en-GB"/>
        </w:rPr>
        <w:t xml:space="preserve"> an</w:t>
      </w:r>
      <w:r w:rsidR="00F85D2E" w:rsidRPr="00522402">
        <w:rPr>
          <w:rFonts w:ascii="Times New Roman" w:hAnsi="Times New Roman"/>
          <w:b w:val="0"/>
          <w:sz w:val="20"/>
          <w:lang w:val="en-GB"/>
        </w:rPr>
        <w:t xml:space="preserve">d </w:t>
      </w:r>
      <w:r w:rsidR="000A3CFD" w:rsidRPr="00894CD0">
        <w:rPr>
          <w:rFonts w:ascii="Times New Roman" w:hAnsi="Times New Roman"/>
          <w:b w:val="0"/>
          <w:sz w:val="20"/>
          <w:lang w:val="en-GB"/>
        </w:rPr>
        <w:t xml:space="preserve">the </w:t>
      </w:r>
      <w:r w:rsidR="00F85D2E" w:rsidRPr="00CA06FC">
        <w:rPr>
          <w:rFonts w:ascii="Times New Roman" w:hAnsi="Times New Roman"/>
          <w:b w:val="0"/>
          <w:sz w:val="20"/>
          <w:lang w:val="en-GB"/>
        </w:rPr>
        <w:t>UNDP</w:t>
      </w:r>
      <w:r w:rsidR="00F85D2E" w:rsidRPr="00522402">
        <w:rPr>
          <w:rFonts w:ascii="Times New Roman" w:hAnsi="Times New Roman"/>
          <w:b w:val="0"/>
          <w:sz w:val="20"/>
          <w:lang w:val="en-GB"/>
        </w:rPr>
        <w:t xml:space="preserve"> </w:t>
      </w:r>
      <w:r w:rsidR="000A3CFD" w:rsidRPr="00894CD0">
        <w:rPr>
          <w:rFonts w:ascii="Times New Roman" w:hAnsi="Times New Roman"/>
          <w:b w:val="0"/>
          <w:sz w:val="20"/>
          <w:lang w:val="en-GB"/>
        </w:rPr>
        <w:t>s</w:t>
      </w:r>
      <w:r w:rsidR="00F85D2E" w:rsidRPr="00CA06FC">
        <w:rPr>
          <w:rFonts w:ascii="Times New Roman" w:hAnsi="Times New Roman"/>
          <w:b w:val="0"/>
          <w:sz w:val="20"/>
          <w:lang w:val="en-GB"/>
        </w:rPr>
        <w:t xml:space="preserve">trategic </w:t>
      </w:r>
      <w:r w:rsidR="000A3CFD" w:rsidRPr="00894CD0">
        <w:rPr>
          <w:rFonts w:ascii="Times New Roman" w:hAnsi="Times New Roman"/>
          <w:b w:val="0"/>
          <w:sz w:val="20"/>
          <w:lang w:val="en-GB"/>
        </w:rPr>
        <w:t>p</w:t>
      </w:r>
      <w:r w:rsidR="00F85D2E" w:rsidRPr="00CA06FC">
        <w:rPr>
          <w:rFonts w:ascii="Times New Roman" w:hAnsi="Times New Roman"/>
          <w:b w:val="0"/>
          <w:sz w:val="20"/>
          <w:lang w:val="en-GB"/>
        </w:rPr>
        <w:t>lan</w:t>
      </w:r>
      <w:r w:rsidR="000A3CFD" w:rsidRPr="00894CD0">
        <w:rPr>
          <w:rFonts w:ascii="Times New Roman" w:hAnsi="Times New Roman"/>
          <w:b w:val="0"/>
          <w:sz w:val="20"/>
          <w:lang w:val="en-GB"/>
        </w:rPr>
        <w:t>,</w:t>
      </w:r>
      <w:r w:rsidR="00F85D2E" w:rsidRPr="00CA06FC">
        <w:rPr>
          <w:rFonts w:ascii="Times New Roman" w:hAnsi="Times New Roman"/>
          <w:b w:val="0"/>
          <w:sz w:val="20"/>
          <w:lang w:val="en-GB"/>
        </w:rPr>
        <w:t xml:space="preserve"> </w:t>
      </w:r>
      <w:r w:rsidR="00F85D2E" w:rsidRPr="00522402">
        <w:rPr>
          <w:rFonts w:ascii="Times New Roman" w:hAnsi="Times New Roman"/>
          <w:b w:val="0"/>
          <w:sz w:val="20"/>
          <w:lang w:val="en-GB"/>
        </w:rPr>
        <w:t>2014–</w:t>
      </w:r>
      <w:r w:rsidRPr="00522402">
        <w:rPr>
          <w:rFonts w:ascii="Times New Roman" w:hAnsi="Times New Roman"/>
          <w:b w:val="0"/>
          <w:sz w:val="20"/>
          <w:lang w:val="en-GB"/>
        </w:rPr>
        <w:t>2</w:t>
      </w:r>
      <w:r w:rsidRPr="002921ED">
        <w:rPr>
          <w:rFonts w:ascii="Times New Roman" w:hAnsi="Times New Roman"/>
          <w:b w:val="0"/>
          <w:sz w:val="20"/>
          <w:lang w:val="en-GB"/>
        </w:rPr>
        <w:t>017, will focus on</w:t>
      </w:r>
      <w:r w:rsidR="008522A1" w:rsidRPr="002921ED">
        <w:rPr>
          <w:rFonts w:ascii="Times New Roman" w:hAnsi="Times New Roman"/>
          <w:b w:val="0"/>
          <w:sz w:val="20"/>
          <w:lang w:val="en-GB"/>
        </w:rPr>
        <w:t>:</w:t>
      </w:r>
      <w:r w:rsidRPr="002921ED">
        <w:rPr>
          <w:rFonts w:ascii="Times New Roman" w:hAnsi="Times New Roman"/>
          <w:b w:val="0"/>
          <w:sz w:val="20"/>
          <w:lang w:val="en-GB"/>
        </w:rPr>
        <w:t xml:space="preserve"> (</w:t>
      </w:r>
      <w:r w:rsidR="000A3CFD" w:rsidRPr="00894CD0">
        <w:rPr>
          <w:rFonts w:ascii="Times New Roman" w:hAnsi="Times New Roman"/>
          <w:b w:val="0"/>
          <w:sz w:val="20"/>
          <w:lang w:val="en-GB"/>
        </w:rPr>
        <w:t>a</w:t>
      </w:r>
      <w:r w:rsidRPr="00CA06FC">
        <w:rPr>
          <w:rFonts w:ascii="Times New Roman" w:hAnsi="Times New Roman"/>
          <w:b w:val="0"/>
          <w:sz w:val="20"/>
          <w:lang w:val="en-GB"/>
        </w:rPr>
        <w:t xml:space="preserve">) </w:t>
      </w:r>
      <w:r w:rsidR="000A3CFD" w:rsidRPr="00894CD0">
        <w:rPr>
          <w:rFonts w:ascii="Times New Roman" w:hAnsi="Times New Roman"/>
          <w:b w:val="0"/>
          <w:sz w:val="20"/>
          <w:lang w:val="en-GB"/>
        </w:rPr>
        <w:t>i</w:t>
      </w:r>
      <w:r w:rsidR="00443428" w:rsidRPr="00CA06FC">
        <w:rPr>
          <w:rFonts w:ascii="Times New Roman" w:hAnsi="Times New Roman"/>
          <w:b w:val="0"/>
          <w:sz w:val="20"/>
          <w:lang w:val="en-GB"/>
        </w:rPr>
        <w:t xml:space="preserve">nclusive </w:t>
      </w:r>
      <w:r w:rsidR="000A3CFD" w:rsidRPr="00894CD0">
        <w:rPr>
          <w:rFonts w:ascii="Times New Roman" w:hAnsi="Times New Roman"/>
          <w:b w:val="0"/>
          <w:sz w:val="20"/>
          <w:lang w:val="en-GB"/>
        </w:rPr>
        <w:t>e</w:t>
      </w:r>
      <w:r w:rsidR="00443428" w:rsidRPr="00CA06FC">
        <w:rPr>
          <w:rFonts w:ascii="Times New Roman" w:hAnsi="Times New Roman"/>
          <w:b w:val="0"/>
          <w:sz w:val="20"/>
          <w:lang w:val="en-GB"/>
        </w:rPr>
        <w:t xml:space="preserve">conomic </w:t>
      </w:r>
      <w:r w:rsidR="000A3CFD" w:rsidRPr="00894CD0">
        <w:rPr>
          <w:rFonts w:ascii="Times New Roman" w:hAnsi="Times New Roman"/>
          <w:b w:val="0"/>
          <w:sz w:val="20"/>
          <w:lang w:val="en-GB"/>
        </w:rPr>
        <w:t>g</w:t>
      </w:r>
      <w:r w:rsidR="00443428" w:rsidRPr="00CA06FC">
        <w:rPr>
          <w:rFonts w:ascii="Times New Roman" w:hAnsi="Times New Roman"/>
          <w:b w:val="0"/>
          <w:sz w:val="20"/>
          <w:lang w:val="en-GB"/>
        </w:rPr>
        <w:t>rowth</w:t>
      </w:r>
      <w:r w:rsidR="00943DCF" w:rsidRPr="00522402">
        <w:rPr>
          <w:rFonts w:ascii="Times New Roman" w:hAnsi="Times New Roman"/>
          <w:b w:val="0"/>
          <w:sz w:val="20"/>
          <w:lang w:val="en-GB"/>
        </w:rPr>
        <w:t xml:space="preserve"> and </w:t>
      </w:r>
      <w:r w:rsidR="000A3CFD" w:rsidRPr="00894CD0">
        <w:rPr>
          <w:rFonts w:ascii="Times New Roman" w:hAnsi="Times New Roman"/>
          <w:b w:val="0"/>
          <w:sz w:val="20"/>
          <w:lang w:val="en-GB"/>
        </w:rPr>
        <w:t>p</w:t>
      </w:r>
      <w:r w:rsidR="00943DCF" w:rsidRPr="00CA06FC">
        <w:rPr>
          <w:rFonts w:ascii="Times New Roman" w:hAnsi="Times New Roman"/>
          <w:b w:val="0"/>
          <w:sz w:val="20"/>
          <w:lang w:val="en-GB"/>
        </w:rPr>
        <w:t xml:space="preserve">overty </w:t>
      </w:r>
      <w:r w:rsidR="000A3CFD" w:rsidRPr="00894CD0">
        <w:rPr>
          <w:rFonts w:ascii="Times New Roman" w:hAnsi="Times New Roman"/>
          <w:b w:val="0"/>
          <w:sz w:val="20"/>
          <w:lang w:val="en-GB"/>
        </w:rPr>
        <w:t>e</w:t>
      </w:r>
      <w:r w:rsidR="00943DCF" w:rsidRPr="00CA06FC">
        <w:rPr>
          <w:rFonts w:ascii="Times New Roman" w:hAnsi="Times New Roman"/>
          <w:b w:val="0"/>
          <w:sz w:val="20"/>
          <w:lang w:val="en-GB"/>
        </w:rPr>
        <w:t>radication</w:t>
      </w:r>
      <w:r w:rsidR="000A3CFD" w:rsidRPr="00894CD0">
        <w:rPr>
          <w:rFonts w:ascii="Times New Roman" w:hAnsi="Times New Roman"/>
          <w:b w:val="0"/>
          <w:sz w:val="20"/>
          <w:lang w:val="en-GB"/>
        </w:rPr>
        <w:t>;</w:t>
      </w:r>
      <w:r w:rsidRPr="00CA06FC">
        <w:rPr>
          <w:rFonts w:ascii="Times New Roman" w:hAnsi="Times New Roman"/>
          <w:b w:val="0"/>
          <w:sz w:val="20"/>
          <w:lang w:val="en-GB"/>
        </w:rPr>
        <w:t xml:space="preserve"> (</w:t>
      </w:r>
      <w:r w:rsidR="000A3CFD" w:rsidRPr="00894CD0">
        <w:rPr>
          <w:rFonts w:ascii="Times New Roman" w:hAnsi="Times New Roman"/>
          <w:b w:val="0"/>
          <w:sz w:val="20"/>
          <w:lang w:val="en-GB"/>
        </w:rPr>
        <w:t>b</w:t>
      </w:r>
      <w:r w:rsidRPr="00CA06FC">
        <w:rPr>
          <w:rFonts w:ascii="Times New Roman" w:hAnsi="Times New Roman"/>
          <w:b w:val="0"/>
          <w:sz w:val="20"/>
          <w:lang w:val="en-GB"/>
        </w:rPr>
        <w:t xml:space="preserve">) </w:t>
      </w:r>
      <w:r w:rsidR="000A3CFD" w:rsidRPr="00894CD0">
        <w:rPr>
          <w:rFonts w:ascii="Times New Roman" w:hAnsi="Times New Roman"/>
          <w:b w:val="0"/>
          <w:sz w:val="20"/>
          <w:lang w:val="en-GB"/>
        </w:rPr>
        <w:t>g</w:t>
      </w:r>
      <w:r w:rsidR="00943DCF" w:rsidRPr="00CA06FC">
        <w:rPr>
          <w:rFonts w:ascii="Times New Roman" w:hAnsi="Times New Roman"/>
          <w:b w:val="0"/>
          <w:sz w:val="20"/>
          <w:lang w:val="en-GB"/>
        </w:rPr>
        <w:t>overnance</w:t>
      </w:r>
      <w:r w:rsidR="00D369F1" w:rsidRPr="00522402">
        <w:rPr>
          <w:rFonts w:ascii="Times New Roman" w:hAnsi="Times New Roman"/>
          <w:b w:val="0"/>
          <w:sz w:val="20"/>
          <w:lang w:val="en-GB"/>
        </w:rPr>
        <w:t xml:space="preserve"> and </w:t>
      </w:r>
      <w:r w:rsidR="000A3CFD" w:rsidRPr="00894CD0">
        <w:rPr>
          <w:rFonts w:ascii="Times New Roman" w:hAnsi="Times New Roman"/>
          <w:b w:val="0"/>
          <w:sz w:val="20"/>
          <w:lang w:val="en-GB"/>
        </w:rPr>
        <w:t>h</w:t>
      </w:r>
      <w:r w:rsidR="00D369F1" w:rsidRPr="00CA06FC">
        <w:rPr>
          <w:rFonts w:ascii="Times New Roman" w:hAnsi="Times New Roman"/>
          <w:b w:val="0"/>
          <w:sz w:val="20"/>
          <w:lang w:val="en-GB"/>
        </w:rPr>
        <w:t xml:space="preserve">uman </w:t>
      </w:r>
      <w:r w:rsidR="000A3CFD" w:rsidRPr="00894CD0">
        <w:rPr>
          <w:rFonts w:ascii="Times New Roman" w:hAnsi="Times New Roman"/>
          <w:b w:val="0"/>
          <w:sz w:val="20"/>
          <w:lang w:val="en-GB"/>
        </w:rPr>
        <w:t>r</w:t>
      </w:r>
      <w:r w:rsidR="00943DCF" w:rsidRPr="00CA06FC">
        <w:rPr>
          <w:rFonts w:ascii="Times New Roman" w:hAnsi="Times New Roman"/>
          <w:b w:val="0"/>
          <w:sz w:val="20"/>
          <w:lang w:val="en-GB"/>
        </w:rPr>
        <w:t>ights</w:t>
      </w:r>
      <w:r w:rsidR="000A3CFD" w:rsidRPr="00894CD0">
        <w:rPr>
          <w:rFonts w:ascii="Times New Roman" w:hAnsi="Times New Roman"/>
          <w:b w:val="0"/>
          <w:sz w:val="20"/>
          <w:lang w:val="en-GB"/>
        </w:rPr>
        <w:t>; and</w:t>
      </w:r>
      <w:r w:rsidRPr="00CA06FC">
        <w:rPr>
          <w:rFonts w:ascii="Times New Roman" w:hAnsi="Times New Roman"/>
          <w:b w:val="0"/>
          <w:sz w:val="20"/>
          <w:lang w:val="en-GB"/>
        </w:rPr>
        <w:t xml:space="preserve"> (</w:t>
      </w:r>
      <w:r w:rsidR="000A3CFD" w:rsidRPr="00894CD0">
        <w:rPr>
          <w:rFonts w:ascii="Times New Roman" w:hAnsi="Times New Roman"/>
          <w:b w:val="0"/>
          <w:sz w:val="20"/>
          <w:lang w:val="en-GB"/>
        </w:rPr>
        <w:t>c</w:t>
      </w:r>
      <w:r w:rsidRPr="00CA06FC">
        <w:rPr>
          <w:rFonts w:ascii="Times New Roman" w:hAnsi="Times New Roman"/>
          <w:b w:val="0"/>
          <w:sz w:val="20"/>
          <w:lang w:val="en-GB"/>
        </w:rPr>
        <w:t xml:space="preserve">) </w:t>
      </w:r>
      <w:r w:rsidR="000A3CFD" w:rsidRPr="00894CD0">
        <w:rPr>
          <w:rFonts w:ascii="Times New Roman" w:hAnsi="Times New Roman"/>
          <w:b w:val="0"/>
          <w:sz w:val="20"/>
          <w:lang w:val="en-GB"/>
        </w:rPr>
        <w:t>e</w:t>
      </w:r>
      <w:r w:rsidR="006942DA" w:rsidRPr="00CA06FC">
        <w:rPr>
          <w:rFonts w:ascii="Times New Roman" w:hAnsi="Times New Roman"/>
          <w:b w:val="0"/>
          <w:sz w:val="20"/>
          <w:lang w:val="en-GB"/>
        </w:rPr>
        <w:t xml:space="preserve">nvironment and </w:t>
      </w:r>
      <w:r w:rsidR="000A3CFD" w:rsidRPr="00894CD0">
        <w:rPr>
          <w:rFonts w:ascii="Times New Roman" w:hAnsi="Times New Roman"/>
          <w:b w:val="0"/>
          <w:sz w:val="20"/>
          <w:lang w:val="en-GB"/>
        </w:rPr>
        <w:t>r</w:t>
      </w:r>
      <w:r w:rsidR="006942DA" w:rsidRPr="00CA06FC">
        <w:rPr>
          <w:rFonts w:ascii="Times New Roman" w:hAnsi="Times New Roman"/>
          <w:b w:val="0"/>
          <w:sz w:val="20"/>
          <w:lang w:val="en-GB"/>
        </w:rPr>
        <w:t xml:space="preserve">esilience </w:t>
      </w:r>
      <w:r w:rsidR="000A3CFD" w:rsidRPr="00894CD0">
        <w:rPr>
          <w:rFonts w:ascii="Times New Roman" w:hAnsi="Times New Roman"/>
          <w:b w:val="0"/>
          <w:sz w:val="20"/>
          <w:lang w:val="en-GB"/>
        </w:rPr>
        <w:t>d</w:t>
      </w:r>
      <w:r w:rsidR="006942DA" w:rsidRPr="00CA06FC">
        <w:rPr>
          <w:rFonts w:ascii="Times New Roman" w:hAnsi="Times New Roman"/>
          <w:b w:val="0"/>
          <w:sz w:val="20"/>
          <w:lang w:val="en-GB"/>
        </w:rPr>
        <w:t>evelopment</w:t>
      </w:r>
      <w:r w:rsidRPr="00522402">
        <w:rPr>
          <w:rFonts w:ascii="Times New Roman" w:hAnsi="Times New Roman"/>
          <w:b w:val="0"/>
          <w:sz w:val="20"/>
          <w:lang w:val="en-GB"/>
        </w:rPr>
        <w:t xml:space="preserve">. UNDP </w:t>
      </w:r>
      <w:r w:rsidR="00D3435C" w:rsidRPr="00522402">
        <w:rPr>
          <w:rFonts w:ascii="Times New Roman" w:hAnsi="Times New Roman"/>
          <w:b w:val="0"/>
          <w:sz w:val="20"/>
          <w:lang w:val="en-GB"/>
        </w:rPr>
        <w:t>will</w:t>
      </w:r>
      <w:r w:rsidRPr="002921ED">
        <w:rPr>
          <w:rFonts w:ascii="Times New Roman" w:hAnsi="Times New Roman"/>
          <w:b w:val="0"/>
          <w:sz w:val="20"/>
          <w:lang w:val="en-GB"/>
        </w:rPr>
        <w:t xml:space="preserve"> leverag</w:t>
      </w:r>
      <w:r w:rsidR="00D3435C" w:rsidRPr="002921ED">
        <w:rPr>
          <w:rFonts w:ascii="Times New Roman" w:hAnsi="Times New Roman"/>
          <w:b w:val="0"/>
          <w:sz w:val="20"/>
          <w:lang w:val="en-GB"/>
        </w:rPr>
        <w:t>e</w:t>
      </w:r>
      <w:r w:rsidRPr="002921ED">
        <w:rPr>
          <w:rFonts w:ascii="Times New Roman" w:hAnsi="Times New Roman"/>
          <w:b w:val="0"/>
          <w:sz w:val="20"/>
          <w:lang w:val="en-GB"/>
        </w:rPr>
        <w:t xml:space="preserve"> its compa</w:t>
      </w:r>
      <w:r w:rsidR="00D3435C" w:rsidRPr="002921ED">
        <w:rPr>
          <w:rFonts w:ascii="Times New Roman" w:hAnsi="Times New Roman"/>
          <w:b w:val="0"/>
          <w:sz w:val="20"/>
          <w:lang w:val="en-GB"/>
        </w:rPr>
        <w:t>rative advantage by addressing the root causes of vulnerability</w:t>
      </w:r>
      <w:r w:rsidR="00D3435C" w:rsidRPr="00522402">
        <w:rPr>
          <w:rStyle w:val="FootnoteReference"/>
          <w:rFonts w:ascii="Times New Roman" w:hAnsi="Times New Roman"/>
          <w:b w:val="0"/>
          <w:sz w:val="20"/>
          <w:lang w:val="en-GB"/>
        </w:rPr>
        <w:footnoteReference w:id="38"/>
      </w:r>
      <w:r w:rsidR="00D3435C" w:rsidRPr="00522402">
        <w:rPr>
          <w:rFonts w:ascii="Times New Roman" w:hAnsi="Times New Roman"/>
          <w:b w:val="0"/>
          <w:sz w:val="20"/>
          <w:lang w:val="en-GB"/>
        </w:rPr>
        <w:t xml:space="preserve"> to accelerate growth, build resilience and promote good governance</w:t>
      </w:r>
      <w:r w:rsidRPr="00522402">
        <w:rPr>
          <w:rFonts w:ascii="Times New Roman" w:hAnsi="Times New Roman"/>
          <w:b w:val="0"/>
          <w:sz w:val="20"/>
          <w:lang w:val="en-GB"/>
        </w:rPr>
        <w:t xml:space="preserve"> while complementing the efforts of the United Nations </w:t>
      </w:r>
      <w:r w:rsidR="000A3CFD" w:rsidRPr="002921ED">
        <w:rPr>
          <w:rFonts w:ascii="Times New Roman" w:hAnsi="Times New Roman"/>
          <w:b w:val="0"/>
          <w:sz w:val="20"/>
          <w:lang w:val="en-GB"/>
        </w:rPr>
        <w:t>c</w:t>
      </w:r>
      <w:r w:rsidRPr="002921ED">
        <w:rPr>
          <w:rFonts w:ascii="Times New Roman" w:hAnsi="Times New Roman"/>
          <w:b w:val="0"/>
          <w:sz w:val="20"/>
          <w:lang w:val="en-GB"/>
        </w:rPr>
        <w:t xml:space="preserve">ountry </w:t>
      </w:r>
      <w:r w:rsidR="000A3CFD" w:rsidRPr="002921ED">
        <w:rPr>
          <w:rFonts w:ascii="Times New Roman" w:hAnsi="Times New Roman"/>
          <w:b w:val="0"/>
          <w:sz w:val="20"/>
          <w:lang w:val="en-GB"/>
        </w:rPr>
        <w:t>t</w:t>
      </w:r>
      <w:r w:rsidRPr="002921ED">
        <w:rPr>
          <w:rFonts w:ascii="Times New Roman" w:hAnsi="Times New Roman"/>
          <w:b w:val="0"/>
          <w:sz w:val="20"/>
          <w:lang w:val="en-GB"/>
        </w:rPr>
        <w:t xml:space="preserve">eam. The strategic choices are in line with the broad objectives of the </w:t>
      </w:r>
      <w:r w:rsidR="000A3CFD" w:rsidRPr="002921ED">
        <w:rPr>
          <w:rFonts w:ascii="Times New Roman" w:hAnsi="Times New Roman"/>
          <w:b w:val="0"/>
          <w:sz w:val="20"/>
          <w:lang w:val="en-GB"/>
        </w:rPr>
        <w:t>p</w:t>
      </w:r>
      <w:r w:rsidRPr="002921ED">
        <w:rPr>
          <w:rFonts w:ascii="Times New Roman" w:hAnsi="Times New Roman"/>
          <w:b w:val="0"/>
          <w:sz w:val="20"/>
          <w:lang w:val="en-GB"/>
        </w:rPr>
        <w:t xml:space="preserve">ost-2015 </w:t>
      </w:r>
      <w:r w:rsidR="000A3CFD" w:rsidRPr="002921ED">
        <w:rPr>
          <w:rFonts w:ascii="Times New Roman" w:hAnsi="Times New Roman"/>
          <w:b w:val="0"/>
          <w:sz w:val="20"/>
          <w:lang w:val="en-GB"/>
        </w:rPr>
        <w:t>a</w:t>
      </w:r>
      <w:r w:rsidRPr="002921ED">
        <w:rPr>
          <w:rFonts w:ascii="Times New Roman" w:hAnsi="Times New Roman"/>
          <w:b w:val="0"/>
          <w:sz w:val="20"/>
          <w:lang w:val="en-GB"/>
        </w:rPr>
        <w:t>genda, Agenda 2063</w:t>
      </w:r>
      <w:r w:rsidR="000A3CFD" w:rsidRPr="002921ED">
        <w:rPr>
          <w:rFonts w:ascii="Times New Roman" w:hAnsi="Times New Roman"/>
          <w:b w:val="0"/>
          <w:sz w:val="20"/>
          <w:lang w:val="en-GB"/>
        </w:rPr>
        <w:t xml:space="preserve"> of the African Union,</w:t>
      </w:r>
      <w:r w:rsidRPr="002921ED">
        <w:rPr>
          <w:rFonts w:ascii="Times New Roman" w:hAnsi="Times New Roman"/>
          <w:b w:val="0"/>
          <w:sz w:val="20"/>
          <w:lang w:val="en-GB"/>
        </w:rPr>
        <w:t xml:space="preserve"> and the </w:t>
      </w:r>
      <w:r w:rsidRPr="002921ED">
        <w:rPr>
          <w:rFonts w:ascii="Times New Roman" w:hAnsi="Times New Roman"/>
          <w:b w:val="0"/>
          <w:sz w:val="20"/>
          <w:lang w:val="en-GB"/>
        </w:rPr>
        <w:lastRenderedPageBreak/>
        <w:t>Istanbul Programme of Action.</w:t>
      </w:r>
      <w:r w:rsidR="00066E1E" w:rsidRPr="002921ED">
        <w:rPr>
          <w:rFonts w:ascii="Times New Roman" w:hAnsi="Times New Roman"/>
          <w:b w:val="0"/>
          <w:sz w:val="20"/>
          <w:lang w:val="en-GB"/>
        </w:rPr>
        <w:t xml:space="preserve"> </w:t>
      </w:r>
      <w:r w:rsidRPr="002921ED">
        <w:rPr>
          <w:rFonts w:ascii="Times New Roman" w:hAnsi="Times New Roman"/>
          <w:b w:val="0"/>
          <w:sz w:val="20"/>
          <w:lang w:val="en-GB"/>
        </w:rPr>
        <w:t>The small size of the country office and limited resources, both human and financial, dictate that the programme adopt</w:t>
      </w:r>
      <w:r w:rsidR="00725761" w:rsidRPr="002921ED">
        <w:rPr>
          <w:rFonts w:ascii="Times New Roman" w:hAnsi="Times New Roman"/>
          <w:b w:val="0"/>
          <w:sz w:val="20"/>
          <w:lang w:val="en-GB"/>
        </w:rPr>
        <w:t>s</w:t>
      </w:r>
      <w:r w:rsidRPr="002921ED">
        <w:rPr>
          <w:rFonts w:ascii="Times New Roman" w:hAnsi="Times New Roman"/>
          <w:b w:val="0"/>
          <w:sz w:val="20"/>
          <w:lang w:val="en-GB"/>
        </w:rPr>
        <w:t xml:space="preserve"> </w:t>
      </w:r>
      <w:r w:rsidR="00936402" w:rsidRPr="002921ED">
        <w:rPr>
          <w:rFonts w:ascii="Times New Roman" w:hAnsi="Times New Roman"/>
          <w:b w:val="0"/>
          <w:sz w:val="20"/>
          <w:lang w:val="en-GB"/>
        </w:rPr>
        <w:t xml:space="preserve">a </w:t>
      </w:r>
      <w:r w:rsidRPr="002921ED">
        <w:rPr>
          <w:rFonts w:ascii="Times New Roman" w:hAnsi="Times New Roman"/>
          <w:b w:val="0"/>
          <w:sz w:val="20"/>
          <w:lang w:val="en-GB"/>
        </w:rPr>
        <w:t>more focused approach</w:t>
      </w:r>
    </w:p>
    <w:p w:rsidR="00FD5504" w:rsidRPr="002921ED" w:rsidRDefault="00FD5504" w:rsidP="00410AA4">
      <w:pPr>
        <w:pStyle w:val="Heading2"/>
        <w:tabs>
          <w:tab w:val="left" w:pos="1080"/>
        </w:tabs>
        <w:ind w:left="720" w:right="810"/>
        <w:jc w:val="both"/>
        <w:rPr>
          <w:rFonts w:ascii="Times New Roman" w:hAnsi="Times New Roman"/>
          <w:b w:val="0"/>
          <w:sz w:val="12"/>
          <w:szCs w:val="12"/>
          <w:lang w:val="en-GB"/>
        </w:rPr>
      </w:pPr>
    </w:p>
    <w:p w:rsidR="00FD5504" w:rsidRDefault="00FD5504"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2921ED">
        <w:rPr>
          <w:rFonts w:ascii="Times New Roman" w:hAnsi="Times New Roman"/>
          <w:b w:val="0"/>
          <w:sz w:val="20"/>
          <w:lang w:val="en-GB"/>
        </w:rPr>
        <w:t xml:space="preserve">The midterm reviews demonstrated that UNDP contributed to </w:t>
      </w:r>
      <w:r w:rsidR="00936402" w:rsidRPr="002921ED">
        <w:rPr>
          <w:rFonts w:ascii="Times New Roman" w:hAnsi="Times New Roman"/>
          <w:b w:val="0"/>
          <w:sz w:val="20"/>
          <w:lang w:val="en-GB"/>
        </w:rPr>
        <w:t xml:space="preserve">the </w:t>
      </w:r>
      <w:r w:rsidRPr="002921ED">
        <w:rPr>
          <w:rFonts w:ascii="Times New Roman" w:hAnsi="Times New Roman"/>
          <w:b w:val="0"/>
          <w:sz w:val="20"/>
          <w:lang w:val="en-GB"/>
        </w:rPr>
        <w:t xml:space="preserve">formulation of </w:t>
      </w:r>
      <w:r w:rsidR="00EF6B36" w:rsidRPr="00894CD0">
        <w:rPr>
          <w:rFonts w:ascii="Times New Roman" w:hAnsi="Times New Roman"/>
          <w:b w:val="0"/>
          <w:sz w:val="20"/>
          <w:lang w:val="en-GB"/>
        </w:rPr>
        <w:t xml:space="preserve">a </w:t>
      </w:r>
      <w:r w:rsidRPr="00CA06FC">
        <w:rPr>
          <w:rFonts w:ascii="Times New Roman" w:hAnsi="Times New Roman"/>
          <w:b w:val="0"/>
          <w:sz w:val="20"/>
          <w:lang w:val="en-GB"/>
        </w:rPr>
        <w:t>climate-resilient strategy and adoption of sustainable agricultural practices for small-scale producers, rehabilitation of mangrove ecosystems</w:t>
      </w:r>
      <w:r w:rsidR="00EF6B36" w:rsidRPr="00894CD0">
        <w:rPr>
          <w:rFonts w:ascii="Times New Roman" w:hAnsi="Times New Roman"/>
          <w:b w:val="0"/>
          <w:sz w:val="20"/>
          <w:lang w:val="en-GB"/>
        </w:rPr>
        <w:t>,</w:t>
      </w:r>
      <w:r w:rsidRPr="00CA06FC">
        <w:rPr>
          <w:rFonts w:ascii="Times New Roman" w:hAnsi="Times New Roman"/>
          <w:b w:val="0"/>
          <w:sz w:val="20"/>
          <w:lang w:val="en-GB"/>
        </w:rPr>
        <w:t xml:space="preserve"> and coastal protection</w:t>
      </w:r>
      <w:r w:rsidR="00936402" w:rsidRPr="00CA06FC">
        <w:rPr>
          <w:rFonts w:ascii="Times New Roman" w:hAnsi="Times New Roman"/>
          <w:b w:val="0"/>
          <w:sz w:val="20"/>
          <w:lang w:val="en-GB"/>
        </w:rPr>
        <w:t xml:space="preserve"> and </w:t>
      </w:r>
      <w:r w:rsidR="00EF6B36" w:rsidRPr="00894CD0">
        <w:rPr>
          <w:rFonts w:ascii="Times New Roman" w:hAnsi="Times New Roman"/>
          <w:b w:val="0"/>
          <w:sz w:val="20"/>
          <w:lang w:val="en-GB"/>
        </w:rPr>
        <w:t>e</w:t>
      </w:r>
      <w:r w:rsidRPr="00CA06FC">
        <w:rPr>
          <w:rFonts w:ascii="Times New Roman" w:hAnsi="Times New Roman"/>
          <w:b w:val="0"/>
          <w:sz w:val="20"/>
          <w:lang w:val="en-GB"/>
        </w:rPr>
        <w:t>arly</w:t>
      </w:r>
      <w:r w:rsidR="00EF6B36" w:rsidRPr="00894CD0">
        <w:rPr>
          <w:rFonts w:ascii="Times New Roman" w:hAnsi="Times New Roman"/>
          <w:b w:val="0"/>
          <w:sz w:val="20"/>
          <w:lang w:val="en-GB"/>
        </w:rPr>
        <w:t>-w</w:t>
      </w:r>
      <w:r w:rsidRPr="00CA06FC">
        <w:rPr>
          <w:rFonts w:ascii="Times New Roman" w:hAnsi="Times New Roman"/>
          <w:b w:val="0"/>
          <w:sz w:val="20"/>
          <w:lang w:val="en-GB"/>
        </w:rPr>
        <w:t xml:space="preserve">arning </w:t>
      </w:r>
      <w:r w:rsidR="00EF6B36" w:rsidRPr="00894CD0">
        <w:rPr>
          <w:rFonts w:ascii="Times New Roman" w:hAnsi="Times New Roman"/>
          <w:b w:val="0"/>
          <w:sz w:val="20"/>
          <w:lang w:val="en-GB"/>
        </w:rPr>
        <w:t>s</w:t>
      </w:r>
      <w:r w:rsidRPr="00CA06FC">
        <w:rPr>
          <w:rFonts w:ascii="Times New Roman" w:hAnsi="Times New Roman"/>
          <w:b w:val="0"/>
          <w:sz w:val="20"/>
          <w:lang w:val="en-GB"/>
        </w:rPr>
        <w:t>ystems for better planning a</w:t>
      </w:r>
      <w:r w:rsidRPr="00522402">
        <w:rPr>
          <w:rFonts w:ascii="Times New Roman" w:hAnsi="Times New Roman"/>
          <w:b w:val="0"/>
          <w:sz w:val="20"/>
          <w:lang w:val="en-GB"/>
        </w:rPr>
        <w:t>nd management of climate-related disasters and shocks. UNDP supported the enactment of legislation</w:t>
      </w:r>
      <w:r w:rsidR="00CA06FC">
        <w:rPr>
          <w:rFonts w:ascii="Times New Roman" w:hAnsi="Times New Roman"/>
          <w:b w:val="0"/>
          <w:sz w:val="20"/>
          <w:lang w:val="en-GB"/>
        </w:rPr>
        <w:t xml:space="preserve"> and the</w:t>
      </w:r>
      <w:r w:rsidRPr="00522402">
        <w:rPr>
          <w:rFonts w:ascii="Times New Roman" w:hAnsi="Times New Roman"/>
          <w:b w:val="0"/>
          <w:sz w:val="20"/>
          <w:lang w:val="en-GB"/>
        </w:rPr>
        <w:t xml:space="preserve"> formulation of policy frameworks </w:t>
      </w:r>
      <w:r w:rsidR="00CA06FC">
        <w:rPr>
          <w:rFonts w:ascii="Times New Roman" w:hAnsi="Times New Roman"/>
          <w:b w:val="0"/>
          <w:sz w:val="20"/>
          <w:lang w:val="en-GB"/>
        </w:rPr>
        <w:t>to integrate</w:t>
      </w:r>
      <w:r w:rsidRPr="00522402">
        <w:rPr>
          <w:rFonts w:ascii="Times New Roman" w:hAnsi="Times New Roman"/>
          <w:b w:val="0"/>
          <w:sz w:val="20"/>
          <w:lang w:val="en-GB"/>
        </w:rPr>
        <w:t xml:space="preserve"> </w:t>
      </w:r>
      <w:r w:rsidR="00EF6B36" w:rsidRPr="00522402">
        <w:rPr>
          <w:rFonts w:ascii="Times New Roman" w:hAnsi="Times New Roman"/>
          <w:b w:val="0"/>
          <w:sz w:val="20"/>
          <w:lang w:val="en-GB"/>
        </w:rPr>
        <w:t>d</w:t>
      </w:r>
      <w:r w:rsidRPr="00522402">
        <w:rPr>
          <w:rFonts w:ascii="Times New Roman" w:hAnsi="Times New Roman"/>
          <w:b w:val="0"/>
          <w:sz w:val="20"/>
          <w:lang w:val="en-GB"/>
        </w:rPr>
        <w:t xml:space="preserve">isaster </w:t>
      </w:r>
      <w:r w:rsidR="00EF6B36" w:rsidRPr="002921ED">
        <w:rPr>
          <w:rFonts w:ascii="Times New Roman" w:hAnsi="Times New Roman"/>
          <w:b w:val="0"/>
          <w:sz w:val="20"/>
          <w:lang w:val="en-GB"/>
        </w:rPr>
        <w:t>r</w:t>
      </w:r>
      <w:r w:rsidRPr="002921ED">
        <w:rPr>
          <w:rFonts w:ascii="Times New Roman" w:hAnsi="Times New Roman"/>
          <w:b w:val="0"/>
          <w:sz w:val="20"/>
          <w:lang w:val="en-GB"/>
        </w:rPr>
        <w:t xml:space="preserve">isk </w:t>
      </w:r>
      <w:r w:rsidR="00EF6B36" w:rsidRPr="002921ED">
        <w:rPr>
          <w:rFonts w:ascii="Times New Roman" w:hAnsi="Times New Roman"/>
          <w:b w:val="0"/>
          <w:sz w:val="20"/>
          <w:lang w:val="en-GB"/>
        </w:rPr>
        <w:t>r</w:t>
      </w:r>
      <w:r w:rsidRPr="002921ED">
        <w:rPr>
          <w:rFonts w:ascii="Times New Roman" w:hAnsi="Times New Roman"/>
          <w:b w:val="0"/>
          <w:sz w:val="20"/>
          <w:lang w:val="en-GB"/>
        </w:rPr>
        <w:t>eduction</w:t>
      </w:r>
      <w:r w:rsidR="00EF6B36" w:rsidRPr="002921ED">
        <w:rPr>
          <w:rFonts w:ascii="Times New Roman" w:hAnsi="Times New Roman"/>
          <w:b w:val="0"/>
          <w:sz w:val="20"/>
          <w:lang w:val="en-GB"/>
        </w:rPr>
        <w:t xml:space="preserve"> and</w:t>
      </w:r>
      <w:r w:rsidRPr="002921ED">
        <w:rPr>
          <w:rFonts w:ascii="Times New Roman" w:hAnsi="Times New Roman"/>
          <w:b w:val="0"/>
          <w:sz w:val="20"/>
          <w:lang w:val="en-GB"/>
        </w:rPr>
        <w:t xml:space="preserve"> </w:t>
      </w:r>
      <w:r w:rsidR="00EF6B36" w:rsidRPr="002921ED">
        <w:rPr>
          <w:rFonts w:ascii="Times New Roman" w:hAnsi="Times New Roman"/>
          <w:b w:val="0"/>
          <w:sz w:val="20"/>
          <w:lang w:val="en-GB"/>
        </w:rPr>
        <w:t>c</w:t>
      </w:r>
      <w:r w:rsidRPr="002921ED">
        <w:rPr>
          <w:rFonts w:ascii="Times New Roman" w:hAnsi="Times New Roman"/>
          <w:b w:val="0"/>
          <w:sz w:val="20"/>
          <w:lang w:val="en-GB"/>
        </w:rPr>
        <w:t xml:space="preserve">limate </w:t>
      </w:r>
      <w:r w:rsidR="00EF6B36" w:rsidRPr="002921ED">
        <w:rPr>
          <w:rFonts w:ascii="Times New Roman" w:hAnsi="Times New Roman"/>
          <w:b w:val="0"/>
          <w:sz w:val="20"/>
          <w:lang w:val="en-GB"/>
        </w:rPr>
        <w:t>c</w:t>
      </w:r>
      <w:r w:rsidRPr="002921ED">
        <w:rPr>
          <w:rFonts w:ascii="Times New Roman" w:hAnsi="Times New Roman"/>
          <w:b w:val="0"/>
          <w:sz w:val="20"/>
          <w:lang w:val="en-GB"/>
        </w:rPr>
        <w:t xml:space="preserve">hange </w:t>
      </w:r>
      <w:r w:rsidR="00EF6B36" w:rsidRPr="002921ED">
        <w:rPr>
          <w:rFonts w:ascii="Times New Roman" w:hAnsi="Times New Roman"/>
          <w:b w:val="0"/>
          <w:sz w:val="20"/>
          <w:lang w:val="en-GB"/>
        </w:rPr>
        <w:t>a</w:t>
      </w:r>
      <w:r w:rsidRPr="002921ED">
        <w:rPr>
          <w:rFonts w:ascii="Times New Roman" w:hAnsi="Times New Roman"/>
          <w:b w:val="0"/>
          <w:sz w:val="20"/>
          <w:lang w:val="en-GB"/>
        </w:rPr>
        <w:t xml:space="preserve">daptation into national policies and </w:t>
      </w:r>
      <w:r w:rsidR="00CA06FC" w:rsidRPr="002921ED">
        <w:rPr>
          <w:rFonts w:ascii="Times New Roman" w:hAnsi="Times New Roman"/>
          <w:b w:val="0"/>
          <w:sz w:val="20"/>
          <w:lang w:val="en-GB"/>
        </w:rPr>
        <w:t>promote</w:t>
      </w:r>
      <w:r w:rsidRPr="002921ED">
        <w:rPr>
          <w:rFonts w:ascii="Times New Roman" w:hAnsi="Times New Roman"/>
          <w:b w:val="0"/>
          <w:sz w:val="20"/>
          <w:lang w:val="en-GB"/>
        </w:rPr>
        <w:t xml:space="preserve"> renewable energy</w:t>
      </w:r>
      <w:r w:rsidR="00B34CD4" w:rsidRPr="002921ED">
        <w:rPr>
          <w:rFonts w:ascii="Times New Roman" w:hAnsi="Times New Roman"/>
          <w:b w:val="0"/>
          <w:sz w:val="20"/>
          <w:lang w:val="en-GB"/>
        </w:rPr>
        <w:t>.</w:t>
      </w:r>
      <w:r w:rsidR="00184BF1" w:rsidRPr="002921ED">
        <w:rPr>
          <w:rFonts w:ascii="Times New Roman" w:hAnsi="Times New Roman"/>
          <w:b w:val="0"/>
          <w:sz w:val="20"/>
          <w:lang w:val="en-GB"/>
        </w:rPr>
        <w:t xml:space="preserve"> </w:t>
      </w:r>
    </w:p>
    <w:p w:rsidR="00CA06FC" w:rsidRPr="00894CD0" w:rsidRDefault="00CA06FC" w:rsidP="00894CD0">
      <w:pPr>
        <w:ind w:firstLine="720"/>
        <w:rPr>
          <w:sz w:val="12"/>
          <w:szCs w:val="12"/>
          <w:lang w:val="en-GB"/>
        </w:rPr>
      </w:pPr>
    </w:p>
    <w:p w:rsidR="00CA06FC" w:rsidRPr="00894CD0" w:rsidRDefault="00CA06FC" w:rsidP="00894CD0">
      <w:pPr>
        <w:ind w:firstLine="720"/>
        <w:rPr>
          <w:b/>
          <w:sz w:val="12"/>
          <w:szCs w:val="12"/>
          <w:lang w:val="en-GB"/>
        </w:rPr>
      </w:pPr>
      <w:r w:rsidRPr="00CA06FC">
        <w:rPr>
          <w:b/>
          <w:i/>
          <w:lang w:val="en-GB"/>
        </w:rPr>
        <w:t>Inclusive economic growth</w:t>
      </w:r>
      <w:r w:rsidRPr="00894CD0">
        <w:rPr>
          <w:b/>
          <w:i/>
          <w:lang w:val="en-GB"/>
        </w:rPr>
        <w:t xml:space="preserve"> </w:t>
      </w:r>
      <w:r w:rsidRPr="00CA06FC">
        <w:rPr>
          <w:b/>
          <w:i/>
          <w:lang w:val="en-GB"/>
        </w:rPr>
        <w:t>and poverty eradication</w:t>
      </w:r>
    </w:p>
    <w:p w:rsidR="00B9330A" w:rsidRPr="00522402" w:rsidRDefault="00B9330A" w:rsidP="00410AA4">
      <w:pPr>
        <w:tabs>
          <w:tab w:val="left" w:pos="1080"/>
        </w:tabs>
        <w:ind w:left="720"/>
        <w:rPr>
          <w:sz w:val="12"/>
          <w:szCs w:val="12"/>
          <w:lang w:val="en-GB"/>
        </w:rPr>
      </w:pPr>
    </w:p>
    <w:p w:rsidR="00B30549" w:rsidRPr="002921ED" w:rsidRDefault="00B30549"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522402">
        <w:rPr>
          <w:rFonts w:ascii="Times New Roman" w:hAnsi="Times New Roman"/>
          <w:b w:val="0"/>
          <w:sz w:val="20"/>
          <w:lang w:val="en-GB"/>
        </w:rPr>
        <w:t xml:space="preserve">UNDP will address the poverty, inequality and exclusion </w:t>
      </w:r>
      <w:r w:rsidR="00A73C3B" w:rsidRPr="00522402">
        <w:rPr>
          <w:rFonts w:ascii="Times New Roman" w:hAnsi="Times New Roman"/>
          <w:b w:val="0"/>
          <w:sz w:val="20"/>
          <w:lang w:val="en-GB"/>
        </w:rPr>
        <w:t>nexus</w:t>
      </w:r>
      <w:r w:rsidRPr="00522402">
        <w:rPr>
          <w:rFonts w:ascii="Times New Roman" w:hAnsi="Times New Roman"/>
          <w:b w:val="0"/>
          <w:sz w:val="20"/>
          <w:lang w:val="en-GB"/>
        </w:rPr>
        <w:t xml:space="preserve">, providing </w:t>
      </w:r>
      <w:r w:rsidRPr="002921ED">
        <w:rPr>
          <w:rFonts w:ascii="Times New Roman" w:hAnsi="Times New Roman"/>
          <w:b w:val="0"/>
          <w:sz w:val="20"/>
          <w:lang w:val="en-GB"/>
        </w:rPr>
        <w:t xml:space="preserve">both upstream and downstream </w:t>
      </w:r>
      <w:r w:rsidR="00CA06FC" w:rsidRPr="00EC516A">
        <w:rPr>
          <w:rFonts w:ascii="Times New Roman" w:hAnsi="Times New Roman"/>
          <w:b w:val="0"/>
          <w:sz w:val="20"/>
          <w:lang w:val="en-GB"/>
        </w:rPr>
        <w:t xml:space="preserve">support </w:t>
      </w:r>
      <w:r w:rsidR="00CA06FC">
        <w:rPr>
          <w:rFonts w:ascii="Times New Roman" w:hAnsi="Times New Roman"/>
          <w:b w:val="0"/>
          <w:sz w:val="20"/>
          <w:lang w:val="en-GB"/>
        </w:rPr>
        <w:t>and</w:t>
      </w:r>
      <w:r w:rsidR="00CA06FC" w:rsidRPr="00EC516A">
        <w:rPr>
          <w:rFonts w:ascii="Times New Roman" w:hAnsi="Times New Roman"/>
          <w:b w:val="0"/>
          <w:sz w:val="20"/>
          <w:lang w:val="en-GB"/>
        </w:rPr>
        <w:t xml:space="preserve"> </w:t>
      </w:r>
      <w:r w:rsidRPr="00522402">
        <w:rPr>
          <w:rFonts w:ascii="Times New Roman" w:hAnsi="Times New Roman"/>
          <w:b w:val="0"/>
          <w:sz w:val="20"/>
          <w:lang w:val="en-GB"/>
        </w:rPr>
        <w:t xml:space="preserve">building on </w:t>
      </w:r>
      <w:r w:rsidRPr="002921ED">
        <w:rPr>
          <w:rFonts w:ascii="Times New Roman" w:hAnsi="Times New Roman"/>
          <w:b w:val="0"/>
          <w:sz w:val="20"/>
          <w:lang w:val="en-GB"/>
        </w:rPr>
        <w:t>current prog</w:t>
      </w:r>
      <w:r w:rsidR="0096233E" w:rsidRPr="002921ED">
        <w:rPr>
          <w:rFonts w:ascii="Times New Roman" w:hAnsi="Times New Roman"/>
          <w:b w:val="0"/>
          <w:sz w:val="20"/>
          <w:lang w:val="en-GB"/>
        </w:rPr>
        <w:t>ramme cycle achievements</w:t>
      </w:r>
      <w:r w:rsidRPr="002921ED">
        <w:rPr>
          <w:rFonts w:ascii="Times New Roman" w:hAnsi="Times New Roman"/>
          <w:b w:val="0"/>
          <w:sz w:val="20"/>
          <w:lang w:val="en-GB"/>
        </w:rPr>
        <w:t xml:space="preserve">: </w:t>
      </w:r>
      <w:r w:rsidR="00443428" w:rsidRPr="002921ED">
        <w:rPr>
          <w:rFonts w:ascii="Times New Roman" w:hAnsi="Times New Roman"/>
          <w:b w:val="0"/>
          <w:sz w:val="20"/>
          <w:lang w:val="en-GB"/>
        </w:rPr>
        <w:t>evidence</w:t>
      </w:r>
      <w:r w:rsidR="00045E34" w:rsidRPr="002921ED">
        <w:rPr>
          <w:rFonts w:ascii="Times New Roman" w:hAnsi="Times New Roman"/>
          <w:b w:val="0"/>
          <w:sz w:val="20"/>
          <w:lang w:val="en-GB"/>
        </w:rPr>
        <w:t>-</w:t>
      </w:r>
      <w:r w:rsidR="00443428" w:rsidRPr="002921ED">
        <w:rPr>
          <w:rFonts w:ascii="Times New Roman" w:hAnsi="Times New Roman"/>
          <w:b w:val="0"/>
          <w:sz w:val="20"/>
          <w:lang w:val="en-GB"/>
        </w:rPr>
        <w:t>based planning</w:t>
      </w:r>
      <w:r w:rsidR="00045E34" w:rsidRPr="002921ED">
        <w:rPr>
          <w:rFonts w:ascii="Times New Roman" w:hAnsi="Times New Roman"/>
          <w:b w:val="0"/>
          <w:sz w:val="20"/>
          <w:lang w:val="en-GB"/>
        </w:rPr>
        <w:t>, livelihoods</w:t>
      </w:r>
      <w:r w:rsidR="00CA06FC">
        <w:rPr>
          <w:rFonts w:ascii="Times New Roman" w:hAnsi="Times New Roman"/>
          <w:b w:val="0"/>
          <w:sz w:val="20"/>
          <w:lang w:val="en-GB"/>
        </w:rPr>
        <w:t xml:space="preserve"> and</w:t>
      </w:r>
      <w:r w:rsidR="00EF6B36" w:rsidRPr="00522402">
        <w:rPr>
          <w:rFonts w:ascii="Times New Roman" w:hAnsi="Times New Roman"/>
          <w:b w:val="0"/>
          <w:sz w:val="20"/>
          <w:lang w:val="en-GB"/>
        </w:rPr>
        <w:t xml:space="preserve"> </w:t>
      </w:r>
      <w:r w:rsidRPr="00522402">
        <w:rPr>
          <w:rFonts w:ascii="Times New Roman" w:hAnsi="Times New Roman"/>
          <w:b w:val="0"/>
          <w:sz w:val="20"/>
          <w:lang w:val="en-GB"/>
        </w:rPr>
        <w:t xml:space="preserve">employment promotion; inclusive growth; </w:t>
      </w:r>
      <w:r w:rsidR="00443428" w:rsidRPr="00522402">
        <w:rPr>
          <w:rFonts w:ascii="Times New Roman" w:hAnsi="Times New Roman"/>
          <w:b w:val="0"/>
          <w:sz w:val="20"/>
          <w:lang w:val="en-GB"/>
        </w:rPr>
        <w:t xml:space="preserve">and </w:t>
      </w:r>
      <w:r w:rsidR="00045E34" w:rsidRPr="002921ED">
        <w:rPr>
          <w:rFonts w:ascii="Times New Roman" w:hAnsi="Times New Roman"/>
          <w:b w:val="0"/>
          <w:sz w:val="20"/>
          <w:lang w:val="en-GB"/>
        </w:rPr>
        <w:t>social protection.</w:t>
      </w:r>
      <w:r w:rsidRPr="002921ED">
        <w:rPr>
          <w:rFonts w:ascii="Times New Roman" w:hAnsi="Times New Roman"/>
          <w:b w:val="0"/>
          <w:sz w:val="20"/>
          <w:lang w:val="en-GB"/>
        </w:rPr>
        <w:t xml:space="preserve"> </w:t>
      </w:r>
      <w:r w:rsidR="00CA06FC">
        <w:rPr>
          <w:rFonts w:ascii="Times New Roman" w:hAnsi="Times New Roman"/>
          <w:b w:val="0"/>
          <w:sz w:val="20"/>
          <w:lang w:val="en-GB"/>
        </w:rPr>
        <w:t>I</w:t>
      </w:r>
      <w:r w:rsidR="00690C1D" w:rsidRPr="00522402">
        <w:rPr>
          <w:rFonts w:ascii="Times New Roman" w:hAnsi="Times New Roman"/>
          <w:b w:val="0"/>
          <w:sz w:val="20"/>
          <w:lang w:val="en-GB"/>
        </w:rPr>
        <w:t xml:space="preserve">n collaboration with </w:t>
      </w:r>
      <w:r w:rsidR="00EF6B36" w:rsidRPr="00522402">
        <w:rPr>
          <w:rFonts w:ascii="Times New Roman" w:hAnsi="Times New Roman"/>
          <w:b w:val="0"/>
          <w:sz w:val="20"/>
          <w:lang w:val="en-GB"/>
        </w:rPr>
        <w:t xml:space="preserve">the </w:t>
      </w:r>
      <w:r w:rsidR="00690C1D" w:rsidRPr="00522402">
        <w:rPr>
          <w:rFonts w:ascii="Times New Roman" w:hAnsi="Times New Roman"/>
          <w:b w:val="0"/>
          <w:sz w:val="20"/>
          <w:lang w:val="en-GB"/>
        </w:rPr>
        <w:t xml:space="preserve">World Bank, </w:t>
      </w:r>
      <w:r w:rsidR="00EF6B36" w:rsidRPr="00522402">
        <w:rPr>
          <w:rFonts w:ascii="Times New Roman" w:hAnsi="Times New Roman"/>
          <w:b w:val="0"/>
          <w:sz w:val="20"/>
          <w:lang w:val="en-GB"/>
        </w:rPr>
        <w:t xml:space="preserve">the </w:t>
      </w:r>
      <w:r w:rsidR="00B12DDF" w:rsidRPr="002921ED">
        <w:rPr>
          <w:rFonts w:ascii="Times New Roman" w:hAnsi="Times New Roman"/>
          <w:b w:val="0"/>
          <w:sz w:val="20"/>
          <w:lang w:val="en-GB"/>
        </w:rPr>
        <w:t xml:space="preserve">IMF </w:t>
      </w:r>
      <w:r w:rsidR="00690C1D" w:rsidRPr="002921ED">
        <w:rPr>
          <w:rFonts w:ascii="Times New Roman" w:hAnsi="Times New Roman"/>
          <w:b w:val="0"/>
          <w:sz w:val="20"/>
          <w:lang w:val="en-GB"/>
        </w:rPr>
        <w:t xml:space="preserve">and African Development Bank, </w:t>
      </w:r>
      <w:r w:rsidR="00CA06FC">
        <w:rPr>
          <w:rFonts w:ascii="Times New Roman" w:hAnsi="Times New Roman"/>
          <w:b w:val="0"/>
          <w:sz w:val="20"/>
          <w:lang w:val="en-GB"/>
        </w:rPr>
        <w:t>UNDP</w:t>
      </w:r>
      <w:r w:rsidR="00CA06FC" w:rsidRPr="00EC516A">
        <w:rPr>
          <w:rFonts w:ascii="Times New Roman" w:hAnsi="Times New Roman"/>
          <w:b w:val="0"/>
          <w:sz w:val="20"/>
          <w:lang w:val="en-GB"/>
        </w:rPr>
        <w:t xml:space="preserve"> </w:t>
      </w:r>
      <w:r w:rsidR="00690C1D" w:rsidRPr="00522402">
        <w:rPr>
          <w:rFonts w:ascii="Times New Roman" w:hAnsi="Times New Roman"/>
          <w:b w:val="0"/>
          <w:sz w:val="20"/>
          <w:lang w:val="en-GB"/>
        </w:rPr>
        <w:t>will support the recently created Ministry of Planning and Policy a</w:t>
      </w:r>
      <w:r w:rsidR="001C695D" w:rsidRPr="00522402">
        <w:rPr>
          <w:rFonts w:ascii="Times New Roman" w:hAnsi="Times New Roman"/>
          <w:b w:val="0"/>
          <w:sz w:val="20"/>
          <w:lang w:val="en-GB"/>
        </w:rPr>
        <w:t>nd</w:t>
      </w:r>
      <w:r w:rsidR="00690C1D" w:rsidRPr="00522402">
        <w:rPr>
          <w:rFonts w:ascii="Times New Roman" w:hAnsi="Times New Roman"/>
          <w:b w:val="0"/>
          <w:sz w:val="20"/>
          <w:lang w:val="en-GB"/>
        </w:rPr>
        <w:t xml:space="preserve"> </w:t>
      </w:r>
      <w:r w:rsidR="00EF6B36" w:rsidRPr="002921ED">
        <w:rPr>
          <w:rFonts w:ascii="Times New Roman" w:hAnsi="Times New Roman"/>
          <w:b w:val="0"/>
          <w:sz w:val="20"/>
          <w:lang w:val="en-GB"/>
        </w:rPr>
        <w:t xml:space="preserve">the </w:t>
      </w:r>
      <w:r w:rsidR="00690C1D" w:rsidRPr="002921ED">
        <w:rPr>
          <w:rFonts w:ascii="Times New Roman" w:hAnsi="Times New Roman"/>
          <w:b w:val="0"/>
          <w:sz w:val="20"/>
          <w:lang w:val="en-GB"/>
        </w:rPr>
        <w:t>Gambia Burea</w:t>
      </w:r>
      <w:r w:rsidR="00F66E83" w:rsidRPr="002921ED">
        <w:rPr>
          <w:rFonts w:ascii="Times New Roman" w:hAnsi="Times New Roman"/>
          <w:b w:val="0"/>
          <w:sz w:val="20"/>
          <w:lang w:val="en-GB"/>
        </w:rPr>
        <w:t>u</w:t>
      </w:r>
      <w:r w:rsidR="00690C1D" w:rsidRPr="002921ED">
        <w:rPr>
          <w:rFonts w:ascii="Times New Roman" w:hAnsi="Times New Roman"/>
          <w:b w:val="0"/>
          <w:sz w:val="20"/>
          <w:lang w:val="en-GB"/>
        </w:rPr>
        <w:t xml:space="preserve"> of Statistics</w:t>
      </w:r>
      <w:r w:rsidR="00B926A6" w:rsidRPr="002921ED">
        <w:rPr>
          <w:rFonts w:ascii="Times New Roman" w:hAnsi="Times New Roman"/>
          <w:b w:val="0"/>
          <w:sz w:val="20"/>
          <w:lang w:val="en-GB"/>
        </w:rPr>
        <w:t xml:space="preserve">. </w:t>
      </w:r>
      <w:r w:rsidR="00690C1D" w:rsidRPr="002921ED">
        <w:rPr>
          <w:rFonts w:ascii="Times New Roman" w:hAnsi="Times New Roman"/>
          <w:b w:val="0"/>
          <w:sz w:val="20"/>
          <w:lang w:val="en-GB"/>
        </w:rPr>
        <w:t xml:space="preserve">UNDP </w:t>
      </w:r>
      <w:r w:rsidR="00780891" w:rsidRPr="002921ED">
        <w:rPr>
          <w:rFonts w:ascii="Times New Roman" w:hAnsi="Times New Roman"/>
          <w:b w:val="0"/>
          <w:sz w:val="20"/>
          <w:lang w:val="en-GB"/>
        </w:rPr>
        <w:t xml:space="preserve">will work with key ministries </w:t>
      </w:r>
      <w:r w:rsidR="00EF6B36" w:rsidRPr="002921ED">
        <w:rPr>
          <w:rFonts w:ascii="Times New Roman" w:hAnsi="Times New Roman"/>
          <w:b w:val="0"/>
          <w:sz w:val="20"/>
          <w:lang w:val="en-GB"/>
        </w:rPr>
        <w:t>to</w:t>
      </w:r>
      <w:r w:rsidR="00E12A07" w:rsidRPr="002921ED">
        <w:rPr>
          <w:rFonts w:ascii="Times New Roman" w:hAnsi="Times New Roman"/>
          <w:b w:val="0"/>
          <w:sz w:val="20"/>
          <w:lang w:val="en-GB"/>
        </w:rPr>
        <w:t xml:space="preserve"> </w:t>
      </w:r>
      <w:r w:rsidR="00443428" w:rsidRPr="002921ED">
        <w:rPr>
          <w:rFonts w:ascii="Times New Roman" w:hAnsi="Times New Roman"/>
          <w:b w:val="0"/>
          <w:sz w:val="20"/>
          <w:lang w:val="en-GB"/>
        </w:rPr>
        <w:t xml:space="preserve">align resources </w:t>
      </w:r>
      <w:r w:rsidR="00EF6B36" w:rsidRPr="002921ED">
        <w:rPr>
          <w:rFonts w:ascii="Times New Roman" w:hAnsi="Times New Roman"/>
          <w:b w:val="0"/>
          <w:sz w:val="20"/>
          <w:lang w:val="en-GB"/>
        </w:rPr>
        <w:t xml:space="preserve">with </w:t>
      </w:r>
      <w:r w:rsidR="00443428" w:rsidRPr="002921ED">
        <w:rPr>
          <w:rFonts w:ascii="Times New Roman" w:hAnsi="Times New Roman"/>
          <w:b w:val="0"/>
          <w:sz w:val="20"/>
          <w:lang w:val="en-GB"/>
        </w:rPr>
        <w:t>national priorities</w:t>
      </w:r>
      <w:r w:rsidR="00B926A6" w:rsidRPr="002921ED">
        <w:rPr>
          <w:rFonts w:ascii="Times New Roman" w:hAnsi="Times New Roman"/>
          <w:b w:val="0"/>
          <w:sz w:val="20"/>
          <w:lang w:val="en-GB"/>
        </w:rPr>
        <w:t>,</w:t>
      </w:r>
      <w:r w:rsidR="00B12DDF" w:rsidRPr="002921ED">
        <w:rPr>
          <w:rFonts w:ascii="Times New Roman" w:hAnsi="Times New Roman"/>
          <w:b w:val="0"/>
          <w:sz w:val="20"/>
          <w:lang w:val="en-GB"/>
        </w:rPr>
        <w:t xml:space="preserve"> </w:t>
      </w:r>
      <w:r w:rsidR="00CA06FC">
        <w:rPr>
          <w:rFonts w:ascii="Times New Roman" w:hAnsi="Times New Roman"/>
          <w:b w:val="0"/>
          <w:sz w:val="20"/>
          <w:lang w:val="en-GB"/>
        </w:rPr>
        <w:t xml:space="preserve">and </w:t>
      </w:r>
      <w:r w:rsidR="00B12DDF" w:rsidRPr="00522402">
        <w:rPr>
          <w:rFonts w:ascii="Times New Roman" w:hAnsi="Times New Roman"/>
          <w:b w:val="0"/>
          <w:sz w:val="20"/>
          <w:lang w:val="en-GB"/>
        </w:rPr>
        <w:t xml:space="preserve">assessment risks </w:t>
      </w:r>
      <w:r w:rsidR="00EF6B36" w:rsidRPr="002921ED">
        <w:rPr>
          <w:rFonts w:ascii="Times New Roman" w:hAnsi="Times New Roman"/>
          <w:b w:val="0"/>
          <w:sz w:val="20"/>
          <w:lang w:val="en-GB"/>
        </w:rPr>
        <w:t xml:space="preserve">to </w:t>
      </w:r>
      <w:r w:rsidR="00B12DDF" w:rsidRPr="002921ED">
        <w:rPr>
          <w:rFonts w:ascii="Times New Roman" w:hAnsi="Times New Roman"/>
          <w:b w:val="0"/>
          <w:sz w:val="20"/>
          <w:lang w:val="en-GB"/>
        </w:rPr>
        <w:t>the achievement of national development objectives</w:t>
      </w:r>
      <w:r w:rsidR="00EF6B36" w:rsidRPr="002921ED">
        <w:rPr>
          <w:rFonts w:ascii="Times New Roman" w:hAnsi="Times New Roman"/>
          <w:b w:val="0"/>
          <w:sz w:val="20"/>
          <w:lang w:val="en-GB"/>
        </w:rPr>
        <w:t>,</w:t>
      </w:r>
      <w:r w:rsidR="00443428" w:rsidRPr="002921ED">
        <w:rPr>
          <w:rFonts w:ascii="Times New Roman" w:hAnsi="Times New Roman"/>
          <w:b w:val="0"/>
          <w:sz w:val="20"/>
          <w:lang w:val="en-GB"/>
        </w:rPr>
        <w:t xml:space="preserve"> </w:t>
      </w:r>
      <w:r w:rsidR="00E10CF4" w:rsidRPr="002921ED">
        <w:rPr>
          <w:rFonts w:ascii="Times New Roman" w:hAnsi="Times New Roman"/>
          <w:b w:val="0"/>
          <w:sz w:val="20"/>
          <w:lang w:val="en-GB"/>
        </w:rPr>
        <w:t xml:space="preserve">and </w:t>
      </w:r>
      <w:r w:rsidR="00522402">
        <w:rPr>
          <w:rFonts w:ascii="Times New Roman" w:hAnsi="Times New Roman"/>
          <w:b w:val="0"/>
          <w:sz w:val="20"/>
          <w:lang w:val="en-GB"/>
        </w:rPr>
        <w:t xml:space="preserve">will </w:t>
      </w:r>
      <w:r w:rsidR="00B12DDF" w:rsidRPr="00522402">
        <w:rPr>
          <w:rFonts w:ascii="Times New Roman" w:hAnsi="Times New Roman"/>
          <w:b w:val="0"/>
          <w:sz w:val="20"/>
          <w:lang w:val="en-GB"/>
        </w:rPr>
        <w:t>mobiliz</w:t>
      </w:r>
      <w:r w:rsidR="00EF6B36" w:rsidRPr="00522402">
        <w:rPr>
          <w:rFonts w:ascii="Times New Roman" w:hAnsi="Times New Roman"/>
          <w:b w:val="0"/>
          <w:sz w:val="20"/>
          <w:lang w:val="en-GB"/>
        </w:rPr>
        <w:t>e</w:t>
      </w:r>
      <w:r w:rsidR="00B12DDF" w:rsidRPr="00522402">
        <w:rPr>
          <w:rFonts w:ascii="Times New Roman" w:hAnsi="Times New Roman"/>
          <w:b w:val="0"/>
          <w:sz w:val="20"/>
          <w:lang w:val="en-GB"/>
        </w:rPr>
        <w:t xml:space="preserve"> </w:t>
      </w:r>
      <w:r w:rsidR="00E10CF4" w:rsidRPr="002921ED">
        <w:rPr>
          <w:rFonts w:ascii="Times New Roman" w:hAnsi="Times New Roman"/>
          <w:b w:val="0"/>
          <w:sz w:val="20"/>
          <w:lang w:val="en-GB"/>
        </w:rPr>
        <w:t>resources</w:t>
      </w:r>
      <w:r w:rsidR="00690C1D" w:rsidRPr="002921ED">
        <w:rPr>
          <w:rFonts w:ascii="Times New Roman" w:hAnsi="Times New Roman"/>
          <w:b w:val="0"/>
          <w:sz w:val="20"/>
          <w:lang w:val="en-GB"/>
        </w:rPr>
        <w:t xml:space="preserve">. </w:t>
      </w:r>
      <w:r w:rsidR="00B21FA4" w:rsidRPr="002921ED">
        <w:rPr>
          <w:rFonts w:ascii="Times New Roman" w:hAnsi="Times New Roman"/>
          <w:b w:val="0"/>
          <w:sz w:val="20"/>
          <w:lang w:val="en-GB"/>
        </w:rPr>
        <w:t>UNDP</w:t>
      </w:r>
      <w:r w:rsidR="001129E9" w:rsidRPr="002921ED">
        <w:rPr>
          <w:rFonts w:ascii="Times New Roman" w:hAnsi="Times New Roman"/>
          <w:b w:val="0"/>
          <w:sz w:val="20"/>
          <w:lang w:val="en-GB"/>
        </w:rPr>
        <w:t xml:space="preserve"> will prepar</w:t>
      </w:r>
      <w:r w:rsidR="00522402">
        <w:rPr>
          <w:rFonts w:ascii="Times New Roman" w:hAnsi="Times New Roman"/>
          <w:b w:val="0"/>
          <w:sz w:val="20"/>
          <w:lang w:val="en-GB"/>
        </w:rPr>
        <w:t>e</w:t>
      </w:r>
      <w:r w:rsidR="001129E9" w:rsidRPr="002921ED">
        <w:rPr>
          <w:rFonts w:ascii="Times New Roman" w:hAnsi="Times New Roman"/>
          <w:b w:val="0"/>
          <w:sz w:val="20"/>
          <w:lang w:val="en-GB"/>
        </w:rPr>
        <w:t xml:space="preserve"> </w:t>
      </w:r>
      <w:r w:rsidR="00EF6B36" w:rsidRPr="002921ED">
        <w:rPr>
          <w:rFonts w:ascii="Times New Roman" w:hAnsi="Times New Roman"/>
          <w:b w:val="0"/>
          <w:sz w:val="20"/>
          <w:lang w:val="en-GB"/>
        </w:rPr>
        <w:t>high-</w:t>
      </w:r>
      <w:r w:rsidR="001129E9" w:rsidRPr="002921ED">
        <w:rPr>
          <w:rFonts w:ascii="Times New Roman" w:hAnsi="Times New Roman"/>
          <w:b w:val="0"/>
          <w:sz w:val="20"/>
          <w:lang w:val="en-GB"/>
        </w:rPr>
        <w:t xml:space="preserve">quality analytical products </w:t>
      </w:r>
      <w:r w:rsidR="00EF6B36" w:rsidRPr="002921ED">
        <w:rPr>
          <w:rFonts w:ascii="Times New Roman" w:hAnsi="Times New Roman"/>
          <w:b w:val="0"/>
          <w:sz w:val="20"/>
          <w:lang w:val="en-GB"/>
        </w:rPr>
        <w:t>–</w:t>
      </w:r>
      <w:r w:rsidR="001129E9" w:rsidRPr="002921ED">
        <w:rPr>
          <w:rFonts w:ascii="Times New Roman" w:hAnsi="Times New Roman"/>
          <w:b w:val="0"/>
          <w:sz w:val="20"/>
          <w:lang w:val="en-GB"/>
        </w:rPr>
        <w:t xml:space="preserve"> </w:t>
      </w:r>
      <w:r w:rsidR="00EF6B36" w:rsidRPr="002921ED">
        <w:rPr>
          <w:rFonts w:ascii="Times New Roman" w:hAnsi="Times New Roman"/>
          <w:b w:val="0"/>
          <w:sz w:val="20"/>
          <w:lang w:val="en-GB"/>
        </w:rPr>
        <w:t xml:space="preserve">the </w:t>
      </w:r>
      <w:r w:rsidR="001129E9" w:rsidRPr="002921ED">
        <w:rPr>
          <w:rFonts w:ascii="Times New Roman" w:hAnsi="Times New Roman"/>
          <w:b w:val="0"/>
          <w:sz w:val="20"/>
          <w:lang w:val="en-GB"/>
        </w:rPr>
        <w:t xml:space="preserve">National Human Development Report, </w:t>
      </w:r>
      <w:r w:rsidR="00EF6B36" w:rsidRPr="002921ED">
        <w:rPr>
          <w:rFonts w:ascii="Times New Roman" w:hAnsi="Times New Roman"/>
          <w:b w:val="0"/>
          <w:sz w:val="20"/>
          <w:lang w:val="en-GB"/>
        </w:rPr>
        <w:t xml:space="preserve">the </w:t>
      </w:r>
      <w:r w:rsidR="00522402">
        <w:rPr>
          <w:rFonts w:ascii="Times New Roman" w:hAnsi="Times New Roman"/>
          <w:b w:val="0"/>
          <w:sz w:val="20"/>
          <w:lang w:val="en-GB"/>
        </w:rPr>
        <w:t>sustainable development goals</w:t>
      </w:r>
      <w:r w:rsidR="001129E9" w:rsidRPr="00522402">
        <w:rPr>
          <w:rFonts w:ascii="Times New Roman" w:hAnsi="Times New Roman"/>
          <w:b w:val="0"/>
          <w:sz w:val="20"/>
          <w:lang w:val="en-GB"/>
        </w:rPr>
        <w:t xml:space="preserve"> status report</w:t>
      </w:r>
      <w:r w:rsidR="00EF6B36" w:rsidRPr="00522402">
        <w:rPr>
          <w:rFonts w:ascii="Times New Roman" w:hAnsi="Times New Roman"/>
          <w:b w:val="0"/>
          <w:sz w:val="20"/>
          <w:lang w:val="en-GB"/>
        </w:rPr>
        <w:t>,</w:t>
      </w:r>
      <w:r w:rsidR="001129E9" w:rsidRPr="00522402">
        <w:rPr>
          <w:rFonts w:ascii="Times New Roman" w:hAnsi="Times New Roman"/>
          <w:b w:val="0"/>
          <w:sz w:val="20"/>
          <w:lang w:val="en-GB"/>
        </w:rPr>
        <w:t xml:space="preserve"> and other relevant studies. </w:t>
      </w:r>
      <w:r w:rsidR="001679A7" w:rsidRPr="002921ED">
        <w:rPr>
          <w:rFonts w:ascii="Times New Roman" w:hAnsi="Times New Roman"/>
          <w:b w:val="0"/>
          <w:sz w:val="20"/>
          <w:lang w:val="en-GB"/>
        </w:rPr>
        <w:t xml:space="preserve">This will </w:t>
      </w:r>
      <w:r w:rsidR="00B21FA4" w:rsidRPr="002921ED">
        <w:rPr>
          <w:rFonts w:ascii="Times New Roman" w:hAnsi="Times New Roman"/>
          <w:b w:val="0"/>
          <w:sz w:val="20"/>
          <w:lang w:val="en-GB"/>
        </w:rPr>
        <w:t>enhance the</w:t>
      </w:r>
      <w:r w:rsidRPr="002921ED">
        <w:rPr>
          <w:rFonts w:ascii="Times New Roman" w:hAnsi="Times New Roman"/>
          <w:b w:val="0"/>
          <w:sz w:val="20"/>
          <w:lang w:val="en-GB"/>
        </w:rPr>
        <w:t xml:space="preserve"> environment for evidence</w:t>
      </w:r>
      <w:r w:rsidR="001C695D" w:rsidRPr="002921ED">
        <w:rPr>
          <w:rFonts w:ascii="Times New Roman" w:hAnsi="Times New Roman"/>
          <w:b w:val="0"/>
          <w:sz w:val="20"/>
          <w:lang w:val="en-GB"/>
        </w:rPr>
        <w:t>-</w:t>
      </w:r>
      <w:r w:rsidRPr="002921ED">
        <w:rPr>
          <w:rFonts w:ascii="Times New Roman" w:hAnsi="Times New Roman"/>
          <w:b w:val="0"/>
          <w:sz w:val="20"/>
          <w:lang w:val="en-GB"/>
        </w:rPr>
        <w:t xml:space="preserve">based </w:t>
      </w:r>
      <w:r w:rsidR="00343BD4" w:rsidRPr="002921ED">
        <w:rPr>
          <w:rFonts w:ascii="Times New Roman" w:hAnsi="Times New Roman"/>
          <w:b w:val="0"/>
          <w:sz w:val="20"/>
          <w:lang w:val="en-GB"/>
        </w:rPr>
        <w:t xml:space="preserve">policy </w:t>
      </w:r>
      <w:r w:rsidRPr="002921ED">
        <w:rPr>
          <w:rFonts w:ascii="Times New Roman" w:hAnsi="Times New Roman"/>
          <w:b w:val="0"/>
          <w:sz w:val="20"/>
          <w:lang w:val="en-GB"/>
        </w:rPr>
        <w:t>planning, budgeting</w:t>
      </w:r>
      <w:r w:rsidR="00E10CF4" w:rsidRPr="002921ED">
        <w:rPr>
          <w:rFonts w:ascii="Times New Roman" w:hAnsi="Times New Roman"/>
          <w:b w:val="0"/>
          <w:sz w:val="20"/>
          <w:lang w:val="en-GB"/>
        </w:rPr>
        <w:t>,</w:t>
      </w:r>
      <w:r w:rsidR="00BF270A" w:rsidRPr="002921ED">
        <w:rPr>
          <w:rFonts w:ascii="Times New Roman" w:hAnsi="Times New Roman"/>
          <w:b w:val="0"/>
          <w:sz w:val="20"/>
          <w:lang w:val="en-GB"/>
        </w:rPr>
        <w:t xml:space="preserve"> </w:t>
      </w:r>
      <w:r w:rsidRPr="002921ED">
        <w:rPr>
          <w:rFonts w:ascii="Times New Roman" w:hAnsi="Times New Roman"/>
          <w:b w:val="0"/>
          <w:sz w:val="20"/>
          <w:lang w:val="en-GB"/>
        </w:rPr>
        <w:t>monitoring and evaluation</w:t>
      </w:r>
      <w:r w:rsidR="00EF6B36" w:rsidRPr="002921ED">
        <w:rPr>
          <w:rFonts w:ascii="Times New Roman" w:hAnsi="Times New Roman"/>
          <w:b w:val="0"/>
          <w:sz w:val="20"/>
          <w:lang w:val="en-GB"/>
        </w:rPr>
        <w:t>,</w:t>
      </w:r>
      <w:r w:rsidR="00780891" w:rsidRPr="002921ED">
        <w:rPr>
          <w:rFonts w:ascii="Times New Roman" w:hAnsi="Times New Roman"/>
          <w:b w:val="0"/>
          <w:sz w:val="20"/>
          <w:lang w:val="en-GB"/>
        </w:rPr>
        <w:t xml:space="preserve"> </w:t>
      </w:r>
      <w:r w:rsidRPr="002921ED">
        <w:rPr>
          <w:rFonts w:ascii="Times New Roman" w:hAnsi="Times New Roman"/>
          <w:b w:val="0"/>
          <w:sz w:val="20"/>
          <w:lang w:val="en-GB"/>
        </w:rPr>
        <w:t xml:space="preserve">in line with the </w:t>
      </w:r>
      <w:r w:rsidR="00EF6B36" w:rsidRPr="002921ED">
        <w:rPr>
          <w:rFonts w:ascii="Times New Roman" w:hAnsi="Times New Roman"/>
          <w:b w:val="0"/>
          <w:sz w:val="20"/>
          <w:lang w:val="en-GB"/>
        </w:rPr>
        <w:t>sustainable development goals</w:t>
      </w:r>
      <w:r w:rsidRPr="002921ED">
        <w:rPr>
          <w:rFonts w:ascii="Times New Roman" w:hAnsi="Times New Roman"/>
          <w:b w:val="0"/>
          <w:sz w:val="20"/>
          <w:lang w:val="en-GB"/>
        </w:rPr>
        <w:t xml:space="preserve">. </w:t>
      </w:r>
    </w:p>
    <w:p w:rsidR="00186048" w:rsidRPr="002921ED" w:rsidRDefault="00186048" w:rsidP="00410AA4">
      <w:pPr>
        <w:tabs>
          <w:tab w:val="left" w:pos="1080"/>
        </w:tabs>
        <w:ind w:left="720"/>
        <w:rPr>
          <w:sz w:val="12"/>
          <w:szCs w:val="12"/>
          <w:lang w:val="en-GB"/>
        </w:rPr>
      </w:pPr>
    </w:p>
    <w:p w:rsidR="00B30549" w:rsidRPr="002921ED" w:rsidRDefault="00B30549" w:rsidP="00410AA4">
      <w:pPr>
        <w:pStyle w:val="ListParagraph"/>
        <w:numPr>
          <w:ilvl w:val="0"/>
          <w:numId w:val="8"/>
        </w:numPr>
        <w:tabs>
          <w:tab w:val="left" w:pos="1080"/>
          <w:tab w:val="left" w:pos="1620"/>
        </w:tabs>
        <w:ind w:left="720" w:right="806" w:firstLine="0"/>
        <w:jc w:val="both"/>
        <w:rPr>
          <w:lang w:val="en-GB"/>
        </w:rPr>
      </w:pPr>
      <w:r w:rsidRPr="002921ED">
        <w:rPr>
          <w:lang w:val="en-GB"/>
        </w:rPr>
        <w:t>The capacity of relevant institutions</w:t>
      </w:r>
      <w:r w:rsidR="00B7696A" w:rsidRPr="002921ED">
        <w:rPr>
          <w:lang w:val="en-GB"/>
        </w:rPr>
        <w:t xml:space="preserve"> </w:t>
      </w:r>
      <w:r w:rsidR="00470383" w:rsidRPr="002921ED">
        <w:rPr>
          <w:lang w:val="en-GB"/>
        </w:rPr>
        <w:t xml:space="preserve">will be strengthened </w:t>
      </w:r>
      <w:r w:rsidRPr="002921ED">
        <w:rPr>
          <w:lang w:val="en-GB"/>
        </w:rPr>
        <w:t>to design and implement skills and entrepreneurship development interventions</w:t>
      </w:r>
      <w:r w:rsidR="007F395A" w:rsidRPr="002921ED">
        <w:rPr>
          <w:rStyle w:val="FootnoteReference"/>
          <w:lang w:val="en-GB"/>
        </w:rPr>
        <w:footnoteReference w:id="39"/>
      </w:r>
      <w:r w:rsidRPr="002921ED">
        <w:rPr>
          <w:lang w:val="en-GB"/>
        </w:rPr>
        <w:t xml:space="preserve"> for inc</w:t>
      </w:r>
      <w:r w:rsidR="00780891" w:rsidRPr="002921ED">
        <w:rPr>
          <w:lang w:val="en-GB"/>
        </w:rPr>
        <w:t>reased employment and</w:t>
      </w:r>
      <w:r w:rsidR="007C0D54" w:rsidRPr="002921ED">
        <w:rPr>
          <w:lang w:val="en-GB"/>
        </w:rPr>
        <w:t xml:space="preserve"> productivity</w:t>
      </w:r>
      <w:r w:rsidR="00522402">
        <w:rPr>
          <w:lang w:val="en-GB"/>
        </w:rPr>
        <w:t>,</w:t>
      </w:r>
      <w:r w:rsidRPr="00522402">
        <w:rPr>
          <w:lang w:val="en-GB"/>
        </w:rPr>
        <w:t xml:space="preserve"> </w:t>
      </w:r>
      <w:r w:rsidR="007C0D54" w:rsidRPr="00522402">
        <w:rPr>
          <w:lang w:val="en-GB"/>
        </w:rPr>
        <w:t xml:space="preserve">to </w:t>
      </w:r>
      <w:r w:rsidRPr="002921ED">
        <w:rPr>
          <w:lang w:val="en-GB"/>
        </w:rPr>
        <w:t>sustainably lift target groups out of poverty in the Central River and Western Regions</w:t>
      </w:r>
      <w:r w:rsidR="00B7696A" w:rsidRPr="002921ED">
        <w:rPr>
          <w:lang w:val="en-GB"/>
        </w:rPr>
        <w:t>. UNDP</w:t>
      </w:r>
      <w:r w:rsidRPr="002921ED">
        <w:rPr>
          <w:lang w:val="en-GB"/>
        </w:rPr>
        <w:t xml:space="preserve"> will institutionalize and harness the linkage between skills development and export promotion</w:t>
      </w:r>
      <w:r w:rsidR="00B7696A" w:rsidRPr="002921ED">
        <w:rPr>
          <w:lang w:val="en-GB"/>
        </w:rPr>
        <w:t xml:space="preserve">; </w:t>
      </w:r>
      <w:r w:rsidR="00EF6B36" w:rsidRPr="002921ED">
        <w:rPr>
          <w:lang w:val="en-GB"/>
        </w:rPr>
        <w:t xml:space="preserve">and </w:t>
      </w:r>
      <w:r w:rsidR="00522402">
        <w:rPr>
          <w:lang w:val="en-GB"/>
        </w:rPr>
        <w:t>strengthen</w:t>
      </w:r>
      <w:r w:rsidR="00522402" w:rsidRPr="00522402">
        <w:rPr>
          <w:lang w:val="en-GB"/>
        </w:rPr>
        <w:t xml:space="preserve"> </w:t>
      </w:r>
      <w:r w:rsidR="00B7696A" w:rsidRPr="00522402">
        <w:rPr>
          <w:lang w:val="en-GB"/>
        </w:rPr>
        <w:t>l</w:t>
      </w:r>
      <w:r w:rsidRPr="00522402">
        <w:rPr>
          <w:lang w:val="en-GB"/>
        </w:rPr>
        <w:t>inkages with microfinance institutions to help</w:t>
      </w:r>
      <w:r w:rsidR="00F66E83" w:rsidRPr="002921ED">
        <w:rPr>
          <w:lang w:val="en-GB"/>
        </w:rPr>
        <w:t xml:space="preserve"> local</w:t>
      </w:r>
      <w:r w:rsidRPr="002921ED">
        <w:rPr>
          <w:lang w:val="en-GB"/>
        </w:rPr>
        <w:t xml:space="preserve"> communities </w:t>
      </w:r>
      <w:r w:rsidR="00F66E83" w:rsidRPr="002921ED">
        <w:rPr>
          <w:lang w:val="en-GB"/>
        </w:rPr>
        <w:t xml:space="preserve">to </w:t>
      </w:r>
      <w:r w:rsidRPr="002921ED">
        <w:rPr>
          <w:lang w:val="en-GB"/>
        </w:rPr>
        <w:t xml:space="preserve">produce, add value, and </w:t>
      </w:r>
      <w:r w:rsidR="00B7696A" w:rsidRPr="002921ED">
        <w:rPr>
          <w:lang w:val="en-GB"/>
        </w:rPr>
        <w:t xml:space="preserve">support </w:t>
      </w:r>
      <w:r w:rsidRPr="002921ED">
        <w:rPr>
          <w:lang w:val="en-GB"/>
        </w:rPr>
        <w:t>diversification of the economy</w:t>
      </w:r>
      <w:r w:rsidR="00EF5F15" w:rsidRPr="002921ED">
        <w:rPr>
          <w:lang w:val="en-GB"/>
        </w:rPr>
        <w:t xml:space="preserve"> in partnership with UNCDF</w:t>
      </w:r>
      <w:r w:rsidRPr="002921ED">
        <w:rPr>
          <w:lang w:val="en-GB"/>
        </w:rPr>
        <w:t xml:space="preserve">. </w:t>
      </w:r>
      <w:r w:rsidR="007F395A" w:rsidRPr="002921ED">
        <w:rPr>
          <w:lang w:val="en-GB"/>
        </w:rPr>
        <w:t>In reducing poverty and inequality, UNDP</w:t>
      </w:r>
      <w:r w:rsidRPr="002921ED">
        <w:rPr>
          <w:lang w:val="en-GB"/>
        </w:rPr>
        <w:t xml:space="preserve"> will </w:t>
      </w:r>
      <w:r w:rsidR="00470383" w:rsidRPr="002921ED">
        <w:rPr>
          <w:lang w:val="en-GB"/>
        </w:rPr>
        <w:t>assist the</w:t>
      </w:r>
      <w:r w:rsidRPr="002921ED">
        <w:rPr>
          <w:lang w:val="en-GB"/>
        </w:rPr>
        <w:t xml:space="preserve"> implement</w:t>
      </w:r>
      <w:r w:rsidR="00F3432B" w:rsidRPr="002921ED">
        <w:rPr>
          <w:lang w:val="en-GB"/>
        </w:rPr>
        <w:t>ation of</w:t>
      </w:r>
      <w:r w:rsidRPr="002921ED">
        <w:rPr>
          <w:lang w:val="en-GB"/>
        </w:rPr>
        <w:t xml:space="preserve"> the </w:t>
      </w:r>
      <w:r w:rsidR="00EF6B36" w:rsidRPr="002921ED">
        <w:rPr>
          <w:lang w:val="en-GB"/>
        </w:rPr>
        <w:t>social protection policy and strategy</w:t>
      </w:r>
      <w:r w:rsidRPr="002921ED">
        <w:rPr>
          <w:lang w:val="en-GB"/>
        </w:rPr>
        <w:t xml:space="preserve"> by </w:t>
      </w:r>
      <w:r w:rsidR="00B7696A" w:rsidRPr="002921ED">
        <w:rPr>
          <w:lang w:val="en-GB"/>
        </w:rPr>
        <w:t>implementing</w:t>
      </w:r>
      <w:r w:rsidRPr="002921ED">
        <w:rPr>
          <w:lang w:val="en-GB"/>
        </w:rPr>
        <w:t xml:space="preserve"> a comprehensive social protection programme targeting the most vulnerable children</w:t>
      </w:r>
      <w:r w:rsidR="00725761" w:rsidRPr="002921ED">
        <w:rPr>
          <w:lang w:val="en-GB"/>
        </w:rPr>
        <w:t>,</w:t>
      </w:r>
      <w:r w:rsidRPr="002921ED">
        <w:rPr>
          <w:lang w:val="en-GB"/>
        </w:rPr>
        <w:t xml:space="preserve"> women and </w:t>
      </w:r>
      <w:r w:rsidR="00725761" w:rsidRPr="002921ED">
        <w:rPr>
          <w:lang w:val="en-GB"/>
        </w:rPr>
        <w:t>youth</w:t>
      </w:r>
      <w:r w:rsidR="00522402">
        <w:rPr>
          <w:lang w:val="en-GB"/>
        </w:rPr>
        <w:t>,</w:t>
      </w:r>
      <w:r w:rsidRPr="00522402">
        <w:rPr>
          <w:lang w:val="en-GB"/>
        </w:rPr>
        <w:t xml:space="preserve"> in line with the </w:t>
      </w:r>
      <w:r w:rsidR="00EF6B36" w:rsidRPr="00522402">
        <w:rPr>
          <w:lang w:val="en-GB"/>
        </w:rPr>
        <w:t xml:space="preserve">sustainable development goals </w:t>
      </w:r>
      <w:r w:rsidR="00B7696A" w:rsidRPr="00522402">
        <w:rPr>
          <w:lang w:val="en-GB"/>
        </w:rPr>
        <w:t xml:space="preserve">objective </w:t>
      </w:r>
      <w:r w:rsidRPr="002921ED">
        <w:rPr>
          <w:lang w:val="en-GB"/>
        </w:rPr>
        <w:t xml:space="preserve">of leaving no one behind. This will contribute to the attainment of </w:t>
      </w:r>
      <w:r w:rsidR="00EF6B36" w:rsidRPr="002921ED">
        <w:rPr>
          <w:lang w:val="en-GB"/>
        </w:rPr>
        <w:t>goals1</w:t>
      </w:r>
      <w:r w:rsidR="00186048" w:rsidRPr="002921ED">
        <w:rPr>
          <w:lang w:val="en-GB"/>
        </w:rPr>
        <w:t xml:space="preserve">, 8, </w:t>
      </w:r>
      <w:r w:rsidR="00936402" w:rsidRPr="002921ED">
        <w:rPr>
          <w:lang w:val="en-GB"/>
        </w:rPr>
        <w:t>1</w:t>
      </w:r>
      <w:r w:rsidR="00186048" w:rsidRPr="002921ED">
        <w:rPr>
          <w:lang w:val="en-GB"/>
        </w:rPr>
        <w:t xml:space="preserve">0 and </w:t>
      </w:r>
      <w:r w:rsidR="00936402" w:rsidRPr="002921ED">
        <w:rPr>
          <w:lang w:val="en-GB"/>
        </w:rPr>
        <w:t>1</w:t>
      </w:r>
      <w:r w:rsidR="00186048" w:rsidRPr="002921ED">
        <w:rPr>
          <w:lang w:val="en-GB"/>
        </w:rPr>
        <w:t>7.</w:t>
      </w:r>
    </w:p>
    <w:p w:rsidR="00186048" w:rsidRDefault="00186048" w:rsidP="00410AA4">
      <w:pPr>
        <w:pStyle w:val="ListParagraph"/>
        <w:tabs>
          <w:tab w:val="left" w:pos="1080"/>
          <w:tab w:val="left" w:pos="1620"/>
        </w:tabs>
        <w:ind w:right="806"/>
        <w:jc w:val="both"/>
        <w:rPr>
          <w:sz w:val="12"/>
          <w:szCs w:val="12"/>
          <w:lang w:val="en-GB"/>
        </w:rPr>
      </w:pPr>
    </w:p>
    <w:p w:rsidR="00522402" w:rsidRDefault="00522402" w:rsidP="00410AA4">
      <w:pPr>
        <w:pStyle w:val="ListParagraph"/>
        <w:tabs>
          <w:tab w:val="left" w:pos="1080"/>
          <w:tab w:val="left" w:pos="1620"/>
        </w:tabs>
        <w:ind w:right="806"/>
        <w:jc w:val="both"/>
        <w:rPr>
          <w:sz w:val="12"/>
          <w:szCs w:val="12"/>
          <w:lang w:val="en-GB"/>
        </w:rPr>
      </w:pPr>
      <w:r w:rsidRPr="00EC516A">
        <w:rPr>
          <w:b/>
          <w:i/>
          <w:lang w:val="en-GB"/>
        </w:rPr>
        <w:t xml:space="preserve">Governance and </w:t>
      </w:r>
      <w:r w:rsidRPr="00CA06FC">
        <w:rPr>
          <w:b/>
          <w:i/>
          <w:lang w:val="en-GB"/>
        </w:rPr>
        <w:t>h</w:t>
      </w:r>
      <w:r w:rsidRPr="00EC516A">
        <w:rPr>
          <w:b/>
          <w:i/>
          <w:lang w:val="en-GB"/>
        </w:rPr>
        <w:t xml:space="preserve">uman </w:t>
      </w:r>
      <w:r w:rsidRPr="00CA06FC">
        <w:rPr>
          <w:b/>
          <w:i/>
          <w:lang w:val="en-GB"/>
        </w:rPr>
        <w:t>r</w:t>
      </w:r>
      <w:r w:rsidRPr="00EC516A">
        <w:rPr>
          <w:b/>
          <w:i/>
          <w:lang w:val="en-GB"/>
        </w:rPr>
        <w:t>ights</w:t>
      </w:r>
    </w:p>
    <w:p w:rsidR="00522402" w:rsidRPr="00522402" w:rsidRDefault="00522402" w:rsidP="00410AA4">
      <w:pPr>
        <w:pStyle w:val="ListParagraph"/>
        <w:tabs>
          <w:tab w:val="left" w:pos="1080"/>
          <w:tab w:val="left" w:pos="1620"/>
        </w:tabs>
        <w:ind w:right="806"/>
        <w:jc w:val="both"/>
        <w:rPr>
          <w:sz w:val="12"/>
          <w:szCs w:val="12"/>
          <w:lang w:val="en-GB"/>
        </w:rPr>
      </w:pPr>
    </w:p>
    <w:p w:rsidR="00186048" w:rsidRPr="002921ED" w:rsidRDefault="002676C0" w:rsidP="00410AA4">
      <w:pPr>
        <w:pStyle w:val="ListParagraph"/>
        <w:numPr>
          <w:ilvl w:val="0"/>
          <w:numId w:val="8"/>
        </w:numPr>
        <w:tabs>
          <w:tab w:val="left" w:pos="1080"/>
          <w:tab w:val="left" w:pos="1620"/>
        </w:tabs>
        <w:ind w:left="720" w:right="806" w:firstLine="0"/>
        <w:jc w:val="both"/>
        <w:rPr>
          <w:lang w:val="en-GB"/>
        </w:rPr>
      </w:pPr>
      <w:r w:rsidRPr="00522402">
        <w:rPr>
          <w:lang w:val="en-GB"/>
        </w:rPr>
        <w:t>This programme will consolidate</w:t>
      </w:r>
      <w:r w:rsidR="00B30549" w:rsidRPr="00522402">
        <w:rPr>
          <w:lang w:val="en-GB"/>
        </w:rPr>
        <w:t xml:space="preserve"> governance</w:t>
      </w:r>
      <w:r w:rsidR="00936402" w:rsidRPr="00522402">
        <w:rPr>
          <w:lang w:val="en-GB"/>
        </w:rPr>
        <w:t>-</w:t>
      </w:r>
      <w:r w:rsidR="00B30549" w:rsidRPr="002921ED">
        <w:rPr>
          <w:lang w:val="en-GB"/>
        </w:rPr>
        <w:t>related reforms</w:t>
      </w:r>
      <w:r w:rsidR="007C0D54" w:rsidRPr="002921ED">
        <w:rPr>
          <w:lang w:val="en-GB"/>
        </w:rPr>
        <w:t xml:space="preserve">, </w:t>
      </w:r>
      <w:r w:rsidR="00B30549" w:rsidRPr="002921ED">
        <w:rPr>
          <w:lang w:val="en-GB"/>
        </w:rPr>
        <w:t xml:space="preserve">strengthening </w:t>
      </w:r>
      <w:r w:rsidR="00F66E83" w:rsidRPr="002921ED">
        <w:rPr>
          <w:lang w:val="en-GB"/>
        </w:rPr>
        <w:t xml:space="preserve">national </w:t>
      </w:r>
      <w:r w:rsidR="00F7196A" w:rsidRPr="002921ED">
        <w:rPr>
          <w:lang w:val="en-GB"/>
        </w:rPr>
        <w:t xml:space="preserve">institutions to promote </w:t>
      </w:r>
      <w:r w:rsidR="001129E9" w:rsidRPr="002921ED">
        <w:rPr>
          <w:lang w:val="en-GB"/>
        </w:rPr>
        <w:t>the culture of</w:t>
      </w:r>
      <w:r w:rsidR="000C4667" w:rsidRPr="002921ED">
        <w:rPr>
          <w:lang w:val="en-GB"/>
        </w:rPr>
        <w:t xml:space="preserve"> </w:t>
      </w:r>
      <w:r w:rsidR="00B306A6" w:rsidRPr="002921ED">
        <w:rPr>
          <w:lang w:val="en-GB"/>
        </w:rPr>
        <w:t>democracy</w:t>
      </w:r>
      <w:r w:rsidR="00B30549" w:rsidRPr="002921ED">
        <w:rPr>
          <w:lang w:val="en-GB"/>
        </w:rPr>
        <w:t xml:space="preserve">, human rights, access to justice, </w:t>
      </w:r>
      <w:r w:rsidR="007C0D54" w:rsidRPr="002921ED">
        <w:rPr>
          <w:lang w:val="en-GB"/>
        </w:rPr>
        <w:t>anti-</w:t>
      </w:r>
      <w:r w:rsidR="00B30549" w:rsidRPr="002921ED">
        <w:rPr>
          <w:lang w:val="en-GB"/>
        </w:rPr>
        <w:t>corruption through improved accountability</w:t>
      </w:r>
      <w:r w:rsidR="00522402">
        <w:rPr>
          <w:lang w:val="en-GB"/>
        </w:rPr>
        <w:t xml:space="preserve"> and </w:t>
      </w:r>
      <w:r w:rsidR="00B30549" w:rsidRPr="00522402">
        <w:rPr>
          <w:lang w:val="en-GB"/>
        </w:rPr>
        <w:t>transparency</w:t>
      </w:r>
      <w:r w:rsidR="00CF4177" w:rsidRPr="00522402">
        <w:rPr>
          <w:lang w:val="en-GB"/>
        </w:rPr>
        <w:t>,</w:t>
      </w:r>
      <w:r w:rsidR="00B30549" w:rsidRPr="00522402">
        <w:rPr>
          <w:lang w:val="en-GB"/>
        </w:rPr>
        <w:t xml:space="preserve"> and the rule of law</w:t>
      </w:r>
      <w:r w:rsidR="005848CE" w:rsidRPr="002921ED">
        <w:rPr>
          <w:lang w:val="en-GB"/>
        </w:rPr>
        <w:t>,</w:t>
      </w:r>
      <w:r w:rsidR="00F7196A" w:rsidRPr="00894CD0">
        <w:rPr>
          <w:color w:val="C00000"/>
          <w:lang w:val="en-GB"/>
        </w:rPr>
        <w:t xml:space="preserve"> </w:t>
      </w:r>
      <w:r w:rsidR="00F7196A" w:rsidRPr="00894CD0">
        <w:rPr>
          <w:color w:val="000000" w:themeColor="text1"/>
          <w:lang w:val="en-GB"/>
        </w:rPr>
        <w:t>using innovative approaches to reach the poorest</w:t>
      </w:r>
      <w:r w:rsidR="00B30549" w:rsidRPr="00894CD0">
        <w:rPr>
          <w:color w:val="000000" w:themeColor="text1"/>
          <w:lang w:val="en-GB"/>
        </w:rPr>
        <w:t>.</w:t>
      </w:r>
      <w:r w:rsidR="00B30549" w:rsidRPr="00CA06FC">
        <w:rPr>
          <w:color w:val="000000" w:themeColor="text1"/>
          <w:lang w:val="en-GB"/>
        </w:rPr>
        <w:t xml:space="preserve"> </w:t>
      </w:r>
      <w:r w:rsidR="007B242B" w:rsidRPr="00CA06FC">
        <w:rPr>
          <w:color w:val="000000" w:themeColor="text1"/>
          <w:lang w:val="en-GB"/>
        </w:rPr>
        <w:t>UNDP will focus on t</w:t>
      </w:r>
      <w:r w:rsidR="00F66E83" w:rsidRPr="00522402">
        <w:rPr>
          <w:color w:val="000000" w:themeColor="text1"/>
          <w:lang w:val="en-GB"/>
        </w:rPr>
        <w:t xml:space="preserve">he nexus between political and economic governance </w:t>
      </w:r>
      <w:r w:rsidR="007B242B" w:rsidRPr="00522402">
        <w:rPr>
          <w:lang w:val="en-GB"/>
        </w:rPr>
        <w:t>to achieve</w:t>
      </w:r>
      <w:r w:rsidR="00F66E83" w:rsidRPr="00522402">
        <w:rPr>
          <w:lang w:val="en-GB"/>
        </w:rPr>
        <w:t xml:space="preserve"> improved economic management for poverty eradication </w:t>
      </w:r>
      <w:r w:rsidR="007B242B" w:rsidRPr="00522402">
        <w:rPr>
          <w:lang w:val="en-GB"/>
        </w:rPr>
        <w:t>thro</w:t>
      </w:r>
      <w:r w:rsidR="007B242B" w:rsidRPr="002921ED">
        <w:rPr>
          <w:lang w:val="en-GB"/>
        </w:rPr>
        <w:t>ugh</w:t>
      </w:r>
      <w:r w:rsidR="00F66E83" w:rsidRPr="002921ED">
        <w:rPr>
          <w:lang w:val="en-GB"/>
        </w:rPr>
        <w:t xml:space="preserve"> bilateral and multilateral relationships</w:t>
      </w:r>
      <w:r w:rsidR="00522402">
        <w:rPr>
          <w:lang w:val="en-GB"/>
        </w:rPr>
        <w:t>,</w:t>
      </w:r>
      <w:r w:rsidR="00F66E83" w:rsidRPr="00522402">
        <w:rPr>
          <w:lang w:val="en-GB"/>
        </w:rPr>
        <w:t xml:space="preserve"> with positive consequences </w:t>
      </w:r>
      <w:r w:rsidR="00522402">
        <w:rPr>
          <w:lang w:val="en-GB"/>
        </w:rPr>
        <w:t>for</w:t>
      </w:r>
      <w:r w:rsidR="00522402" w:rsidRPr="00522402">
        <w:rPr>
          <w:lang w:val="en-GB"/>
        </w:rPr>
        <w:t xml:space="preserve"> </w:t>
      </w:r>
      <w:r w:rsidR="00CF4177" w:rsidRPr="00522402">
        <w:rPr>
          <w:lang w:val="en-GB"/>
        </w:rPr>
        <w:t>foreign direct investment</w:t>
      </w:r>
      <w:r w:rsidR="00F66E83" w:rsidRPr="00522402">
        <w:rPr>
          <w:lang w:val="en-GB"/>
        </w:rPr>
        <w:t>, business growth and government revenue.</w:t>
      </w:r>
    </w:p>
    <w:p w:rsidR="00186048" w:rsidRPr="002921ED" w:rsidRDefault="00186048" w:rsidP="00410AA4">
      <w:pPr>
        <w:pStyle w:val="ListParagraph"/>
        <w:tabs>
          <w:tab w:val="left" w:pos="1080"/>
        </w:tabs>
        <w:rPr>
          <w:sz w:val="12"/>
          <w:szCs w:val="12"/>
          <w:lang w:val="en-GB"/>
        </w:rPr>
      </w:pPr>
    </w:p>
    <w:p w:rsidR="00B30549" w:rsidRPr="002921ED" w:rsidRDefault="00B30549" w:rsidP="00410AA4">
      <w:pPr>
        <w:pStyle w:val="ListParagraph"/>
        <w:numPr>
          <w:ilvl w:val="0"/>
          <w:numId w:val="8"/>
        </w:numPr>
        <w:tabs>
          <w:tab w:val="left" w:pos="1080"/>
          <w:tab w:val="left" w:pos="1620"/>
        </w:tabs>
        <w:ind w:left="720" w:right="806" w:firstLine="0"/>
        <w:jc w:val="both"/>
        <w:rPr>
          <w:lang w:val="en-GB"/>
        </w:rPr>
      </w:pPr>
      <w:r w:rsidRPr="002921ED">
        <w:rPr>
          <w:lang w:val="en-GB"/>
        </w:rPr>
        <w:t>UNDP will support access to justice by strengthening capacities of</w:t>
      </w:r>
      <w:r w:rsidR="007B242B" w:rsidRPr="002921ED">
        <w:rPr>
          <w:lang w:val="en-GB"/>
        </w:rPr>
        <w:t xml:space="preserve"> enforcement authorities in</w:t>
      </w:r>
      <w:r w:rsidRPr="002921ED">
        <w:rPr>
          <w:lang w:val="en-GB"/>
        </w:rPr>
        <w:t xml:space="preserve"> justice delivery and human rights institutions to provide services, enlarge citizen participation in decision</w:t>
      </w:r>
      <w:r w:rsidR="00936402" w:rsidRPr="002921ED">
        <w:rPr>
          <w:lang w:val="en-GB"/>
        </w:rPr>
        <w:t>-</w:t>
      </w:r>
      <w:r w:rsidRPr="002921ED">
        <w:rPr>
          <w:lang w:val="en-GB"/>
        </w:rPr>
        <w:t>making and elections, and uphold the rule of law</w:t>
      </w:r>
      <w:r w:rsidR="00CF4177" w:rsidRPr="002921ED">
        <w:rPr>
          <w:lang w:val="en-GB"/>
        </w:rPr>
        <w:t>,</w:t>
      </w:r>
      <w:r w:rsidR="002676C0" w:rsidRPr="002921ED">
        <w:rPr>
          <w:lang w:val="en-GB"/>
        </w:rPr>
        <w:t xml:space="preserve"> tapping </w:t>
      </w:r>
      <w:r w:rsidRPr="002921ED">
        <w:rPr>
          <w:lang w:val="en-GB"/>
        </w:rPr>
        <w:t xml:space="preserve">into its global network through South-South and </w:t>
      </w:r>
      <w:r w:rsidR="00CF4177" w:rsidRPr="002921ED">
        <w:rPr>
          <w:lang w:val="en-GB"/>
        </w:rPr>
        <w:t>t</w:t>
      </w:r>
      <w:r w:rsidRPr="002921ED">
        <w:rPr>
          <w:lang w:val="en-GB"/>
        </w:rPr>
        <w:t xml:space="preserve">riangular </w:t>
      </w:r>
      <w:r w:rsidR="00CF4177" w:rsidRPr="002921ED">
        <w:rPr>
          <w:lang w:val="en-GB"/>
        </w:rPr>
        <w:t>c</w:t>
      </w:r>
      <w:r w:rsidRPr="002921ED">
        <w:rPr>
          <w:lang w:val="en-GB"/>
        </w:rPr>
        <w:t xml:space="preserve">ooperation. Building upon lessons learned from the 2012-2016 cycle, this </w:t>
      </w:r>
      <w:r w:rsidR="00CF4177" w:rsidRPr="002921ED">
        <w:rPr>
          <w:lang w:val="en-GB"/>
        </w:rPr>
        <w:t>p</w:t>
      </w:r>
      <w:r w:rsidRPr="002921ED">
        <w:rPr>
          <w:lang w:val="en-GB"/>
        </w:rPr>
        <w:t>rogramme will deepen the foundations for coordinated delivery of high</w:t>
      </w:r>
      <w:r w:rsidR="00CF4177" w:rsidRPr="002921ED">
        <w:rPr>
          <w:lang w:val="en-GB"/>
        </w:rPr>
        <w:t>-</w:t>
      </w:r>
      <w:r w:rsidRPr="002921ED">
        <w:rPr>
          <w:lang w:val="en-GB"/>
        </w:rPr>
        <w:t xml:space="preserve">quality justice services to </w:t>
      </w:r>
      <w:r w:rsidR="007B242B" w:rsidRPr="002921ED">
        <w:rPr>
          <w:lang w:val="en-GB"/>
        </w:rPr>
        <w:t>the poor</w:t>
      </w:r>
      <w:r w:rsidR="00725761" w:rsidRPr="002921ED">
        <w:rPr>
          <w:lang w:val="en-GB"/>
        </w:rPr>
        <w:t xml:space="preserve">, </w:t>
      </w:r>
      <w:r w:rsidR="007B242B" w:rsidRPr="002921ED">
        <w:rPr>
          <w:lang w:val="en-GB"/>
        </w:rPr>
        <w:t>focus</w:t>
      </w:r>
      <w:r w:rsidR="00CF4177" w:rsidRPr="002921ED">
        <w:rPr>
          <w:lang w:val="en-GB"/>
        </w:rPr>
        <w:t>ing</w:t>
      </w:r>
      <w:r w:rsidR="007B242B" w:rsidRPr="002921ED">
        <w:rPr>
          <w:lang w:val="en-GB"/>
        </w:rPr>
        <w:t xml:space="preserve"> on</w:t>
      </w:r>
      <w:r w:rsidRPr="002921ED">
        <w:rPr>
          <w:lang w:val="en-GB"/>
        </w:rPr>
        <w:t xml:space="preserve"> children and women through legal aid and </w:t>
      </w:r>
      <w:r w:rsidR="00CF4177" w:rsidRPr="002921ED">
        <w:rPr>
          <w:lang w:val="en-GB"/>
        </w:rPr>
        <w:t>assessments of development results</w:t>
      </w:r>
      <w:r w:rsidRPr="002921ED">
        <w:rPr>
          <w:lang w:val="en-GB"/>
        </w:rPr>
        <w:t xml:space="preserve">. UNDP, in collaboration with </w:t>
      </w:r>
      <w:r w:rsidR="00CF4177" w:rsidRPr="002921ED">
        <w:rPr>
          <w:lang w:val="en-GB"/>
        </w:rPr>
        <w:t>United Nations organizations</w:t>
      </w:r>
      <w:r w:rsidRPr="002921ED">
        <w:rPr>
          <w:lang w:val="en-GB"/>
        </w:rPr>
        <w:t xml:space="preserve">, development partners and </w:t>
      </w:r>
      <w:r w:rsidR="00CF4177" w:rsidRPr="002921ED">
        <w:rPr>
          <w:lang w:val="en-GB"/>
        </w:rPr>
        <w:t>c</w:t>
      </w:r>
      <w:r w:rsidR="001C73E0" w:rsidRPr="002921ED">
        <w:rPr>
          <w:lang w:val="en-GB"/>
        </w:rPr>
        <w:t xml:space="preserve">ivil </w:t>
      </w:r>
      <w:r w:rsidR="00CF4177" w:rsidRPr="002921ED">
        <w:rPr>
          <w:lang w:val="en-GB"/>
        </w:rPr>
        <w:t>s</w:t>
      </w:r>
      <w:r w:rsidR="001C73E0" w:rsidRPr="002921ED">
        <w:rPr>
          <w:lang w:val="en-GB"/>
        </w:rPr>
        <w:t xml:space="preserve">ociety </w:t>
      </w:r>
      <w:r w:rsidR="00CF4177" w:rsidRPr="002921ED">
        <w:rPr>
          <w:lang w:val="en-GB"/>
        </w:rPr>
        <w:t>o</w:t>
      </w:r>
      <w:r w:rsidR="001C73E0" w:rsidRPr="002921ED">
        <w:rPr>
          <w:lang w:val="en-GB"/>
        </w:rPr>
        <w:t>rganizations</w:t>
      </w:r>
      <w:r w:rsidR="00522402">
        <w:rPr>
          <w:lang w:val="en-GB"/>
        </w:rPr>
        <w:t>,</w:t>
      </w:r>
      <w:r w:rsidR="001C73E0" w:rsidRPr="00522402">
        <w:rPr>
          <w:lang w:val="en-GB"/>
        </w:rPr>
        <w:t xml:space="preserve"> </w:t>
      </w:r>
      <w:r w:rsidRPr="002921ED">
        <w:rPr>
          <w:lang w:val="en-GB"/>
        </w:rPr>
        <w:t xml:space="preserve">will strategically leverage its position as </w:t>
      </w:r>
      <w:r w:rsidR="00CF4177" w:rsidRPr="002921ED">
        <w:rPr>
          <w:lang w:val="en-GB"/>
        </w:rPr>
        <w:t xml:space="preserve">a </w:t>
      </w:r>
      <w:r w:rsidRPr="002921ED">
        <w:rPr>
          <w:lang w:val="en-GB"/>
        </w:rPr>
        <w:t>neutral convening entity to dialogue and advocate on sensitive issues</w:t>
      </w:r>
      <w:r w:rsidR="00F17BAA" w:rsidRPr="002921ED">
        <w:rPr>
          <w:lang w:val="en-GB"/>
        </w:rPr>
        <w:t>, governance risks and</w:t>
      </w:r>
      <w:r w:rsidR="005E63C9" w:rsidRPr="002921ED">
        <w:rPr>
          <w:lang w:val="en-GB"/>
        </w:rPr>
        <w:t xml:space="preserve"> mitigation strateg</w:t>
      </w:r>
      <w:r w:rsidR="00F17BAA" w:rsidRPr="002921ED">
        <w:rPr>
          <w:lang w:val="en-GB"/>
        </w:rPr>
        <w:t>ies</w:t>
      </w:r>
      <w:r w:rsidRPr="002921ED">
        <w:rPr>
          <w:lang w:val="en-GB"/>
        </w:rPr>
        <w:t>.</w:t>
      </w:r>
      <w:r w:rsidR="001C73E0" w:rsidRPr="002921ED">
        <w:rPr>
          <w:lang w:val="en-GB"/>
        </w:rPr>
        <w:t xml:space="preserve"> </w:t>
      </w:r>
      <w:r w:rsidR="00F17BAA" w:rsidRPr="002921ED">
        <w:rPr>
          <w:lang w:val="en-GB"/>
        </w:rPr>
        <w:t xml:space="preserve">Support to </w:t>
      </w:r>
      <w:r w:rsidR="006942DA" w:rsidRPr="002921ED">
        <w:rPr>
          <w:lang w:val="en-GB"/>
        </w:rPr>
        <w:t>promoting gender equity</w:t>
      </w:r>
      <w:r w:rsidRPr="002921ED">
        <w:rPr>
          <w:lang w:val="en-GB"/>
        </w:rPr>
        <w:t xml:space="preserve"> </w:t>
      </w:r>
      <w:r w:rsidR="00F17BAA" w:rsidRPr="002921ED">
        <w:rPr>
          <w:lang w:val="en-GB"/>
        </w:rPr>
        <w:t xml:space="preserve">and women’s empowerment </w:t>
      </w:r>
      <w:r w:rsidRPr="002921ED">
        <w:rPr>
          <w:lang w:val="en-GB"/>
        </w:rPr>
        <w:t xml:space="preserve">will focus </w:t>
      </w:r>
      <w:r w:rsidR="00F92AE6" w:rsidRPr="002921ED">
        <w:rPr>
          <w:lang w:val="en-GB"/>
        </w:rPr>
        <w:t>on the</w:t>
      </w:r>
      <w:r w:rsidR="00E90752" w:rsidRPr="002921ED">
        <w:rPr>
          <w:lang w:val="en-GB"/>
        </w:rPr>
        <w:t xml:space="preserve"> implement</w:t>
      </w:r>
      <w:r w:rsidR="006942DA" w:rsidRPr="002921ED">
        <w:rPr>
          <w:lang w:val="en-GB"/>
        </w:rPr>
        <w:t>ation of policies</w:t>
      </w:r>
      <w:r w:rsidR="00E90752" w:rsidRPr="002921ED">
        <w:rPr>
          <w:lang w:val="en-GB"/>
        </w:rPr>
        <w:t xml:space="preserve"> </w:t>
      </w:r>
      <w:r w:rsidR="006942DA" w:rsidRPr="002921ED">
        <w:rPr>
          <w:lang w:val="en-GB"/>
        </w:rPr>
        <w:t xml:space="preserve">through </w:t>
      </w:r>
      <w:r w:rsidR="00E10CF4" w:rsidRPr="002921ED">
        <w:rPr>
          <w:lang w:val="en-GB"/>
        </w:rPr>
        <w:t xml:space="preserve">a </w:t>
      </w:r>
      <w:r w:rsidR="00CF4177" w:rsidRPr="002921ED">
        <w:rPr>
          <w:lang w:val="en-GB"/>
        </w:rPr>
        <w:t>j</w:t>
      </w:r>
      <w:r w:rsidR="006942DA" w:rsidRPr="002921ED">
        <w:rPr>
          <w:lang w:val="en-GB"/>
        </w:rPr>
        <w:t>oint</w:t>
      </w:r>
      <w:r w:rsidRPr="002921ED">
        <w:rPr>
          <w:lang w:val="en-GB"/>
        </w:rPr>
        <w:t xml:space="preserve"> Gambia Government</w:t>
      </w:r>
      <w:r w:rsidR="00522402">
        <w:rPr>
          <w:lang w:val="en-GB"/>
        </w:rPr>
        <w:t>-</w:t>
      </w:r>
      <w:r w:rsidRPr="00522402">
        <w:rPr>
          <w:lang w:val="en-GB"/>
        </w:rPr>
        <w:t>U</w:t>
      </w:r>
      <w:r w:rsidR="00CF4177" w:rsidRPr="00522402">
        <w:rPr>
          <w:lang w:val="en-GB"/>
        </w:rPr>
        <w:t>nited Nations</w:t>
      </w:r>
      <w:r w:rsidRPr="002921ED">
        <w:rPr>
          <w:lang w:val="en-GB"/>
        </w:rPr>
        <w:t xml:space="preserve"> </w:t>
      </w:r>
      <w:r w:rsidR="00CF4177" w:rsidRPr="002921ED">
        <w:rPr>
          <w:lang w:val="en-GB"/>
        </w:rPr>
        <w:t>s</w:t>
      </w:r>
      <w:r w:rsidRPr="002921ED">
        <w:rPr>
          <w:lang w:val="en-GB"/>
        </w:rPr>
        <w:t xml:space="preserve">ystem </w:t>
      </w:r>
      <w:r w:rsidR="00CF4177" w:rsidRPr="002921ED">
        <w:rPr>
          <w:lang w:val="en-GB"/>
        </w:rPr>
        <w:lastRenderedPageBreak/>
        <w:t>p</w:t>
      </w:r>
      <w:r w:rsidRPr="002921ED">
        <w:rPr>
          <w:lang w:val="en-GB"/>
        </w:rPr>
        <w:t>rogramme</w:t>
      </w:r>
      <w:r w:rsidR="00F17BAA" w:rsidRPr="002921ED">
        <w:rPr>
          <w:lang w:val="en-GB"/>
        </w:rPr>
        <w:t>.</w:t>
      </w:r>
      <w:r w:rsidRPr="002921ED">
        <w:rPr>
          <w:lang w:val="en-GB"/>
        </w:rPr>
        <w:t xml:space="preserve"> </w:t>
      </w:r>
      <w:r w:rsidR="00F17BAA" w:rsidRPr="002921ED">
        <w:rPr>
          <w:lang w:val="en-GB"/>
        </w:rPr>
        <w:t>UNDP will</w:t>
      </w:r>
      <w:r w:rsidR="00BC21EE" w:rsidRPr="002921ED">
        <w:rPr>
          <w:lang w:val="en-GB"/>
        </w:rPr>
        <w:t xml:space="preserve"> continue to advocate for </w:t>
      </w:r>
      <w:r w:rsidR="00F17BAA" w:rsidRPr="002921ED">
        <w:rPr>
          <w:lang w:val="en-GB"/>
        </w:rPr>
        <w:t>implementing</w:t>
      </w:r>
      <w:r w:rsidR="00BC21EE" w:rsidRPr="002921ED">
        <w:rPr>
          <w:lang w:val="en-GB"/>
        </w:rPr>
        <w:t xml:space="preserve"> the </w:t>
      </w:r>
      <w:r w:rsidR="00CF4177" w:rsidRPr="002921ED">
        <w:rPr>
          <w:lang w:val="en-GB"/>
        </w:rPr>
        <w:t xml:space="preserve">national human rights commission act </w:t>
      </w:r>
      <w:r w:rsidR="00F17BAA" w:rsidRPr="002921ED">
        <w:rPr>
          <w:lang w:val="en-GB"/>
        </w:rPr>
        <w:t>and</w:t>
      </w:r>
      <w:r w:rsidR="00BC21EE" w:rsidRPr="002921ED">
        <w:rPr>
          <w:lang w:val="en-GB"/>
        </w:rPr>
        <w:t xml:space="preserve"> support human rights monitoring mechanisms.</w:t>
      </w:r>
    </w:p>
    <w:p w:rsidR="00186048" w:rsidRPr="007329D0" w:rsidRDefault="00186048" w:rsidP="00410AA4">
      <w:pPr>
        <w:pStyle w:val="ListParagraph"/>
        <w:tabs>
          <w:tab w:val="left" w:pos="1080"/>
          <w:tab w:val="left" w:pos="1620"/>
        </w:tabs>
        <w:ind w:right="806"/>
        <w:jc w:val="both"/>
        <w:rPr>
          <w:sz w:val="12"/>
          <w:szCs w:val="12"/>
          <w:lang w:val="en-GB"/>
        </w:rPr>
      </w:pPr>
    </w:p>
    <w:p w:rsidR="00B30549" w:rsidRPr="002921ED" w:rsidRDefault="00554431" w:rsidP="00410AA4">
      <w:pPr>
        <w:pStyle w:val="ListParagraph"/>
        <w:numPr>
          <w:ilvl w:val="0"/>
          <w:numId w:val="8"/>
        </w:numPr>
        <w:tabs>
          <w:tab w:val="left" w:pos="1080"/>
          <w:tab w:val="left" w:pos="1620"/>
        </w:tabs>
        <w:ind w:left="720" w:right="806" w:firstLine="0"/>
        <w:jc w:val="both"/>
        <w:rPr>
          <w:lang w:val="en-GB"/>
        </w:rPr>
      </w:pPr>
      <w:r w:rsidRPr="002921ED">
        <w:rPr>
          <w:lang w:val="en-GB"/>
        </w:rPr>
        <w:t>T</w:t>
      </w:r>
      <w:r w:rsidR="00434CC2" w:rsidRPr="002921ED">
        <w:rPr>
          <w:lang w:val="en-GB"/>
        </w:rPr>
        <w:t>he</w:t>
      </w:r>
      <w:r w:rsidR="00B30549" w:rsidRPr="002921ED">
        <w:rPr>
          <w:lang w:val="en-GB"/>
        </w:rPr>
        <w:t xml:space="preserve"> programme</w:t>
      </w:r>
      <w:r w:rsidR="00C3267B" w:rsidRPr="002921ED">
        <w:rPr>
          <w:lang w:val="en-GB"/>
        </w:rPr>
        <w:t xml:space="preserve"> </w:t>
      </w:r>
      <w:r w:rsidR="00B30549" w:rsidRPr="002921ED">
        <w:rPr>
          <w:lang w:val="en-GB"/>
        </w:rPr>
        <w:t xml:space="preserve">will support </w:t>
      </w:r>
      <w:r w:rsidRPr="002921ED">
        <w:rPr>
          <w:lang w:val="en-GB"/>
        </w:rPr>
        <w:t>citizen participation</w:t>
      </w:r>
      <w:r w:rsidR="00B30549" w:rsidRPr="002921ED">
        <w:rPr>
          <w:lang w:val="en-GB"/>
        </w:rPr>
        <w:t xml:space="preserve"> and strengthen capacities </w:t>
      </w:r>
      <w:r w:rsidR="001C73E0" w:rsidRPr="002921ED">
        <w:rPr>
          <w:lang w:val="en-GB"/>
        </w:rPr>
        <w:t>of</w:t>
      </w:r>
      <w:r w:rsidR="00B30549" w:rsidRPr="002921ED">
        <w:rPr>
          <w:lang w:val="en-GB"/>
        </w:rPr>
        <w:t xml:space="preserve"> oversight and accountability institutions, </w:t>
      </w:r>
      <w:r w:rsidR="00CF4177" w:rsidRPr="002921ED">
        <w:rPr>
          <w:lang w:val="en-GB"/>
        </w:rPr>
        <w:t xml:space="preserve">the </w:t>
      </w:r>
      <w:r w:rsidR="00B30549" w:rsidRPr="002921ED">
        <w:rPr>
          <w:lang w:val="en-GB"/>
        </w:rPr>
        <w:t>National Council for Civic Education</w:t>
      </w:r>
      <w:r w:rsidR="00522402">
        <w:rPr>
          <w:lang w:val="en-GB"/>
        </w:rPr>
        <w:t>,</w:t>
      </w:r>
      <w:r w:rsidR="00F92AE6" w:rsidRPr="00522402">
        <w:rPr>
          <w:lang w:val="en-GB"/>
        </w:rPr>
        <w:t xml:space="preserve"> </w:t>
      </w:r>
      <w:r w:rsidR="00B30549" w:rsidRPr="00522402">
        <w:rPr>
          <w:lang w:val="en-GB"/>
        </w:rPr>
        <w:t xml:space="preserve">and </w:t>
      </w:r>
      <w:r w:rsidR="007931F5" w:rsidRPr="00522402">
        <w:rPr>
          <w:lang w:val="en-GB"/>
        </w:rPr>
        <w:t xml:space="preserve">the </w:t>
      </w:r>
      <w:r w:rsidR="00B30549" w:rsidRPr="00894CD0">
        <w:rPr>
          <w:rStyle w:val="st1"/>
          <w:lang w:val="en-GB"/>
        </w:rPr>
        <w:t>Association of Non-Governmental Organizations</w:t>
      </w:r>
      <w:r w:rsidR="00B30549" w:rsidRPr="00894CD0">
        <w:rPr>
          <w:rStyle w:val="Emphasis"/>
          <w:b w:val="0"/>
          <w:color w:val="545454"/>
          <w:lang w:val="en-GB"/>
        </w:rPr>
        <w:t xml:space="preserve">. </w:t>
      </w:r>
      <w:r w:rsidR="00B30549" w:rsidRPr="00CA06FC">
        <w:rPr>
          <w:lang w:val="en-GB"/>
        </w:rPr>
        <w:t xml:space="preserve">Support for implementing </w:t>
      </w:r>
      <w:r w:rsidR="007931F5" w:rsidRPr="00522402">
        <w:rPr>
          <w:lang w:val="en-GB"/>
        </w:rPr>
        <w:t xml:space="preserve">the </w:t>
      </w:r>
      <w:r w:rsidR="00B30549" w:rsidRPr="00522402">
        <w:rPr>
          <w:lang w:val="en-GB"/>
        </w:rPr>
        <w:t>citizen engagement framework will target the media and emphasi</w:t>
      </w:r>
      <w:r w:rsidR="007931F5" w:rsidRPr="00522402">
        <w:rPr>
          <w:lang w:val="en-GB"/>
        </w:rPr>
        <w:t>z</w:t>
      </w:r>
      <w:r w:rsidRPr="00522402">
        <w:rPr>
          <w:lang w:val="en-GB"/>
        </w:rPr>
        <w:t>e</w:t>
      </w:r>
      <w:r w:rsidR="00B30549" w:rsidRPr="00522402">
        <w:rPr>
          <w:lang w:val="en-GB"/>
        </w:rPr>
        <w:t xml:space="preserve"> providing voice </w:t>
      </w:r>
      <w:r w:rsidR="00BC21EE" w:rsidRPr="00522402">
        <w:rPr>
          <w:lang w:val="en-GB"/>
        </w:rPr>
        <w:t>to women a</w:t>
      </w:r>
      <w:r w:rsidR="007142A4" w:rsidRPr="00522402">
        <w:rPr>
          <w:lang w:val="en-GB"/>
        </w:rPr>
        <w:t>nd</w:t>
      </w:r>
      <w:r w:rsidR="00BC21EE" w:rsidRPr="00522402">
        <w:rPr>
          <w:lang w:val="en-GB"/>
        </w:rPr>
        <w:t xml:space="preserve"> </w:t>
      </w:r>
      <w:r w:rsidR="00B30549" w:rsidRPr="00522402">
        <w:rPr>
          <w:lang w:val="en-GB"/>
        </w:rPr>
        <w:t xml:space="preserve">excluded groups. </w:t>
      </w:r>
      <w:r w:rsidRPr="00522402">
        <w:rPr>
          <w:lang w:val="en-GB"/>
        </w:rPr>
        <w:t>Implementation</w:t>
      </w:r>
      <w:r w:rsidR="00E90752" w:rsidRPr="002921ED">
        <w:rPr>
          <w:lang w:val="en-GB"/>
        </w:rPr>
        <w:t xml:space="preserve"> of </w:t>
      </w:r>
      <w:r w:rsidRPr="002921ED">
        <w:rPr>
          <w:lang w:val="en-GB"/>
        </w:rPr>
        <w:t xml:space="preserve">the </w:t>
      </w:r>
      <w:r w:rsidR="007931F5" w:rsidRPr="002921ED">
        <w:rPr>
          <w:lang w:val="en-GB"/>
        </w:rPr>
        <w:t>d</w:t>
      </w:r>
      <w:r w:rsidR="00E90752" w:rsidRPr="002921ED">
        <w:rPr>
          <w:lang w:val="en-GB"/>
        </w:rPr>
        <w:t>ecentrali</w:t>
      </w:r>
      <w:r w:rsidR="007931F5" w:rsidRPr="002921ED">
        <w:rPr>
          <w:lang w:val="en-GB"/>
        </w:rPr>
        <w:t>z</w:t>
      </w:r>
      <w:r w:rsidR="00E90752" w:rsidRPr="002921ED">
        <w:rPr>
          <w:lang w:val="en-GB"/>
        </w:rPr>
        <w:t xml:space="preserve">ation </w:t>
      </w:r>
      <w:r w:rsidR="007931F5" w:rsidRPr="002921ED">
        <w:rPr>
          <w:lang w:val="en-GB"/>
        </w:rPr>
        <w:t>p</w:t>
      </w:r>
      <w:r w:rsidR="00E90752" w:rsidRPr="002921ED">
        <w:rPr>
          <w:lang w:val="en-GB"/>
        </w:rPr>
        <w:t xml:space="preserve">olicy and </w:t>
      </w:r>
      <w:r w:rsidR="007931F5" w:rsidRPr="002921ED">
        <w:rPr>
          <w:lang w:val="en-GB"/>
        </w:rPr>
        <w:t>s</w:t>
      </w:r>
      <w:r w:rsidR="00E90752" w:rsidRPr="002921ED">
        <w:rPr>
          <w:lang w:val="en-GB"/>
        </w:rPr>
        <w:t>trategy</w:t>
      </w:r>
      <w:r w:rsidRPr="002921ED">
        <w:rPr>
          <w:lang w:val="en-GB"/>
        </w:rPr>
        <w:t xml:space="preserve"> will be prioriti</w:t>
      </w:r>
      <w:r w:rsidR="007931F5" w:rsidRPr="002921ED">
        <w:rPr>
          <w:lang w:val="en-GB"/>
        </w:rPr>
        <w:t>z</w:t>
      </w:r>
      <w:r w:rsidRPr="002921ED">
        <w:rPr>
          <w:lang w:val="en-GB"/>
        </w:rPr>
        <w:t>ed for capacity</w:t>
      </w:r>
      <w:r w:rsidR="007931F5" w:rsidRPr="002921ED">
        <w:rPr>
          <w:lang w:val="en-GB"/>
        </w:rPr>
        <w:t>-</w:t>
      </w:r>
      <w:r w:rsidRPr="002921ED">
        <w:rPr>
          <w:lang w:val="en-GB"/>
        </w:rPr>
        <w:t>building</w:t>
      </w:r>
      <w:r w:rsidR="00B30549" w:rsidRPr="002921ED">
        <w:rPr>
          <w:lang w:val="en-GB"/>
        </w:rPr>
        <w:t xml:space="preserve">. </w:t>
      </w:r>
      <w:r w:rsidR="00F66E83" w:rsidRPr="002921ED">
        <w:rPr>
          <w:lang w:val="en-GB"/>
        </w:rPr>
        <w:t xml:space="preserve">This pillar will contribute to the attainment of </w:t>
      </w:r>
      <w:r w:rsidR="007931F5" w:rsidRPr="002921ED">
        <w:rPr>
          <w:lang w:val="en-GB"/>
        </w:rPr>
        <w:t xml:space="preserve">sustainable development goals </w:t>
      </w:r>
      <w:r w:rsidR="00F66E83" w:rsidRPr="002921ED">
        <w:rPr>
          <w:lang w:val="en-GB"/>
        </w:rPr>
        <w:t>5 and</w:t>
      </w:r>
      <w:r w:rsidR="00936402" w:rsidRPr="002921ED">
        <w:rPr>
          <w:lang w:val="en-GB"/>
        </w:rPr>
        <w:t xml:space="preserve"> 1</w:t>
      </w:r>
      <w:r w:rsidR="00F66E83" w:rsidRPr="002921ED">
        <w:rPr>
          <w:lang w:val="en-GB"/>
        </w:rPr>
        <w:t>6.</w:t>
      </w:r>
    </w:p>
    <w:p w:rsidR="00186048" w:rsidRDefault="00186048" w:rsidP="00410AA4">
      <w:pPr>
        <w:pStyle w:val="ListParagraph"/>
        <w:tabs>
          <w:tab w:val="left" w:pos="1080"/>
        </w:tabs>
        <w:rPr>
          <w:sz w:val="12"/>
          <w:szCs w:val="12"/>
          <w:lang w:val="en-GB"/>
        </w:rPr>
      </w:pPr>
    </w:p>
    <w:p w:rsidR="00522402" w:rsidRPr="00894CD0" w:rsidRDefault="00522402" w:rsidP="00410AA4">
      <w:pPr>
        <w:pStyle w:val="ListParagraph"/>
        <w:tabs>
          <w:tab w:val="left" w:pos="1080"/>
        </w:tabs>
        <w:rPr>
          <w:b/>
          <w:sz w:val="12"/>
          <w:szCs w:val="12"/>
          <w:lang w:val="en-GB"/>
        </w:rPr>
      </w:pPr>
      <w:r w:rsidRPr="00894CD0">
        <w:rPr>
          <w:b/>
          <w:i/>
          <w:lang w:val="en-GB"/>
        </w:rPr>
        <w:t>Environment and resilience development</w:t>
      </w:r>
    </w:p>
    <w:p w:rsidR="00522402" w:rsidRPr="007329D0" w:rsidRDefault="00522402" w:rsidP="00410AA4">
      <w:pPr>
        <w:pStyle w:val="ListParagraph"/>
        <w:tabs>
          <w:tab w:val="left" w:pos="1080"/>
        </w:tabs>
        <w:rPr>
          <w:sz w:val="12"/>
          <w:szCs w:val="12"/>
          <w:lang w:val="en-GB"/>
        </w:rPr>
      </w:pPr>
    </w:p>
    <w:p w:rsidR="00470383" w:rsidRPr="002921ED" w:rsidRDefault="00B9330A"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522402">
        <w:rPr>
          <w:rFonts w:ascii="Times New Roman" w:hAnsi="Times New Roman"/>
          <w:b w:val="0"/>
          <w:sz w:val="20"/>
          <w:lang w:val="en-GB"/>
        </w:rPr>
        <w:t>UNDP will support the application of evidence</w:t>
      </w:r>
      <w:r w:rsidR="00122A15" w:rsidRPr="00522402">
        <w:rPr>
          <w:rFonts w:ascii="Times New Roman" w:hAnsi="Times New Roman"/>
          <w:b w:val="0"/>
          <w:sz w:val="20"/>
          <w:lang w:val="en-GB"/>
        </w:rPr>
        <w:t>-based</w:t>
      </w:r>
      <w:r w:rsidRPr="00522402">
        <w:rPr>
          <w:rFonts w:ascii="Times New Roman" w:hAnsi="Times New Roman"/>
          <w:b w:val="0"/>
          <w:sz w:val="20"/>
          <w:lang w:val="en-GB"/>
        </w:rPr>
        <w:t xml:space="preserve"> policymaking for</w:t>
      </w:r>
      <w:r w:rsidR="00122A15" w:rsidRPr="00522402">
        <w:rPr>
          <w:rFonts w:ascii="Times New Roman" w:hAnsi="Times New Roman"/>
          <w:b w:val="0"/>
          <w:sz w:val="20"/>
          <w:lang w:val="en-GB"/>
        </w:rPr>
        <w:t xml:space="preserve"> increased resilience; improved</w:t>
      </w:r>
      <w:r w:rsidRPr="00522402">
        <w:rPr>
          <w:rFonts w:ascii="Times New Roman" w:hAnsi="Times New Roman"/>
          <w:b w:val="0"/>
          <w:sz w:val="20"/>
          <w:lang w:val="en-GB"/>
        </w:rPr>
        <w:t xml:space="preserve"> absorptive, adaptive and transformative capacities of at-risk communities; and the establishment of appropriate, coordinated and timely responses to risks and shocks. </w:t>
      </w:r>
      <w:r w:rsidR="00A10E69" w:rsidRPr="00522402">
        <w:rPr>
          <w:rFonts w:ascii="Times New Roman" w:hAnsi="Times New Roman"/>
          <w:b w:val="0"/>
          <w:sz w:val="20"/>
          <w:lang w:val="en-GB"/>
        </w:rPr>
        <w:t>UNDP will lead the climate change and resilience</w:t>
      </w:r>
      <w:r w:rsidR="00936402" w:rsidRPr="00522402">
        <w:rPr>
          <w:rFonts w:ascii="Times New Roman" w:hAnsi="Times New Roman"/>
          <w:b w:val="0"/>
          <w:sz w:val="20"/>
          <w:lang w:val="en-GB"/>
        </w:rPr>
        <w:t>-</w:t>
      </w:r>
      <w:r w:rsidR="00A10E69" w:rsidRPr="00522402">
        <w:rPr>
          <w:rFonts w:ascii="Times New Roman" w:hAnsi="Times New Roman"/>
          <w:b w:val="0"/>
          <w:sz w:val="20"/>
          <w:lang w:val="en-GB"/>
        </w:rPr>
        <w:t xml:space="preserve">building agenda while forging effective partnerships within </w:t>
      </w:r>
      <w:r w:rsidR="00C800B7" w:rsidRPr="00522402">
        <w:rPr>
          <w:rFonts w:ascii="Times New Roman" w:hAnsi="Times New Roman"/>
          <w:b w:val="0"/>
          <w:sz w:val="20"/>
          <w:lang w:val="en-GB"/>
        </w:rPr>
        <w:t xml:space="preserve">national and international </w:t>
      </w:r>
      <w:r w:rsidR="00A10E69" w:rsidRPr="00522402">
        <w:rPr>
          <w:rFonts w:ascii="Times New Roman" w:hAnsi="Times New Roman"/>
          <w:b w:val="0"/>
          <w:sz w:val="20"/>
          <w:lang w:val="en-GB"/>
        </w:rPr>
        <w:t>framework</w:t>
      </w:r>
      <w:r w:rsidR="00C800B7" w:rsidRPr="00522402">
        <w:rPr>
          <w:rFonts w:ascii="Times New Roman" w:hAnsi="Times New Roman"/>
          <w:b w:val="0"/>
          <w:sz w:val="20"/>
          <w:lang w:val="en-GB"/>
        </w:rPr>
        <w:t>s</w:t>
      </w:r>
      <w:r w:rsidR="002F7C38" w:rsidRPr="002921ED">
        <w:rPr>
          <w:rFonts w:ascii="Times New Roman" w:hAnsi="Times New Roman"/>
          <w:b w:val="0"/>
          <w:sz w:val="20"/>
          <w:lang w:val="en-GB"/>
        </w:rPr>
        <w:t>.</w:t>
      </w:r>
      <w:r w:rsidR="00C800B7" w:rsidRPr="00522402">
        <w:rPr>
          <w:rStyle w:val="FootnoteReference"/>
          <w:rFonts w:ascii="Times New Roman" w:hAnsi="Times New Roman"/>
          <w:b w:val="0"/>
          <w:sz w:val="20"/>
          <w:lang w:val="en-GB"/>
        </w:rPr>
        <w:footnoteReference w:id="40"/>
      </w:r>
      <w:r w:rsidR="00122A15" w:rsidRPr="00522402">
        <w:rPr>
          <w:rFonts w:ascii="Times New Roman" w:hAnsi="Times New Roman"/>
          <w:b w:val="0"/>
          <w:sz w:val="20"/>
          <w:lang w:val="en-GB"/>
        </w:rPr>
        <w:t xml:space="preserve"> The support will enable </w:t>
      </w:r>
      <w:r w:rsidR="00522402">
        <w:rPr>
          <w:rFonts w:ascii="Times New Roman" w:hAnsi="Times New Roman"/>
          <w:b w:val="0"/>
          <w:sz w:val="20"/>
          <w:lang w:val="en-GB"/>
        </w:rPr>
        <w:t>the G</w:t>
      </w:r>
      <w:r w:rsidR="00A10E69" w:rsidRPr="00522402">
        <w:rPr>
          <w:rFonts w:ascii="Times New Roman" w:hAnsi="Times New Roman"/>
          <w:b w:val="0"/>
          <w:sz w:val="20"/>
          <w:lang w:val="en-GB"/>
        </w:rPr>
        <w:t xml:space="preserve">overnment to implement the </w:t>
      </w:r>
      <w:r w:rsidR="00F87347" w:rsidRPr="00522402">
        <w:rPr>
          <w:rFonts w:ascii="Times New Roman" w:hAnsi="Times New Roman"/>
          <w:b w:val="0"/>
          <w:sz w:val="20"/>
          <w:lang w:val="en-GB"/>
        </w:rPr>
        <w:t>n</w:t>
      </w:r>
      <w:r w:rsidR="00A10E69" w:rsidRPr="00522402">
        <w:rPr>
          <w:rFonts w:ascii="Times New Roman" w:hAnsi="Times New Roman"/>
          <w:b w:val="0"/>
          <w:sz w:val="20"/>
          <w:lang w:val="en-GB"/>
        </w:rPr>
        <w:t xml:space="preserve">ational </w:t>
      </w:r>
      <w:r w:rsidR="00F87347" w:rsidRPr="00522402">
        <w:rPr>
          <w:rFonts w:ascii="Times New Roman" w:hAnsi="Times New Roman"/>
          <w:b w:val="0"/>
          <w:sz w:val="20"/>
          <w:lang w:val="en-GB"/>
        </w:rPr>
        <w:t>c</w:t>
      </w:r>
      <w:r w:rsidR="00A10E69" w:rsidRPr="00522402">
        <w:rPr>
          <w:rFonts w:ascii="Times New Roman" w:hAnsi="Times New Roman"/>
          <w:b w:val="0"/>
          <w:sz w:val="20"/>
          <w:lang w:val="en-GB"/>
        </w:rPr>
        <w:t xml:space="preserve">limate </w:t>
      </w:r>
      <w:r w:rsidR="00F87347" w:rsidRPr="00522402">
        <w:rPr>
          <w:rFonts w:ascii="Times New Roman" w:hAnsi="Times New Roman"/>
          <w:b w:val="0"/>
          <w:sz w:val="20"/>
          <w:lang w:val="en-GB"/>
        </w:rPr>
        <w:t>c</w:t>
      </w:r>
      <w:r w:rsidR="00A10E69" w:rsidRPr="00522402">
        <w:rPr>
          <w:rFonts w:ascii="Times New Roman" w:hAnsi="Times New Roman"/>
          <w:b w:val="0"/>
          <w:sz w:val="20"/>
          <w:lang w:val="en-GB"/>
        </w:rPr>
        <w:t xml:space="preserve">hange </w:t>
      </w:r>
      <w:r w:rsidR="00F87347" w:rsidRPr="00522402">
        <w:rPr>
          <w:rFonts w:ascii="Times New Roman" w:hAnsi="Times New Roman"/>
          <w:b w:val="0"/>
          <w:sz w:val="20"/>
          <w:lang w:val="en-GB"/>
        </w:rPr>
        <w:t>p</w:t>
      </w:r>
      <w:r w:rsidR="00A10E69" w:rsidRPr="002921ED">
        <w:rPr>
          <w:rFonts w:ascii="Times New Roman" w:hAnsi="Times New Roman"/>
          <w:b w:val="0"/>
          <w:sz w:val="20"/>
          <w:lang w:val="en-GB"/>
        </w:rPr>
        <w:t>olicy</w:t>
      </w:r>
      <w:r w:rsidR="00F87347" w:rsidRPr="002921ED">
        <w:rPr>
          <w:rFonts w:ascii="Times New Roman" w:hAnsi="Times New Roman"/>
          <w:b w:val="0"/>
          <w:sz w:val="20"/>
          <w:lang w:val="en-GB"/>
        </w:rPr>
        <w:t>,</w:t>
      </w:r>
      <w:r w:rsidR="00A10E69" w:rsidRPr="002921ED">
        <w:rPr>
          <w:rFonts w:ascii="Times New Roman" w:hAnsi="Times New Roman"/>
          <w:b w:val="0"/>
          <w:sz w:val="20"/>
          <w:lang w:val="en-GB"/>
        </w:rPr>
        <w:t xml:space="preserve"> 2015</w:t>
      </w:r>
      <w:r w:rsidR="00522402" w:rsidRPr="002921ED">
        <w:rPr>
          <w:rFonts w:ascii="Times New Roman" w:hAnsi="Times New Roman"/>
          <w:b w:val="0"/>
          <w:sz w:val="20"/>
          <w:lang w:val="en-GB"/>
        </w:rPr>
        <w:t>,</w:t>
      </w:r>
      <w:r w:rsidR="00A10E69" w:rsidRPr="002921ED">
        <w:rPr>
          <w:rFonts w:ascii="Times New Roman" w:hAnsi="Times New Roman"/>
          <w:b w:val="0"/>
          <w:sz w:val="20"/>
          <w:lang w:val="en-GB"/>
        </w:rPr>
        <w:t xml:space="preserve"> and </w:t>
      </w:r>
      <w:r w:rsidR="00F87347" w:rsidRPr="002921ED">
        <w:rPr>
          <w:rFonts w:ascii="Times New Roman" w:hAnsi="Times New Roman"/>
          <w:b w:val="0"/>
          <w:sz w:val="20"/>
          <w:lang w:val="en-GB"/>
        </w:rPr>
        <w:t xml:space="preserve">the Paris Agreement reached at the twenty-first session of the Conference of the Parties, </w:t>
      </w:r>
      <w:r w:rsidR="00522402">
        <w:rPr>
          <w:rFonts w:ascii="Times New Roman" w:hAnsi="Times New Roman"/>
          <w:b w:val="0"/>
          <w:sz w:val="20"/>
          <w:lang w:val="en-GB"/>
        </w:rPr>
        <w:t xml:space="preserve">and </w:t>
      </w:r>
      <w:r w:rsidR="008C7980" w:rsidRPr="00522402">
        <w:rPr>
          <w:rFonts w:ascii="Times New Roman" w:hAnsi="Times New Roman"/>
          <w:b w:val="0"/>
          <w:sz w:val="20"/>
          <w:lang w:val="en-GB"/>
        </w:rPr>
        <w:t>promote</w:t>
      </w:r>
      <w:r w:rsidR="00A10E69" w:rsidRPr="00522402">
        <w:rPr>
          <w:rFonts w:ascii="Times New Roman" w:hAnsi="Times New Roman"/>
          <w:b w:val="0"/>
          <w:sz w:val="20"/>
          <w:lang w:val="en-GB"/>
        </w:rPr>
        <w:t xml:space="preserve"> natural resources management</w:t>
      </w:r>
      <w:r w:rsidR="00522402">
        <w:rPr>
          <w:rFonts w:ascii="Times New Roman" w:hAnsi="Times New Roman"/>
          <w:b w:val="0"/>
          <w:sz w:val="20"/>
          <w:lang w:val="en-GB"/>
        </w:rPr>
        <w:t xml:space="preserve"> and the </w:t>
      </w:r>
      <w:r w:rsidR="00920B3B" w:rsidRPr="00522402">
        <w:rPr>
          <w:rFonts w:ascii="Times New Roman" w:hAnsi="Times New Roman"/>
          <w:b w:val="0"/>
          <w:sz w:val="20"/>
          <w:lang w:val="en-GB"/>
        </w:rPr>
        <w:t>roll</w:t>
      </w:r>
      <w:r w:rsidR="00522402">
        <w:rPr>
          <w:rFonts w:ascii="Times New Roman" w:hAnsi="Times New Roman"/>
          <w:b w:val="0"/>
          <w:sz w:val="20"/>
          <w:lang w:val="en-GB"/>
        </w:rPr>
        <w:t>-</w:t>
      </w:r>
      <w:r w:rsidR="00A10E69" w:rsidRPr="00522402">
        <w:rPr>
          <w:rFonts w:ascii="Times New Roman" w:hAnsi="Times New Roman"/>
          <w:b w:val="0"/>
          <w:sz w:val="20"/>
          <w:lang w:val="en-GB"/>
        </w:rPr>
        <w:t xml:space="preserve">out </w:t>
      </w:r>
      <w:r w:rsidR="00122A15" w:rsidRPr="00522402">
        <w:rPr>
          <w:rFonts w:ascii="Times New Roman" w:hAnsi="Times New Roman"/>
          <w:b w:val="0"/>
          <w:sz w:val="20"/>
          <w:lang w:val="en-GB"/>
        </w:rPr>
        <w:t>of</w:t>
      </w:r>
      <w:r w:rsidR="00A10E69" w:rsidRPr="00522402">
        <w:rPr>
          <w:rFonts w:ascii="Times New Roman" w:hAnsi="Times New Roman"/>
          <w:b w:val="0"/>
          <w:sz w:val="20"/>
          <w:lang w:val="en-GB"/>
        </w:rPr>
        <w:t xml:space="preserve"> </w:t>
      </w:r>
      <w:r w:rsidR="00F87347" w:rsidRPr="00522402">
        <w:rPr>
          <w:rFonts w:ascii="Times New Roman" w:hAnsi="Times New Roman"/>
          <w:b w:val="0"/>
          <w:sz w:val="20"/>
          <w:lang w:val="en-GB"/>
        </w:rPr>
        <w:t xml:space="preserve">the Sustainable Energy for All </w:t>
      </w:r>
      <w:r w:rsidR="00A10E69" w:rsidRPr="00522402">
        <w:rPr>
          <w:rFonts w:ascii="Times New Roman" w:hAnsi="Times New Roman"/>
          <w:b w:val="0"/>
          <w:sz w:val="20"/>
          <w:lang w:val="en-GB"/>
        </w:rPr>
        <w:t>initiative</w:t>
      </w:r>
      <w:r w:rsidR="00920B3B" w:rsidRPr="00522402">
        <w:rPr>
          <w:rFonts w:ascii="Times New Roman" w:hAnsi="Times New Roman"/>
          <w:b w:val="0"/>
          <w:sz w:val="20"/>
          <w:lang w:val="en-GB"/>
        </w:rPr>
        <w:t>,</w:t>
      </w:r>
      <w:r w:rsidR="00A10E69" w:rsidRPr="00522402">
        <w:rPr>
          <w:rFonts w:ascii="Times New Roman" w:hAnsi="Times New Roman"/>
          <w:b w:val="0"/>
          <w:sz w:val="20"/>
          <w:lang w:val="en-GB"/>
        </w:rPr>
        <w:t xml:space="preserve"> </w:t>
      </w:r>
      <w:r w:rsidR="00F87347" w:rsidRPr="00522402">
        <w:rPr>
          <w:rFonts w:ascii="Times New Roman" w:hAnsi="Times New Roman"/>
          <w:b w:val="0"/>
          <w:sz w:val="20"/>
          <w:lang w:val="en-GB"/>
        </w:rPr>
        <w:t>the d</w:t>
      </w:r>
      <w:r w:rsidR="00694B80" w:rsidRPr="00522402">
        <w:rPr>
          <w:rFonts w:ascii="Times New Roman" w:hAnsi="Times New Roman"/>
          <w:b w:val="0"/>
          <w:sz w:val="20"/>
          <w:lang w:val="en-GB"/>
        </w:rPr>
        <w:t xml:space="preserve">isaster </w:t>
      </w:r>
      <w:r w:rsidR="00F87347" w:rsidRPr="00522402">
        <w:rPr>
          <w:rFonts w:ascii="Times New Roman" w:hAnsi="Times New Roman"/>
          <w:b w:val="0"/>
          <w:sz w:val="20"/>
          <w:lang w:val="en-GB"/>
        </w:rPr>
        <w:t>r</w:t>
      </w:r>
      <w:r w:rsidR="00694B80" w:rsidRPr="002921ED">
        <w:rPr>
          <w:rFonts w:ascii="Times New Roman" w:hAnsi="Times New Roman"/>
          <w:b w:val="0"/>
          <w:sz w:val="20"/>
          <w:lang w:val="en-GB"/>
        </w:rPr>
        <w:t xml:space="preserve">isk </w:t>
      </w:r>
      <w:r w:rsidR="00F87347" w:rsidRPr="002921ED">
        <w:rPr>
          <w:rFonts w:ascii="Times New Roman" w:hAnsi="Times New Roman"/>
          <w:b w:val="0"/>
          <w:sz w:val="20"/>
          <w:lang w:val="en-GB"/>
        </w:rPr>
        <w:t>r</w:t>
      </w:r>
      <w:r w:rsidR="00694B80" w:rsidRPr="002921ED">
        <w:rPr>
          <w:rFonts w:ascii="Times New Roman" w:hAnsi="Times New Roman"/>
          <w:b w:val="0"/>
          <w:sz w:val="20"/>
          <w:lang w:val="en-GB"/>
        </w:rPr>
        <w:t xml:space="preserve">eduction </w:t>
      </w:r>
      <w:r w:rsidR="00F87347" w:rsidRPr="002921ED">
        <w:rPr>
          <w:rFonts w:ascii="Times New Roman" w:hAnsi="Times New Roman"/>
          <w:b w:val="0"/>
          <w:sz w:val="20"/>
          <w:lang w:val="en-GB"/>
        </w:rPr>
        <w:t>p</w:t>
      </w:r>
      <w:r w:rsidR="00694B80" w:rsidRPr="002921ED">
        <w:rPr>
          <w:rFonts w:ascii="Times New Roman" w:hAnsi="Times New Roman"/>
          <w:b w:val="0"/>
          <w:sz w:val="20"/>
          <w:lang w:val="en-GB"/>
        </w:rPr>
        <w:t>olicy</w:t>
      </w:r>
      <w:r w:rsidR="00F87347" w:rsidRPr="002921ED">
        <w:rPr>
          <w:rFonts w:ascii="Times New Roman" w:hAnsi="Times New Roman"/>
          <w:b w:val="0"/>
          <w:sz w:val="20"/>
          <w:lang w:val="en-GB"/>
        </w:rPr>
        <w:t xml:space="preserve"> and s</w:t>
      </w:r>
      <w:r w:rsidR="00694B80" w:rsidRPr="002921ED">
        <w:rPr>
          <w:rFonts w:ascii="Times New Roman" w:hAnsi="Times New Roman"/>
          <w:b w:val="0"/>
          <w:sz w:val="20"/>
          <w:lang w:val="en-GB"/>
        </w:rPr>
        <w:t>trategy</w:t>
      </w:r>
      <w:r w:rsidR="00F87347" w:rsidRPr="002921ED">
        <w:rPr>
          <w:rFonts w:ascii="Times New Roman" w:hAnsi="Times New Roman"/>
          <w:b w:val="0"/>
          <w:sz w:val="20"/>
          <w:lang w:val="en-GB"/>
        </w:rPr>
        <w:t>,</w:t>
      </w:r>
      <w:r w:rsidR="00694B80" w:rsidRPr="002921ED">
        <w:rPr>
          <w:rFonts w:ascii="Times New Roman" w:hAnsi="Times New Roman"/>
          <w:b w:val="0"/>
          <w:sz w:val="20"/>
          <w:lang w:val="en-GB"/>
        </w:rPr>
        <w:t xml:space="preserve"> 2014-2017</w:t>
      </w:r>
      <w:r w:rsidR="00122A15" w:rsidRPr="002921ED">
        <w:rPr>
          <w:rFonts w:ascii="Times New Roman" w:hAnsi="Times New Roman"/>
          <w:b w:val="0"/>
          <w:sz w:val="20"/>
          <w:lang w:val="en-GB"/>
        </w:rPr>
        <w:t>,</w:t>
      </w:r>
      <w:r w:rsidR="00694B80" w:rsidRPr="002921ED">
        <w:rPr>
          <w:rFonts w:ascii="Times New Roman" w:hAnsi="Times New Roman"/>
          <w:b w:val="0"/>
          <w:sz w:val="20"/>
          <w:lang w:val="en-GB"/>
        </w:rPr>
        <w:t xml:space="preserve"> </w:t>
      </w:r>
      <w:r w:rsidR="00A10E69" w:rsidRPr="002921ED">
        <w:rPr>
          <w:rFonts w:ascii="Times New Roman" w:hAnsi="Times New Roman"/>
          <w:b w:val="0"/>
          <w:sz w:val="20"/>
          <w:lang w:val="en-GB"/>
        </w:rPr>
        <w:t xml:space="preserve">and </w:t>
      </w:r>
      <w:r w:rsidR="00F87347" w:rsidRPr="002921ED">
        <w:rPr>
          <w:rFonts w:ascii="Times New Roman" w:hAnsi="Times New Roman"/>
          <w:b w:val="0"/>
          <w:sz w:val="20"/>
          <w:lang w:val="en-GB"/>
        </w:rPr>
        <w:t xml:space="preserve">the </w:t>
      </w:r>
      <w:r w:rsidR="00A10E69" w:rsidRPr="002921ED">
        <w:rPr>
          <w:rFonts w:ascii="Times New Roman" w:hAnsi="Times New Roman"/>
          <w:b w:val="0"/>
          <w:sz w:val="20"/>
          <w:lang w:val="en-GB"/>
        </w:rPr>
        <w:t xml:space="preserve">renewable energy policy. </w:t>
      </w:r>
      <w:r w:rsidR="00694B80" w:rsidRPr="002921ED">
        <w:rPr>
          <w:rFonts w:ascii="Times New Roman" w:hAnsi="Times New Roman"/>
          <w:b w:val="0"/>
          <w:sz w:val="20"/>
          <w:lang w:val="en-GB"/>
        </w:rPr>
        <w:t xml:space="preserve">UNDP will strengthen national capacity to assess, respond </w:t>
      </w:r>
      <w:r w:rsidR="00F87347" w:rsidRPr="002921ED">
        <w:rPr>
          <w:rFonts w:ascii="Times New Roman" w:hAnsi="Times New Roman"/>
          <w:b w:val="0"/>
          <w:sz w:val="20"/>
          <w:lang w:val="en-GB"/>
        </w:rPr>
        <w:t xml:space="preserve">to </w:t>
      </w:r>
      <w:r w:rsidR="00694B80" w:rsidRPr="002921ED">
        <w:rPr>
          <w:rFonts w:ascii="Times New Roman" w:hAnsi="Times New Roman"/>
          <w:b w:val="0"/>
          <w:sz w:val="20"/>
          <w:lang w:val="en-GB"/>
        </w:rPr>
        <w:t>and coordinate disaster and climate risk management</w:t>
      </w:r>
      <w:r w:rsidR="002F7C38" w:rsidRPr="002921ED">
        <w:rPr>
          <w:rFonts w:ascii="Times New Roman" w:hAnsi="Times New Roman"/>
          <w:b w:val="0"/>
          <w:sz w:val="20"/>
          <w:lang w:val="en-GB"/>
        </w:rPr>
        <w:t>.</w:t>
      </w:r>
      <w:r w:rsidR="002C6070" w:rsidRPr="002921ED">
        <w:rPr>
          <w:rFonts w:ascii="Times New Roman" w:hAnsi="Times New Roman"/>
          <w:b w:val="0"/>
          <w:sz w:val="20"/>
          <w:lang w:val="en-GB"/>
        </w:rPr>
        <w:t xml:space="preserve"> </w:t>
      </w:r>
      <w:r w:rsidR="00A10E69" w:rsidRPr="002921ED">
        <w:rPr>
          <w:rFonts w:ascii="Times New Roman" w:hAnsi="Times New Roman"/>
          <w:b w:val="0"/>
          <w:sz w:val="20"/>
          <w:lang w:val="en-GB"/>
        </w:rPr>
        <w:t xml:space="preserve">The programme will support implementation of </w:t>
      </w:r>
      <w:r w:rsidR="002F7C38" w:rsidRPr="002921ED">
        <w:rPr>
          <w:rFonts w:ascii="Times New Roman" w:hAnsi="Times New Roman"/>
          <w:b w:val="0"/>
          <w:sz w:val="20"/>
          <w:lang w:val="en-GB"/>
        </w:rPr>
        <w:t xml:space="preserve">the </w:t>
      </w:r>
      <w:r w:rsidR="00F87347" w:rsidRPr="002921ED">
        <w:rPr>
          <w:rFonts w:ascii="Times New Roman" w:hAnsi="Times New Roman"/>
          <w:b w:val="0"/>
          <w:sz w:val="20"/>
          <w:lang w:val="en-GB"/>
        </w:rPr>
        <w:t>n</w:t>
      </w:r>
      <w:r w:rsidR="00A10E69" w:rsidRPr="002921ED">
        <w:rPr>
          <w:rFonts w:ascii="Times New Roman" w:hAnsi="Times New Roman"/>
          <w:b w:val="0"/>
          <w:sz w:val="20"/>
          <w:lang w:val="en-GB"/>
        </w:rPr>
        <w:t xml:space="preserve">ational </w:t>
      </w:r>
      <w:r w:rsidR="00F87347" w:rsidRPr="002921ED">
        <w:rPr>
          <w:rFonts w:ascii="Times New Roman" w:hAnsi="Times New Roman"/>
          <w:b w:val="0"/>
          <w:sz w:val="20"/>
          <w:lang w:val="en-GB"/>
        </w:rPr>
        <w:t>b</w:t>
      </w:r>
      <w:r w:rsidR="00A10E69" w:rsidRPr="002921ED">
        <w:rPr>
          <w:rFonts w:ascii="Times New Roman" w:hAnsi="Times New Roman"/>
          <w:b w:val="0"/>
          <w:sz w:val="20"/>
          <w:lang w:val="en-GB"/>
        </w:rPr>
        <w:t xml:space="preserve">iodiversity </w:t>
      </w:r>
      <w:r w:rsidR="00F87347" w:rsidRPr="002921ED">
        <w:rPr>
          <w:rFonts w:ascii="Times New Roman" w:hAnsi="Times New Roman"/>
          <w:b w:val="0"/>
          <w:sz w:val="20"/>
          <w:lang w:val="en-GB"/>
        </w:rPr>
        <w:t>s</w:t>
      </w:r>
      <w:r w:rsidR="00122A15" w:rsidRPr="002921ED">
        <w:rPr>
          <w:rFonts w:ascii="Times New Roman" w:hAnsi="Times New Roman"/>
          <w:b w:val="0"/>
          <w:sz w:val="20"/>
          <w:lang w:val="en-GB"/>
        </w:rPr>
        <w:t>trategy</w:t>
      </w:r>
      <w:r w:rsidR="00F87347" w:rsidRPr="002921ED">
        <w:rPr>
          <w:rFonts w:ascii="Times New Roman" w:hAnsi="Times New Roman"/>
          <w:b w:val="0"/>
          <w:sz w:val="20"/>
          <w:lang w:val="en-GB"/>
        </w:rPr>
        <w:t xml:space="preserve"> and a</w:t>
      </w:r>
      <w:r w:rsidR="00122A15" w:rsidRPr="002921ED">
        <w:rPr>
          <w:rFonts w:ascii="Times New Roman" w:hAnsi="Times New Roman"/>
          <w:b w:val="0"/>
          <w:sz w:val="20"/>
          <w:lang w:val="en-GB"/>
        </w:rPr>
        <w:t xml:space="preserve">ction </w:t>
      </w:r>
      <w:r w:rsidR="00F87347" w:rsidRPr="002921ED">
        <w:rPr>
          <w:rFonts w:ascii="Times New Roman" w:hAnsi="Times New Roman"/>
          <w:b w:val="0"/>
          <w:sz w:val="20"/>
          <w:lang w:val="en-GB"/>
        </w:rPr>
        <w:t>p</w:t>
      </w:r>
      <w:r w:rsidR="00122A15" w:rsidRPr="002921ED">
        <w:rPr>
          <w:rFonts w:ascii="Times New Roman" w:hAnsi="Times New Roman"/>
          <w:b w:val="0"/>
          <w:sz w:val="20"/>
          <w:lang w:val="en-GB"/>
        </w:rPr>
        <w:t>lan</w:t>
      </w:r>
      <w:r w:rsidR="003D3159" w:rsidRPr="002921ED">
        <w:rPr>
          <w:rFonts w:ascii="Times New Roman" w:hAnsi="Times New Roman"/>
          <w:b w:val="0"/>
          <w:sz w:val="20"/>
          <w:lang w:val="en-GB"/>
        </w:rPr>
        <w:t>,</w:t>
      </w:r>
      <w:r w:rsidR="00A10E69" w:rsidRPr="002921ED">
        <w:rPr>
          <w:rFonts w:ascii="Times New Roman" w:hAnsi="Times New Roman"/>
          <w:b w:val="0"/>
          <w:sz w:val="20"/>
          <w:lang w:val="en-GB"/>
        </w:rPr>
        <w:t xml:space="preserve"> </w:t>
      </w:r>
      <w:r w:rsidR="00F87347" w:rsidRPr="002921ED">
        <w:rPr>
          <w:rFonts w:ascii="Times New Roman" w:hAnsi="Times New Roman"/>
          <w:b w:val="0"/>
          <w:sz w:val="20"/>
          <w:lang w:val="en-GB"/>
        </w:rPr>
        <w:t xml:space="preserve">and </w:t>
      </w:r>
      <w:r w:rsidR="00A10E69" w:rsidRPr="002921ED">
        <w:rPr>
          <w:rFonts w:ascii="Times New Roman" w:hAnsi="Times New Roman"/>
          <w:b w:val="0"/>
          <w:sz w:val="20"/>
          <w:lang w:val="en-GB"/>
        </w:rPr>
        <w:t xml:space="preserve">strengthen </w:t>
      </w:r>
      <w:r w:rsidR="00F87347" w:rsidRPr="002921ED">
        <w:rPr>
          <w:rFonts w:ascii="Times New Roman" w:hAnsi="Times New Roman"/>
          <w:b w:val="0"/>
          <w:sz w:val="20"/>
          <w:lang w:val="en-GB"/>
        </w:rPr>
        <w:t>p</w:t>
      </w:r>
      <w:r w:rsidR="00A10E69" w:rsidRPr="002921ED">
        <w:rPr>
          <w:rFonts w:ascii="Times New Roman" w:hAnsi="Times New Roman"/>
          <w:b w:val="0"/>
          <w:sz w:val="20"/>
          <w:lang w:val="en-GB"/>
        </w:rPr>
        <w:t xml:space="preserve">rotected </w:t>
      </w:r>
      <w:r w:rsidR="00F87347" w:rsidRPr="002921ED">
        <w:rPr>
          <w:rFonts w:ascii="Times New Roman" w:hAnsi="Times New Roman"/>
          <w:b w:val="0"/>
          <w:sz w:val="20"/>
          <w:lang w:val="en-GB"/>
        </w:rPr>
        <w:t>a</w:t>
      </w:r>
      <w:r w:rsidR="00A10E69" w:rsidRPr="002921ED">
        <w:rPr>
          <w:rFonts w:ascii="Times New Roman" w:hAnsi="Times New Roman"/>
          <w:b w:val="0"/>
          <w:sz w:val="20"/>
          <w:lang w:val="en-GB"/>
        </w:rPr>
        <w:t>reas management</w:t>
      </w:r>
      <w:r w:rsidR="00F87347" w:rsidRPr="002921ED">
        <w:rPr>
          <w:rFonts w:ascii="Times New Roman" w:hAnsi="Times New Roman"/>
          <w:b w:val="0"/>
          <w:sz w:val="20"/>
          <w:lang w:val="en-GB"/>
        </w:rPr>
        <w:t>,</w:t>
      </w:r>
      <w:r w:rsidR="00A10E69" w:rsidRPr="002921ED">
        <w:rPr>
          <w:rFonts w:ascii="Times New Roman" w:hAnsi="Times New Roman"/>
          <w:b w:val="0"/>
          <w:sz w:val="20"/>
          <w:lang w:val="en-GB"/>
        </w:rPr>
        <w:t xml:space="preserve"> sustainable use of natural resources </w:t>
      </w:r>
      <w:r w:rsidR="00F87347" w:rsidRPr="002921ED">
        <w:rPr>
          <w:rFonts w:ascii="Times New Roman" w:hAnsi="Times New Roman"/>
          <w:b w:val="0"/>
          <w:sz w:val="20"/>
          <w:lang w:val="en-GB"/>
        </w:rPr>
        <w:t>and reforestation of degraded lands</w:t>
      </w:r>
      <w:r w:rsidR="00F87347" w:rsidRPr="002921ED" w:rsidDel="00F87347">
        <w:rPr>
          <w:rFonts w:ascii="Times New Roman" w:hAnsi="Times New Roman"/>
          <w:b w:val="0"/>
          <w:sz w:val="20"/>
          <w:lang w:val="en-GB"/>
        </w:rPr>
        <w:t xml:space="preserve"> </w:t>
      </w:r>
      <w:r w:rsidR="00F87347" w:rsidRPr="002921ED">
        <w:rPr>
          <w:rFonts w:ascii="Times New Roman" w:hAnsi="Times New Roman"/>
          <w:b w:val="0"/>
          <w:sz w:val="20"/>
          <w:lang w:val="en-GB"/>
        </w:rPr>
        <w:t xml:space="preserve">through </w:t>
      </w:r>
      <w:r w:rsidR="00A10E69" w:rsidRPr="002921ED">
        <w:rPr>
          <w:rFonts w:ascii="Times New Roman" w:hAnsi="Times New Roman"/>
          <w:b w:val="0"/>
          <w:sz w:val="20"/>
          <w:lang w:val="en-GB"/>
        </w:rPr>
        <w:t xml:space="preserve">the </w:t>
      </w:r>
      <w:r w:rsidR="00F87347" w:rsidRPr="002921ED">
        <w:rPr>
          <w:rFonts w:ascii="Times New Roman" w:hAnsi="Times New Roman"/>
          <w:b w:val="0"/>
          <w:sz w:val="20"/>
          <w:lang w:val="en-GB"/>
        </w:rPr>
        <w:t>l</w:t>
      </w:r>
      <w:r w:rsidR="00A10E69" w:rsidRPr="002921ED">
        <w:rPr>
          <w:rFonts w:ascii="Times New Roman" w:hAnsi="Times New Roman"/>
          <w:b w:val="0"/>
          <w:sz w:val="20"/>
          <w:lang w:val="en-GB"/>
        </w:rPr>
        <w:t xml:space="preserve">and </w:t>
      </w:r>
      <w:r w:rsidR="00F87347" w:rsidRPr="002921ED">
        <w:rPr>
          <w:rFonts w:ascii="Times New Roman" w:hAnsi="Times New Roman"/>
          <w:b w:val="0"/>
          <w:sz w:val="20"/>
          <w:lang w:val="en-GB"/>
        </w:rPr>
        <w:t>u</w:t>
      </w:r>
      <w:r w:rsidR="00A10E69" w:rsidRPr="002921ED">
        <w:rPr>
          <w:rFonts w:ascii="Times New Roman" w:hAnsi="Times New Roman"/>
          <w:b w:val="0"/>
          <w:sz w:val="20"/>
          <w:lang w:val="en-GB"/>
        </w:rPr>
        <w:t xml:space="preserve">se </w:t>
      </w:r>
      <w:r w:rsidR="00F87347" w:rsidRPr="002921ED">
        <w:rPr>
          <w:rFonts w:ascii="Times New Roman" w:hAnsi="Times New Roman"/>
          <w:b w:val="0"/>
          <w:sz w:val="20"/>
          <w:lang w:val="en-GB"/>
        </w:rPr>
        <w:t>p</w:t>
      </w:r>
      <w:r w:rsidR="00A10E69" w:rsidRPr="002921ED">
        <w:rPr>
          <w:rFonts w:ascii="Times New Roman" w:hAnsi="Times New Roman"/>
          <w:b w:val="0"/>
          <w:sz w:val="20"/>
          <w:lang w:val="en-GB"/>
        </w:rPr>
        <w:t xml:space="preserve">olicy. </w:t>
      </w:r>
    </w:p>
    <w:p w:rsidR="00470383" w:rsidRPr="002921ED" w:rsidRDefault="00470383" w:rsidP="00410AA4">
      <w:pPr>
        <w:tabs>
          <w:tab w:val="left" w:pos="1080"/>
        </w:tabs>
        <w:ind w:left="720"/>
        <w:rPr>
          <w:sz w:val="12"/>
          <w:szCs w:val="12"/>
          <w:lang w:val="en-GB"/>
        </w:rPr>
      </w:pPr>
    </w:p>
    <w:p w:rsidR="00A10E69" w:rsidRPr="00522402" w:rsidRDefault="00A10E69"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2921ED">
        <w:rPr>
          <w:rFonts w:ascii="Times New Roman" w:hAnsi="Times New Roman"/>
          <w:b w:val="0"/>
          <w:sz w:val="20"/>
          <w:lang w:val="en-GB"/>
        </w:rPr>
        <w:t xml:space="preserve">UNDP will support </w:t>
      </w:r>
      <w:r w:rsidR="00522402">
        <w:rPr>
          <w:rFonts w:ascii="Times New Roman" w:hAnsi="Times New Roman"/>
          <w:b w:val="0"/>
          <w:sz w:val="20"/>
          <w:lang w:val="en-GB"/>
        </w:rPr>
        <w:t xml:space="preserve">the </w:t>
      </w:r>
      <w:r w:rsidRPr="00522402">
        <w:rPr>
          <w:rFonts w:ascii="Times New Roman" w:hAnsi="Times New Roman"/>
          <w:b w:val="0"/>
          <w:sz w:val="20"/>
          <w:lang w:val="en-GB"/>
        </w:rPr>
        <w:t xml:space="preserve">mainstreaming </w:t>
      </w:r>
      <w:r w:rsidR="00522402" w:rsidRPr="00EC516A">
        <w:rPr>
          <w:rFonts w:ascii="Times New Roman" w:hAnsi="Times New Roman"/>
          <w:b w:val="0"/>
          <w:sz w:val="20"/>
          <w:lang w:val="en-GB"/>
        </w:rPr>
        <w:t>into development plans</w:t>
      </w:r>
      <w:r w:rsidR="00522402">
        <w:rPr>
          <w:rFonts w:ascii="Times New Roman" w:hAnsi="Times New Roman"/>
          <w:b w:val="0"/>
          <w:sz w:val="20"/>
          <w:lang w:val="en-GB"/>
        </w:rPr>
        <w:t xml:space="preserve"> of </w:t>
      </w:r>
      <w:r w:rsidRPr="00522402">
        <w:rPr>
          <w:rFonts w:ascii="Times New Roman" w:hAnsi="Times New Roman"/>
          <w:b w:val="0"/>
          <w:sz w:val="20"/>
          <w:lang w:val="en-GB"/>
        </w:rPr>
        <w:t>low</w:t>
      </w:r>
      <w:r w:rsidR="00522402">
        <w:rPr>
          <w:rFonts w:ascii="Times New Roman" w:hAnsi="Times New Roman"/>
          <w:b w:val="0"/>
          <w:sz w:val="20"/>
          <w:lang w:val="en-GB"/>
        </w:rPr>
        <w:t xml:space="preserve"> </w:t>
      </w:r>
      <w:r w:rsidRPr="00522402">
        <w:rPr>
          <w:rFonts w:ascii="Times New Roman" w:hAnsi="Times New Roman"/>
          <w:b w:val="0"/>
          <w:sz w:val="20"/>
          <w:lang w:val="en-GB"/>
        </w:rPr>
        <w:t>emission</w:t>
      </w:r>
      <w:r w:rsidR="00F87347" w:rsidRPr="00522402">
        <w:rPr>
          <w:rFonts w:ascii="Times New Roman" w:hAnsi="Times New Roman"/>
          <w:b w:val="0"/>
          <w:sz w:val="20"/>
          <w:lang w:val="en-GB"/>
        </w:rPr>
        <w:t>s</w:t>
      </w:r>
      <w:r w:rsidRPr="00522402">
        <w:rPr>
          <w:rFonts w:ascii="Times New Roman" w:hAnsi="Times New Roman"/>
          <w:b w:val="0"/>
          <w:sz w:val="20"/>
          <w:lang w:val="en-GB"/>
        </w:rPr>
        <w:t>, climate resilien</w:t>
      </w:r>
      <w:r w:rsidR="00F87347" w:rsidRPr="00522402">
        <w:rPr>
          <w:rFonts w:ascii="Times New Roman" w:hAnsi="Times New Roman"/>
          <w:b w:val="0"/>
          <w:sz w:val="20"/>
          <w:lang w:val="en-GB"/>
        </w:rPr>
        <w:t>ce</w:t>
      </w:r>
      <w:r w:rsidR="00A871AA" w:rsidRPr="00522402">
        <w:rPr>
          <w:rFonts w:ascii="Times New Roman" w:hAnsi="Times New Roman"/>
          <w:b w:val="0"/>
          <w:sz w:val="20"/>
          <w:lang w:val="en-GB"/>
        </w:rPr>
        <w:t>,</w:t>
      </w:r>
      <w:r w:rsidR="00694B80" w:rsidRPr="00522402">
        <w:rPr>
          <w:rFonts w:ascii="Times New Roman" w:hAnsi="Times New Roman"/>
          <w:b w:val="0"/>
          <w:sz w:val="20"/>
          <w:lang w:val="en-GB"/>
        </w:rPr>
        <w:t xml:space="preserve"> risk assessment and </w:t>
      </w:r>
      <w:r w:rsidR="00B12DDF" w:rsidRPr="00522402">
        <w:rPr>
          <w:rFonts w:ascii="Times New Roman" w:hAnsi="Times New Roman"/>
          <w:b w:val="0"/>
          <w:sz w:val="20"/>
          <w:lang w:val="en-GB"/>
        </w:rPr>
        <w:t>management</w:t>
      </w:r>
      <w:r w:rsidR="00075FDD" w:rsidRPr="00522402">
        <w:rPr>
          <w:rFonts w:ascii="Times New Roman" w:hAnsi="Times New Roman"/>
          <w:b w:val="0"/>
          <w:sz w:val="20"/>
          <w:lang w:val="en-GB"/>
        </w:rPr>
        <w:t>;</w:t>
      </w:r>
      <w:r w:rsidR="00B12DDF" w:rsidRPr="002921ED">
        <w:rPr>
          <w:rFonts w:ascii="Times New Roman" w:hAnsi="Times New Roman"/>
          <w:b w:val="0"/>
          <w:sz w:val="20"/>
          <w:lang w:val="en-GB"/>
        </w:rPr>
        <w:t xml:space="preserve"> </w:t>
      </w:r>
      <w:r w:rsidR="00E12A07" w:rsidRPr="002921ED">
        <w:rPr>
          <w:rFonts w:ascii="Times New Roman" w:hAnsi="Times New Roman"/>
          <w:b w:val="0"/>
          <w:sz w:val="20"/>
          <w:lang w:val="en-GB"/>
        </w:rPr>
        <w:t xml:space="preserve">development of </w:t>
      </w:r>
      <w:r w:rsidR="00B12DDF" w:rsidRPr="002921ED">
        <w:rPr>
          <w:rFonts w:ascii="Times New Roman" w:hAnsi="Times New Roman"/>
          <w:b w:val="0"/>
          <w:sz w:val="20"/>
          <w:lang w:val="en-GB"/>
        </w:rPr>
        <w:t>early warning systems</w:t>
      </w:r>
      <w:r w:rsidR="00F87347" w:rsidRPr="002921ED">
        <w:rPr>
          <w:rFonts w:ascii="Times New Roman" w:hAnsi="Times New Roman"/>
          <w:b w:val="0"/>
          <w:sz w:val="20"/>
          <w:lang w:val="en-GB"/>
        </w:rPr>
        <w:t>;</w:t>
      </w:r>
      <w:r w:rsidRPr="002921ED">
        <w:rPr>
          <w:rFonts w:ascii="Times New Roman" w:hAnsi="Times New Roman"/>
          <w:b w:val="0"/>
          <w:sz w:val="20"/>
          <w:lang w:val="en-GB"/>
        </w:rPr>
        <w:t xml:space="preserve"> and implementation of priority mitigation</w:t>
      </w:r>
      <w:r w:rsidR="00522402">
        <w:rPr>
          <w:rFonts w:ascii="Times New Roman" w:hAnsi="Times New Roman"/>
          <w:b w:val="0"/>
          <w:sz w:val="20"/>
          <w:lang w:val="en-GB"/>
        </w:rPr>
        <w:t xml:space="preserve"> and </w:t>
      </w:r>
      <w:r w:rsidRPr="00522402">
        <w:rPr>
          <w:rFonts w:ascii="Times New Roman" w:hAnsi="Times New Roman"/>
          <w:b w:val="0"/>
          <w:sz w:val="20"/>
          <w:lang w:val="en-GB"/>
        </w:rPr>
        <w:t>adaptation m</w:t>
      </w:r>
      <w:r w:rsidR="00075FDD" w:rsidRPr="00522402">
        <w:rPr>
          <w:rFonts w:ascii="Times New Roman" w:hAnsi="Times New Roman"/>
          <w:b w:val="0"/>
          <w:sz w:val="20"/>
          <w:lang w:val="en-GB"/>
        </w:rPr>
        <w:t>easures to reduce vulnerability</w:t>
      </w:r>
      <w:r w:rsidRPr="00522402">
        <w:rPr>
          <w:rFonts w:ascii="Times New Roman" w:hAnsi="Times New Roman"/>
          <w:b w:val="0"/>
          <w:sz w:val="20"/>
          <w:lang w:val="en-GB"/>
        </w:rPr>
        <w:t xml:space="preserve"> across key sectors. </w:t>
      </w:r>
      <w:r w:rsidR="00957ECF" w:rsidRPr="00522402">
        <w:rPr>
          <w:rFonts w:ascii="Times New Roman" w:hAnsi="Times New Roman"/>
          <w:b w:val="0"/>
          <w:sz w:val="20"/>
          <w:lang w:val="en-GB"/>
        </w:rPr>
        <w:t>UNDP support</w:t>
      </w:r>
      <w:r w:rsidRPr="00522402">
        <w:rPr>
          <w:rFonts w:ascii="Times New Roman" w:hAnsi="Times New Roman"/>
          <w:b w:val="0"/>
          <w:sz w:val="20"/>
          <w:lang w:val="en-GB"/>
        </w:rPr>
        <w:t xml:space="preserve"> </w:t>
      </w:r>
      <w:r w:rsidR="00957ECF" w:rsidRPr="00522402">
        <w:rPr>
          <w:rFonts w:ascii="Times New Roman" w:hAnsi="Times New Roman"/>
          <w:b w:val="0"/>
          <w:sz w:val="20"/>
          <w:lang w:val="en-GB"/>
        </w:rPr>
        <w:t xml:space="preserve">will </w:t>
      </w:r>
      <w:r w:rsidRPr="00522402">
        <w:rPr>
          <w:rFonts w:ascii="Times New Roman" w:hAnsi="Times New Roman"/>
          <w:b w:val="0"/>
          <w:sz w:val="20"/>
          <w:lang w:val="en-GB"/>
        </w:rPr>
        <w:t>enhance the effectiveness of post</w:t>
      </w:r>
      <w:r w:rsidR="00F87347" w:rsidRPr="00522402">
        <w:rPr>
          <w:rFonts w:ascii="Times New Roman" w:hAnsi="Times New Roman"/>
          <w:b w:val="0"/>
          <w:sz w:val="20"/>
          <w:lang w:val="en-GB"/>
        </w:rPr>
        <w:t>-</w:t>
      </w:r>
      <w:r w:rsidRPr="00522402">
        <w:rPr>
          <w:rFonts w:ascii="Times New Roman" w:hAnsi="Times New Roman"/>
          <w:b w:val="0"/>
          <w:sz w:val="20"/>
          <w:lang w:val="en-GB"/>
        </w:rPr>
        <w:t>disaster recovery</w:t>
      </w:r>
      <w:r w:rsidR="00AC26FE" w:rsidRPr="00522402">
        <w:rPr>
          <w:rFonts w:ascii="Times New Roman" w:hAnsi="Times New Roman"/>
          <w:b w:val="0"/>
          <w:sz w:val="20"/>
          <w:lang w:val="en-GB"/>
        </w:rPr>
        <w:t>;</w:t>
      </w:r>
      <w:r w:rsidRPr="002921ED">
        <w:rPr>
          <w:rFonts w:ascii="Times New Roman" w:hAnsi="Times New Roman"/>
          <w:b w:val="0"/>
          <w:sz w:val="20"/>
          <w:lang w:val="en-GB"/>
        </w:rPr>
        <w:t xml:space="preserve"> </w:t>
      </w:r>
      <w:r w:rsidR="00AC26FE" w:rsidRPr="002921ED">
        <w:rPr>
          <w:rFonts w:ascii="Times New Roman" w:hAnsi="Times New Roman"/>
          <w:b w:val="0"/>
          <w:sz w:val="20"/>
          <w:lang w:val="en-GB"/>
        </w:rPr>
        <w:t xml:space="preserve">the </w:t>
      </w:r>
      <w:r w:rsidRPr="002921ED">
        <w:rPr>
          <w:rFonts w:ascii="Times New Roman" w:hAnsi="Times New Roman"/>
          <w:b w:val="0"/>
          <w:sz w:val="20"/>
          <w:lang w:val="en-GB"/>
        </w:rPr>
        <w:t>rehabilitation of degraded ecosystems</w:t>
      </w:r>
      <w:r w:rsidR="00AC26FE" w:rsidRPr="002921ED">
        <w:rPr>
          <w:rFonts w:ascii="Times New Roman" w:hAnsi="Times New Roman"/>
          <w:b w:val="0"/>
          <w:sz w:val="20"/>
          <w:lang w:val="en-GB"/>
        </w:rPr>
        <w:t xml:space="preserve"> and </w:t>
      </w:r>
      <w:r w:rsidRPr="002921ED">
        <w:rPr>
          <w:rFonts w:ascii="Times New Roman" w:hAnsi="Times New Roman"/>
          <w:b w:val="0"/>
          <w:sz w:val="20"/>
          <w:lang w:val="en-GB"/>
        </w:rPr>
        <w:t>watering points</w:t>
      </w:r>
      <w:r w:rsidR="00AC26FE" w:rsidRPr="002921ED">
        <w:rPr>
          <w:rFonts w:ascii="Times New Roman" w:hAnsi="Times New Roman"/>
          <w:b w:val="0"/>
          <w:sz w:val="20"/>
          <w:lang w:val="en-GB"/>
        </w:rPr>
        <w:t>;</w:t>
      </w:r>
      <w:r w:rsidRPr="002921ED">
        <w:rPr>
          <w:rFonts w:ascii="Times New Roman" w:hAnsi="Times New Roman"/>
          <w:b w:val="0"/>
          <w:sz w:val="20"/>
          <w:lang w:val="en-GB"/>
        </w:rPr>
        <w:t xml:space="preserve"> and construction of climate</w:t>
      </w:r>
      <w:r w:rsidR="00522402">
        <w:rPr>
          <w:rFonts w:ascii="Times New Roman" w:hAnsi="Times New Roman"/>
          <w:b w:val="0"/>
          <w:sz w:val="20"/>
          <w:lang w:val="en-GB"/>
        </w:rPr>
        <w:t>-</w:t>
      </w:r>
      <w:r w:rsidR="00075FDD" w:rsidRPr="00522402">
        <w:rPr>
          <w:rFonts w:ascii="Times New Roman" w:hAnsi="Times New Roman"/>
          <w:b w:val="0"/>
          <w:sz w:val="20"/>
          <w:lang w:val="en-GB"/>
        </w:rPr>
        <w:t>resilient infrastructure</w:t>
      </w:r>
      <w:r w:rsidRPr="00522402">
        <w:rPr>
          <w:rFonts w:ascii="Times New Roman" w:hAnsi="Times New Roman"/>
          <w:b w:val="0"/>
          <w:sz w:val="20"/>
          <w:lang w:val="en-GB"/>
        </w:rPr>
        <w:t xml:space="preserve">. The development of a climate readiness plan will be critical for resource mobilization. </w:t>
      </w:r>
      <w:r w:rsidR="002676C0" w:rsidRPr="00522402">
        <w:rPr>
          <w:rFonts w:ascii="Times New Roman" w:hAnsi="Times New Roman"/>
          <w:b w:val="0"/>
          <w:sz w:val="20"/>
          <w:lang w:val="en-GB"/>
        </w:rPr>
        <w:t xml:space="preserve">UNDP will introduce innovative production techniques linked to agricultural value chains </w:t>
      </w:r>
      <w:r w:rsidR="00AC26FE" w:rsidRPr="00522402">
        <w:rPr>
          <w:rFonts w:ascii="Times New Roman" w:hAnsi="Times New Roman"/>
          <w:b w:val="0"/>
          <w:sz w:val="20"/>
          <w:lang w:val="en-GB"/>
        </w:rPr>
        <w:t xml:space="preserve">to </w:t>
      </w:r>
      <w:r w:rsidR="00522402">
        <w:rPr>
          <w:rFonts w:ascii="Times New Roman" w:hAnsi="Times New Roman"/>
          <w:b w:val="0"/>
          <w:sz w:val="20"/>
          <w:lang w:val="en-GB"/>
        </w:rPr>
        <w:t>facilitate</w:t>
      </w:r>
      <w:r w:rsidR="002676C0" w:rsidRPr="00522402">
        <w:rPr>
          <w:rFonts w:ascii="Times New Roman" w:hAnsi="Times New Roman"/>
          <w:b w:val="0"/>
          <w:sz w:val="20"/>
          <w:lang w:val="en-GB"/>
        </w:rPr>
        <w:t xml:space="preserve"> local communities’ adaptation to climate change. The programme will engage the private sector </w:t>
      </w:r>
      <w:r w:rsidR="00AC26FE" w:rsidRPr="00522402">
        <w:rPr>
          <w:rFonts w:ascii="Times New Roman" w:hAnsi="Times New Roman"/>
          <w:b w:val="0"/>
          <w:sz w:val="20"/>
          <w:lang w:val="en-GB"/>
        </w:rPr>
        <w:t>i</w:t>
      </w:r>
      <w:r w:rsidR="002676C0" w:rsidRPr="00522402">
        <w:rPr>
          <w:rFonts w:ascii="Times New Roman" w:hAnsi="Times New Roman"/>
          <w:b w:val="0"/>
          <w:sz w:val="20"/>
          <w:lang w:val="en-GB"/>
        </w:rPr>
        <w:t xml:space="preserve">n issues of </w:t>
      </w:r>
      <w:r w:rsidR="00AC26FE" w:rsidRPr="00522402">
        <w:rPr>
          <w:rFonts w:ascii="Times New Roman" w:hAnsi="Times New Roman"/>
          <w:b w:val="0"/>
          <w:sz w:val="20"/>
          <w:lang w:val="en-GB"/>
        </w:rPr>
        <w:t xml:space="preserve">natural resources </w:t>
      </w:r>
      <w:r w:rsidR="002676C0" w:rsidRPr="00522402">
        <w:rPr>
          <w:rFonts w:ascii="Times New Roman" w:hAnsi="Times New Roman"/>
          <w:b w:val="0"/>
          <w:sz w:val="20"/>
          <w:lang w:val="en-GB"/>
        </w:rPr>
        <w:t>management.</w:t>
      </w:r>
    </w:p>
    <w:p w:rsidR="00260914" w:rsidRPr="002921ED" w:rsidRDefault="00260914" w:rsidP="00410AA4">
      <w:pPr>
        <w:tabs>
          <w:tab w:val="left" w:pos="1080"/>
        </w:tabs>
        <w:ind w:left="720"/>
        <w:rPr>
          <w:sz w:val="12"/>
          <w:szCs w:val="12"/>
          <w:lang w:val="en-GB"/>
        </w:rPr>
      </w:pPr>
    </w:p>
    <w:p w:rsidR="00D638B1" w:rsidRPr="002921ED" w:rsidRDefault="00A200B1" w:rsidP="00410AA4">
      <w:pPr>
        <w:pStyle w:val="ListParagraph"/>
        <w:numPr>
          <w:ilvl w:val="0"/>
          <w:numId w:val="8"/>
        </w:numPr>
        <w:tabs>
          <w:tab w:val="left" w:pos="1080"/>
          <w:tab w:val="left" w:pos="1620"/>
        </w:tabs>
        <w:spacing w:after="120"/>
        <w:ind w:left="720" w:right="810" w:firstLine="0"/>
        <w:jc w:val="both"/>
        <w:rPr>
          <w:lang w:val="en-GB"/>
        </w:rPr>
      </w:pPr>
      <w:r w:rsidRPr="002921ED">
        <w:rPr>
          <w:lang w:val="en-GB"/>
        </w:rPr>
        <w:t xml:space="preserve">UNDP will provide catalytic support to </w:t>
      </w:r>
      <w:r w:rsidR="00AC26FE" w:rsidRPr="002921ED">
        <w:rPr>
          <w:lang w:val="en-GB"/>
        </w:rPr>
        <w:t>assist the Gambia in</w:t>
      </w:r>
      <w:r w:rsidRPr="002921ED">
        <w:rPr>
          <w:lang w:val="en-GB"/>
        </w:rPr>
        <w:t xml:space="preserve"> access</w:t>
      </w:r>
      <w:r w:rsidR="00AC26FE" w:rsidRPr="002921ED">
        <w:rPr>
          <w:lang w:val="en-GB"/>
        </w:rPr>
        <w:t>ing</w:t>
      </w:r>
      <w:r w:rsidRPr="002921ED">
        <w:rPr>
          <w:lang w:val="en-GB"/>
        </w:rPr>
        <w:t xml:space="preserve"> the Green Climate Fund and </w:t>
      </w:r>
      <w:r w:rsidR="00AC26FE" w:rsidRPr="002921ED">
        <w:rPr>
          <w:lang w:val="en-GB"/>
        </w:rPr>
        <w:t>the Global Environment Facility</w:t>
      </w:r>
      <w:r w:rsidR="00193834" w:rsidRPr="002921ED">
        <w:rPr>
          <w:lang w:val="en-GB"/>
        </w:rPr>
        <w:t xml:space="preserve"> (GEF)</w:t>
      </w:r>
      <w:r w:rsidRPr="002921ED">
        <w:rPr>
          <w:lang w:val="en-GB"/>
        </w:rPr>
        <w:t xml:space="preserve"> to implement its national obligations</w:t>
      </w:r>
      <w:r w:rsidR="00AC26FE" w:rsidRPr="002921ED">
        <w:rPr>
          <w:lang w:val="en-GB"/>
        </w:rPr>
        <w:t>,</w:t>
      </w:r>
      <w:r w:rsidRPr="002921ED">
        <w:rPr>
          <w:vertAlign w:val="superscript"/>
          <w:lang w:val="en-GB"/>
        </w:rPr>
        <w:footnoteReference w:id="41"/>
      </w:r>
      <w:r w:rsidRPr="002921ED">
        <w:rPr>
          <w:lang w:val="en-GB"/>
        </w:rPr>
        <w:t xml:space="preserve"> while strengthening </w:t>
      </w:r>
      <w:r w:rsidR="00D638B1" w:rsidRPr="002921ED">
        <w:rPr>
          <w:lang w:val="en-GB"/>
        </w:rPr>
        <w:t xml:space="preserve">dialogue </w:t>
      </w:r>
      <w:r w:rsidRPr="002921ED">
        <w:rPr>
          <w:lang w:val="en-GB"/>
        </w:rPr>
        <w:t>and explor</w:t>
      </w:r>
      <w:r w:rsidR="00AC26FE" w:rsidRPr="002921ED">
        <w:rPr>
          <w:lang w:val="en-GB"/>
        </w:rPr>
        <w:t>ing</w:t>
      </w:r>
      <w:r w:rsidRPr="002921ED">
        <w:rPr>
          <w:lang w:val="en-GB"/>
        </w:rPr>
        <w:t xml:space="preserve"> funding opportunities with Qatar, </w:t>
      </w:r>
      <w:r w:rsidR="00AC26FE" w:rsidRPr="002921ED">
        <w:rPr>
          <w:lang w:val="en-GB"/>
        </w:rPr>
        <w:t xml:space="preserve">the European </w:t>
      </w:r>
      <w:r w:rsidR="00681960" w:rsidRPr="002921ED">
        <w:rPr>
          <w:lang w:val="en-GB"/>
        </w:rPr>
        <w:t>Commission</w:t>
      </w:r>
      <w:r w:rsidR="00AC26FE" w:rsidRPr="002921ED">
        <w:rPr>
          <w:lang w:val="en-GB"/>
        </w:rPr>
        <w:t xml:space="preserve"> </w:t>
      </w:r>
      <w:r w:rsidRPr="002921ED">
        <w:rPr>
          <w:lang w:val="en-GB"/>
        </w:rPr>
        <w:t xml:space="preserve">and </w:t>
      </w:r>
      <w:r w:rsidR="00AC26FE" w:rsidRPr="002921ED">
        <w:rPr>
          <w:lang w:val="en-GB"/>
        </w:rPr>
        <w:t>the G</w:t>
      </w:r>
      <w:r w:rsidRPr="002921ED">
        <w:rPr>
          <w:lang w:val="en-GB"/>
        </w:rPr>
        <w:t>overnment</w:t>
      </w:r>
      <w:r w:rsidR="00AC26FE" w:rsidRPr="002921ED">
        <w:rPr>
          <w:lang w:val="en-GB"/>
        </w:rPr>
        <w:t xml:space="preserve"> of Japan</w:t>
      </w:r>
      <w:r w:rsidR="00D638B1" w:rsidRPr="002921ED">
        <w:rPr>
          <w:lang w:val="en-GB"/>
        </w:rPr>
        <w:t>. South-South</w:t>
      </w:r>
      <w:r w:rsidR="00AC26FE" w:rsidRPr="002921ED">
        <w:rPr>
          <w:lang w:val="en-GB"/>
        </w:rPr>
        <w:t xml:space="preserve"> and t</w:t>
      </w:r>
      <w:r w:rsidR="00D638B1" w:rsidRPr="002921ED">
        <w:rPr>
          <w:lang w:val="en-GB"/>
        </w:rPr>
        <w:t xml:space="preserve">riangular </w:t>
      </w:r>
      <w:r w:rsidR="00AC26FE" w:rsidRPr="002921ED">
        <w:rPr>
          <w:lang w:val="en-GB"/>
        </w:rPr>
        <w:t>c</w:t>
      </w:r>
      <w:r w:rsidR="00D638B1" w:rsidRPr="002921ED">
        <w:rPr>
          <w:lang w:val="en-GB"/>
        </w:rPr>
        <w:t xml:space="preserve">ooperation </w:t>
      </w:r>
      <w:r w:rsidR="00132F6D" w:rsidRPr="002921ED">
        <w:rPr>
          <w:lang w:val="en-GB"/>
        </w:rPr>
        <w:t>will be explored for</w:t>
      </w:r>
      <w:r w:rsidR="00D638B1" w:rsidRPr="002921ED">
        <w:rPr>
          <w:lang w:val="en-GB"/>
        </w:rPr>
        <w:t xml:space="preserve"> community</w:t>
      </w:r>
      <w:r w:rsidR="00132F6D" w:rsidRPr="002921ED">
        <w:rPr>
          <w:lang w:val="en-GB"/>
        </w:rPr>
        <w:t>-</w:t>
      </w:r>
      <w:r w:rsidR="00D638B1" w:rsidRPr="002921ED">
        <w:rPr>
          <w:lang w:val="en-GB"/>
        </w:rPr>
        <w:t>based poverty reduction, renewable energy</w:t>
      </w:r>
      <w:r w:rsidRPr="002921ED">
        <w:rPr>
          <w:lang w:val="en-GB"/>
        </w:rPr>
        <w:t xml:space="preserve"> and </w:t>
      </w:r>
      <w:r w:rsidR="00AC26FE" w:rsidRPr="002921ED">
        <w:rPr>
          <w:lang w:val="en-GB"/>
        </w:rPr>
        <w:t xml:space="preserve">a </w:t>
      </w:r>
      <w:r w:rsidRPr="002921ED">
        <w:rPr>
          <w:lang w:val="en-GB"/>
        </w:rPr>
        <w:t xml:space="preserve">green </w:t>
      </w:r>
      <w:r w:rsidR="00AC26FE" w:rsidRPr="002921ED">
        <w:rPr>
          <w:lang w:val="en-GB"/>
        </w:rPr>
        <w:t>e</w:t>
      </w:r>
      <w:r w:rsidRPr="002921ED">
        <w:rPr>
          <w:lang w:val="en-GB"/>
        </w:rPr>
        <w:t>conomy.</w:t>
      </w:r>
      <w:r w:rsidR="00D638B1" w:rsidRPr="002921ED" w:rsidDel="00DE7A42">
        <w:rPr>
          <w:lang w:val="en-GB"/>
        </w:rPr>
        <w:t xml:space="preserve"> </w:t>
      </w:r>
      <w:r w:rsidR="00D638B1" w:rsidRPr="002921ED">
        <w:rPr>
          <w:lang w:val="en-GB"/>
        </w:rPr>
        <w:t xml:space="preserve">The pillar will contribute to the attainment of </w:t>
      </w:r>
      <w:r w:rsidR="00AC26FE" w:rsidRPr="002921ED">
        <w:rPr>
          <w:lang w:val="en-GB"/>
        </w:rPr>
        <w:t>sustainable development goals12</w:t>
      </w:r>
      <w:r w:rsidR="00D638B1" w:rsidRPr="002921ED">
        <w:rPr>
          <w:lang w:val="en-GB"/>
        </w:rPr>
        <w:t>, 13, 15 and 17.</w:t>
      </w:r>
    </w:p>
    <w:p w:rsidR="00D638B1" w:rsidRPr="002921ED" w:rsidRDefault="00D638B1" w:rsidP="00410AA4">
      <w:pPr>
        <w:pStyle w:val="Heading2"/>
        <w:numPr>
          <w:ilvl w:val="0"/>
          <w:numId w:val="8"/>
        </w:numPr>
        <w:tabs>
          <w:tab w:val="left" w:pos="1080"/>
        </w:tabs>
        <w:ind w:left="720" w:right="810" w:firstLine="0"/>
        <w:jc w:val="both"/>
        <w:rPr>
          <w:rFonts w:ascii="Times New Roman" w:hAnsi="Times New Roman"/>
          <w:b w:val="0"/>
          <w:sz w:val="20"/>
          <w:lang w:val="en-GB"/>
        </w:rPr>
      </w:pPr>
      <w:r w:rsidRPr="002921ED">
        <w:rPr>
          <w:rFonts w:ascii="Times New Roman" w:hAnsi="Times New Roman"/>
          <w:b w:val="0"/>
          <w:sz w:val="20"/>
          <w:lang w:val="en-GB"/>
        </w:rPr>
        <w:t xml:space="preserve">Building on the experience gained during the </w:t>
      </w:r>
      <w:r w:rsidR="00AC26FE" w:rsidRPr="002921ED">
        <w:rPr>
          <w:rFonts w:ascii="Times New Roman" w:hAnsi="Times New Roman"/>
          <w:b w:val="0"/>
          <w:sz w:val="20"/>
          <w:lang w:val="en-GB"/>
        </w:rPr>
        <w:t xml:space="preserve">Millennium Development Goals period, </w:t>
      </w:r>
      <w:r w:rsidRPr="002921ED">
        <w:rPr>
          <w:rFonts w:ascii="Times New Roman" w:hAnsi="Times New Roman"/>
          <w:b w:val="0"/>
          <w:sz w:val="20"/>
          <w:lang w:val="en-GB"/>
        </w:rPr>
        <w:t xml:space="preserve">and leveraging its leading role in the Development Partners’ Group, UNDP will </w:t>
      </w:r>
      <w:r w:rsidR="001C3FD8" w:rsidRPr="002921ED">
        <w:rPr>
          <w:rFonts w:ascii="Times New Roman" w:hAnsi="Times New Roman"/>
          <w:b w:val="0"/>
          <w:sz w:val="20"/>
          <w:lang w:val="en-GB"/>
        </w:rPr>
        <w:t xml:space="preserve">strategically support </w:t>
      </w:r>
      <w:r w:rsidRPr="002921ED">
        <w:rPr>
          <w:rFonts w:ascii="Times New Roman" w:hAnsi="Times New Roman"/>
          <w:b w:val="0"/>
          <w:sz w:val="20"/>
          <w:lang w:val="en-GB"/>
        </w:rPr>
        <w:t xml:space="preserve">the roll-out of the </w:t>
      </w:r>
      <w:r w:rsidR="00AC26FE" w:rsidRPr="002921ED">
        <w:rPr>
          <w:rFonts w:ascii="Times New Roman" w:hAnsi="Times New Roman"/>
          <w:b w:val="0"/>
          <w:sz w:val="20"/>
          <w:lang w:val="en-GB"/>
        </w:rPr>
        <w:t>sustainable development goals</w:t>
      </w:r>
      <w:r w:rsidR="00E0376A" w:rsidRPr="002921ED">
        <w:rPr>
          <w:rFonts w:ascii="Times New Roman" w:hAnsi="Times New Roman"/>
          <w:b w:val="0"/>
          <w:sz w:val="20"/>
          <w:lang w:val="en-GB"/>
        </w:rPr>
        <w:t>,</w:t>
      </w:r>
      <w:r w:rsidRPr="00522402">
        <w:rPr>
          <w:rFonts w:ascii="Times New Roman" w:hAnsi="Times New Roman"/>
          <w:b w:val="0"/>
          <w:sz w:val="20"/>
          <w:vertAlign w:val="superscript"/>
          <w:lang w:val="en-GB"/>
        </w:rPr>
        <w:footnoteReference w:id="42"/>
      </w:r>
      <w:r w:rsidRPr="00522402">
        <w:rPr>
          <w:rFonts w:ascii="Times New Roman" w:hAnsi="Times New Roman"/>
          <w:b w:val="0"/>
          <w:sz w:val="20"/>
          <w:vertAlign w:val="superscript"/>
          <w:lang w:val="en-GB"/>
        </w:rPr>
        <w:t xml:space="preserve"> </w:t>
      </w:r>
      <w:r w:rsidRPr="00522402">
        <w:rPr>
          <w:rFonts w:ascii="Times New Roman" w:hAnsi="Times New Roman"/>
          <w:b w:val="0"/>
          <w:sz w:val="20"/>
          <w:lang w:val="en-GB"/>
        </w:rPr>
        <w:t xml:space="preserve">working with the </w:t>
      </w:r>
      <w:r w:rsidR="00AC26FE" w:rsidRPr="00522402">
        <w:rPr>
          <w:rFonts w:ascii="Times New Roman" w:hAnsi="Times New Roman"/>
          <w:b w:val="0"/>
          <w:sz w:val="20"/>
          <w:lang w:val="en-GB"/>
        </w:rPr>
        <w:t>G</w:t>
      </w:r>
      <w:r w:rsidRPr="00522402">
        <w:rPr>
          <w:rFonts w:ascii="Times New Roman" w:hAnsi="Times New Roman"/>
          <w:b w:val="0"/>
          <w:sz w:val="20"/>
          <w:lang w:val="en-GB"/>
        </w:rPr>
        <w:t xml:space="preserve">overnment, </w:t>
      </w:r>
      <w:r w:rsidR="00AC26FE" w:rsidRPr="00522402">
        <w:rPr>
          <w:rFonts w:ascii="Times New Roman" w:hAnsi="Times New Roman"/>
          <w:b w:val="0"/>
          <w:sz w:val="20"/>
          <w:lang w:val="en-GB"/>
        </w:rPr>
        <w:t>c</w:t>
      </w:r>
      <w:r w:rsidRPr="00522402">
        <w:rPr>
          <w:rFonts w:ascii="Times New Roman" w:hAnsi="Times New Roman"/>
          <w:b w:val="0"/>
          <w:sz w:val="20"/>
          <w:lang w:val="en-GB"/>
        </w:rPr>
        <w:t>i</w:t>
      </w:r>
      <w:r w:rsidR="001C3FD8" w:rsidRPr="00522402">
        <w:rPr>
          <w:rFonts w:ascii="Times New Roman" w:hAnsi="Times New Roman"/>
          <w:b w:val="0"/>
          <w:sz w:val="20"/>
          <w:lang w:val="en-GB"/>
        </w:rPr>
        <w:t xml:space="preserve">vil </w:t>
      </w:r>
      <w:r w:rsidR="00AC26FE" w:rsidRPr="00522402">
        <w:rPr>
          <w:rFonts w:ascii="Times New Roman" w:hAnsi="Times New Roman"/>
          <w:b w:val="0"/>
          <w:sz w:val="20"/>
          <w:lang w:val="en-GB"/>
        </w:rPr>
        <w:t>s</w:t>
      </w:r>
      <w:r w:rsidR="001C3FD8" w:rsidRPr="00522402">
        <w:rPr>
          <w:rFonts w:ascii="Times New Roman" w:hAnsi="Times New Roman"/>
          <w:b w:val="0"/>
          <w:sz w:val="20"/>
          <w:lang w:val="en-GB"/>
        </w:rPr>
        <w:t xml:space="preserve">ociety </w:t>
      </w:r>
      <w:r w:rsidR="00AC26FE" w:rsidRPr="00522402">
        <w:rPr>
          <w:rFonts w:ascii="Times New Roman" w:hAnsi="Times New Roman"/>
          <w:b w:val="0"/>
          <w:sz w:val="20"/>
          <w:lang w:val="en-GB"/>
        </w:rPr>
        <w:t>o</w:t>
      </w:r>
      <w:r w:rsidR="001C3FD8" w:rsidRPr="002921ED">
        <w:rPr>
          <w:rFonts w:ascii="Times New Roman" w:hAnsi="Times New Roman"/>
          <w:b w:val="0"/>
          <w:sz w:val="20"/>
          <w:lang w:val="en-GB"/>
        </w:rPr>
        <w:t>rganizations</w:t>
      </w:r>
      <w:r w:rsidRPr="002921ED">
        <w:rPr>
          <w:rFonts w:ascii="Times New Roman" w:hAnsi="Times New Roman"/>
          <w:b w:val="0"/>
          <w:sz w:val="20"/>
          <w:lang w:val="en-GB"/>
        </w:rPr>
        <w:t xml:space="preserve">, </w:t>
      </w:r>
      <w:r w:rsidR="00AC26FE" w:rsidRPr="002921ED">
        <w:rPr>
          <w:rFonts w:ascii="Times New Roman" w:hAnsi="Times New Roman"/>
          <w:b w:val="0"/>
          <w:sz w:val="20"/>
          <w:lang w:val="en-GB"/>
        </w:rPr>
        <w:t xml:space="preserve">the </w:t>
      </w:r>
      <w:r w:rsidRPr="002921ED">
        <w:rPr>
          <w:rFonts w:ascii="Times New Roman" w:hAnsi="Times New Roman"/>
          <w:b w:val="0"/>
          <w:sz w:val="20"/>
          <w:lang w:val="en-GB"/>
        </w:rPr>
        <w:t>private sector, U</w:t>
      </w:r>
      <w:r w:rsidR="00AC26FE" w:rsidRPr="002921ED">
        <w:rPr>
          <w:rFonts w:ascii="Times New Roman" w:hAnsi="Times New Roman"/>
          <w:b w:val="0"/>
          <w:sz w:val="20"/>
          <w:lang w:val="en-GB"/>
        </w:rPr>
        <w:t>nited Nations organizations</w:t>
      </w:r>
      <w:r w:rsidRPr="002921ED">
        <w:rPr>
          <w:rFonts w:ascii="Times New Roman" w:hAnsi="Times New Roman"/>
          <w:b w:val="0"/>
          <w:sz w:val="20"/>
          <w:lang w:val="en-GB"/>
        </w:rPr>
        <w:t xml:space="preserve"> and </w:t>
      </w:r>
      <w:r w:rsidR="00821FB4" w:rsidRPr="002921ED">
        <w:rPr>
          <w:rFonts w:ascii="Times New Roman" w:hAnsi="Times New Roman"/>
          <w:b w:val="0"/>
          <w:sz w:val="20"/>
          <w:lang w:val="en-GB"/>
        </w:rPr>
        <w:t xml:space="preserve">development partners. </w:t>
      </w:r>
    </w:p>
    <w:p w:rsidR="00A200B1" w:rsidRPr="002921ED" w:rsidRDefault="00A200B1" w:rsidP="00410AA4">
      <w:pPr>
        <w:tabs>
          <w:tab w:val="left" w:pos="1080"/>
        </w:tabs>
        <w:ind w:left="720"/>
        <w:rPr>
          <w:lang w:val="en-GB"/>
        </w:rPr>
      </w:pPr>
    </w:p>
    <w:p w:rsidR="00B30549" w:rsidRPr="00E14881" w:rsidRDefault="00B30549" w:rsidP="00522402">
      <w:pPr>
        <w:pStyle w:val="Heading1"/>
        <w:tabs>
          <w:tab w:val="left" w:pos="1080"/>
          <w:tab w:val="left" w:pos="1800"/>
        </w:tabs>
        <w:spacing w:after="120"/>
        <w:ind w:left="720" w:right="1267" w:hanging="630"/>
        <w:jc w:val="both"/>
        <w:rPr>
          <w:rFonts w:ascii="Times New Roman" w:hAnsi="Times New Roman"/>
          <w:color w:val="000000"/>
          <w:szCs w:val="28"/>
          <w:lang w:val="en-GB"/>
        </w:rPr>
      </w:pPr>
      <w:r w:rsidRPr="00E14881">
        <w:rPr>
          <w:rFonts w:ascii="Times New Roman" w:hAnsi="Times New Roman"/>
          <w:color w:val="000000"/>
          <w:szCs w:val="28"/>
          <w:lang w:val="en-GB"/>
        </w:rPr>
        <w:t xml:space="preserve">III. </w:t>
      </w:r>
      <w:r w:rsidR="00186048" w:rsidRPr="00E14881">
        <w:rPr>
          <w:rFonts w:ascii="Times New Roman" w:hAnsi="Times New Roman"/>
          <w:color w:val="000000"/>
          <w:szCs w:val="28"/>
          <w:lang w:val="en-GB"/>
        </w:rPr>
        <w:tab/>
      </w:r>
      <w:r w:rsidRPr="00E14881">
        <w:rPr>
          <w:rFonts w:ascii="Times New Roman" w:hAnsi="Times New Roman"/>
          <w:color w:val="000000"/>
          <w:szCs w:val="28"/>
          <w:lang w:val="en-GB"/>
        </w:rPr>
        <w:t xml:space="preserve">Programme and </w:t>
      </w:r>
      <w:r w:rsidR="00FE2C04" w:rsidRPr="00E14881">
        <w:rPr>
          <w:rFonts w:ascii="Times New Roman" w:hAnsi="Times New Roman"/>
          <w:color w:val="000000"/>
          <w:szCs w:val="28"/>
          <w:lang w:val="en-GB"/>
        </w:rPr>
        <w:t>risk m</w:t>
      </w:r>
      <w:r w:rsidRPr="00E14881">
        <w:rPr>
          <w:rFonts w:ascii="Times New Roman" w:hAnsi="Times New Roman"/>
          <w:color w:val="000000"/>
          <w:szCs w:val="28"/>
          <w:lang w:val="en-GB"/>
        </w:rPr>
        <w:t xml:space="preserve">anagement </w:t>
      </w:r>
    </w:p>
    <w:p w:rsidR="00C8308D" w:rsidRPr="002921ED" w:rsidRDefault="00C8308D" w:rsidP="00410AA4">
      <w:pPr>
        <w:pStyle w:val="ListParagraph"/>
        <w:numPr>
          <w:ilvl w:val="0"/>
          <w:numId w:val="8"/>
        </w:numPr>
        <w:tabs>
          <w:tab w:val="left" w:pos="1080"/>
        </w:tabs>
        <w:ind w:left="720" w:right="811" w:firstLine="0"/>
        <w:jc w:val="both"/>
        <w:rPr>
          <w:lang w:val="en-GB"/>
        </w:rPr>
      </w:pPr>
      <w:r w:rsidRPr="00CA06FC">
        <w:rPr>
          <w:lang w:val="en-GB"/>
        </w:rPr>
        <w:t xml:space="preserve">The </w:t>
      </w:r>
      <w:r w:rsidR="00AC26FE" w:rsidRPr="00522402">
        <w:rPr>
          <w:lang w:val="en-GB"/>
        </w:rPr>
        <w:t>c</w:t>
      </w:r>
      <w:r w:rsidRPr="00522402">
        <w:rPr>
          <w:lang w:val="en-GB"/>
        </w:rPr>
        <w:t xml:space="preserve">ountry </w:t>
      </w:r>
      <w:r w:rsidR="00AC26FE" w:rsidRPr="00522402">
        <w:rPr>
          <w:lang w:val="en-GB"/>
        </w:rPr>
        <w:t>p</w:t>
      </w:r>
      <w:r w:rsidRPr="00522402">
        <w:rPr>
          <w:lang w:val="en-GB"/>
        </w:rPr>
        <w:t xml:space="preserve">rogramme will be nationally executed </w:t>
      </w:r>
      <w:r w:rsidR="00216A9D" w:rsidRPr="00522402">
        <w:rPr>
          <w:lang w:val="en-GB"/>
        </w:rPr>
        <w:t xml:space="preserve">in collaboration with key national counterparts </w:t>
      </w:r>
      <w:r w:rsidRPr="00522402">
        <w:rPr>
          <w:lang w:val="en-GB"/>
        </w:rPr>
        <w:t>to ensure ownership, leadership and accountability for</w:t>
      </w:r>
      <w:r w:rsidR="00960B95" w:rsidRPr="002921ED">
        <w:rPr>
          <w:lang w:val="en-GB"/>
        </w:rPr>
        <w:t xml:space="preserve"> the</w:t>
      </w:r>
      <w:r w:rsidRPr="002921ED">
        <w:rPr>
          <w:lang w:val="en-GB"/>
        </w:rPr>
        <w:t xml:space="preserve"> realization of UNDP support for achieving development results. Different implementation modalities</w:t>
      </w:r>
      <w:r w:rsidR="00AC26FE" w:rsidRPr="002921ED">
        <w:rPr>
          <w:lang w:val="en-GB"/>
        </w:rPr>
        <w:t xml:space="preserve"> – </w:t>
      </w:r>
      <w:r w:rsidRPr="002921ED">
        <w:rPr>
          <w:lang w:val="en-GB"/>
        </w:rPr>
        <w:t>national implementation, non-governmental organizations and direct UNDP implementation, or combinations thereof</w:t>
      </w:r>
      <w:r w:rsidR="00AC26FE" w:rsidRPr="002921ED">
        <w:rPr>
          <w:lang w:val="en-GB"/>
        </w:rPr>
        <w:t xml:space="preserve"> –</w:t>
      </w:r>
      <w:r w:rsidRPr="002921ED">
        <w:rPr>
          <w:lang w:val="en-GB"/>
        </w:rPr>
        <w:t xml:space="preserve"> will be selected to </w:t>
      </w:r>
      <w:r w:rsidR="00522402">
        <w:rPr>
          <w:lang w:val="en-GB"/>
        </w:rPr>
        <w:t>maximiz</w:t>
      </w:r>
      <w:r w:rsidR="00522402" w:rsidRPr="00522402">
        <w:rPr>
          <w:lang w:val="en-GB"/>
        </w:rPr>
        <w:t xml:space="preserve">e </w:t>
      </w:r>
      <w:r w:rsidRPr="00522402">
        <w:rPr>
          <w:lang w:val="en-GB"/>
        </w:rPr>
        <w:t>efficiency, flexibility of operations</w:t>
      </w:r>
      <w:r w:rsidR="00522402">
        <w:rPr>
          <w:lang w:val="en-GB"/>
        </w:rPr>
        <w:t>,</w:t>
      </w:r>
      <w:r w:rsidRPr="00522402">
        <w:rPr>
          <w:lang w:val="en-GB"/>
        </w:rPr>
        <w:t xml:space="preserve"> and </w:t>
      </w:r>
      <w:r w:rsidRPr="00522402">
        <w:rPr>
          <w:lang w:val="en-GB"/>
        </w:rPr>
        <w:lastRenderedPageBreak/>
        <w:t>effective UNDP contributions to development results. Implementing partners will be selected with a view to building sustainability and bas</w:t>
      </w:r>
      <w:r w:rsidR="00286323" w:rsidRPr="002921ED">
        <w:rPr>
          <w:lang w:val="en-GB"/>
        </w:rPr>
        <w:t>ed</w:t>
      </w:r>
      <w:r w:rsidRPr="002921ED">
        <w:rPr>
          <w:lang w:val="en-GB"/>
        </w:rPr>
        <w:t xml:space="preserve"> o</w:t>
      </w:r>
      <w:r w:rsidR="00286323" w:rsidRPr="002921ED">
        <w:rPr>
          <w:lang w:val="en-GB"/>
        </w:rPr>
        <w:t>n</w:t>
      </w:r>
      <w:r w:rsidRPr="002921ED">
        <w:rPr>
          <w:lang w:val="en-GB"/>
        </w:rPr>
        <w:t xml:space="preserve"> comparative advantage</w:t>
      </w:r>
      <w:r w:rsidR="00AC26FE" w:rsidRPr="002921ED">
        <w:rPr>
          <w:lang w:val="en-GB"/>
        </w:rPr>
        <w:t>s</w:t>
      </w:r>
      <w:r w:rsidRPr="002921ED">
        <w:rPr>
          <w:lang w:val="en-GB"/>
        </w:rPr>
        <w:t xml:space="preserve"> and capacity assessments. When required, UNDP will provide necessary support to national implementing partners to address capacity gaps. Fast-track procedures can be adopted to provide timely response to crisis situations and respond </w:t>
      </w:r>
      <w:r w:rsidR="00AC26FE" w:rsidRPr="002921ED">
        <w:rPr>
          <w:lang w:val="en-GB"/>
        </w:rPr>
        <w:t xml:space="preserve">efficiently </w:t>
      </w:r>
      <w:r w:rsidRPr="002921ED">
        <w:rPr>
          <w:lang w:val="en-GB"/>
        </w:rPr>
        <w:t>to emerging demands for UNDP support.</w:t>
      </w:r>
    </w:p>
    <w:p w:rsidR="00C8308D" w:rsidRPr="002921ED" w:rsidRDefault="00C8308D" w:rsidP="00410AA4">
      <w:pPr>
        <w:pStyle w:val="ListParagraph"/>
        <w:tabs>
          <w:tab w:val="left" w:pos="1080"/>
        </w:tabs>
        <w:rPr>
          <w:sz w:val="12"/>
          <w:szCs w:val="12"/>
          <w:lang w:val="en-GB"/>
        </w:rPr>
      </w:pPr>
    </w:p>
    <w:p w:rsidR="00B30549" w:rsidRPr="00522402" w:rsidRDefault="002929D2" w:rsidP="00410AA4">
      <w:pPr>
        <w:pStyle w:val="ListParagraph"/>
        <w:numPr>
          <w:ilvl w:val="0"/>
          <w:numId w:val="8"/>
        </w:numPr>
        <w:tabs>
          <w:tab w:val="left" w:pos="1080"/>
        </w:tabs>
        <w:ind w:left="720" w:right="811" w:firstLine="0"/>
        <w:jc w:val="both"/>
        <w:rPr>
          <w:lang w:val="en-GB"/>
        </w:rPr>
      </w:pPr>
      <w:r w:rsidRPr="002921ED">
        <w:rPr>
          <w:lang w:val="en-GB"/>
        </w:rPr>
        <w:t xml:space="preserve">For </w:t>
      </w:r>
      <w:r w:rsidR="00C8308D" w:rsidRPr="002921ED">
        <w:rPr>
          <w:lang w:val="en-GB"/>
        </w:rPr>
        <w:t xml:space="preserve">both </w:t>
      </w:r>
      <w:r w:rsidR="00721D03" w:rsidRPr="002921ED">
        <w:rPr>
          <w:lang w:val="en-GB"/>
        </w:rPr>
        <w:t xml:space="preserve">national </w:t>
      </w:r>
      <w:r w:rsidR="00C8308D" w:rsidRPr="002921ED">
        <w:rPr>
          <w:lang w:val="en-GB"/>
        </w:rPr>
        <w:t xml:space="preserve">and </w:t>
      </w:r>
      <w:r w:rsidR="00721D03" w:rsidRPr="002921ED">
        <w:rPr>
          <w:lang w:val="en-GB"/>
        </w:rPr>
        <w:t xml:space="preserve">direct </w:t>
      </w:r>
      <w:r w:rsidR="00C8308D" w:rsidRPr="002921ED">
        <w:rPr>
          <w:lang w:val="en-GB"/>
        </w:rPr>
        <w:t xml:space="preserve">implementation, and </w:t>
      </w:r>
      <w:r w:rsidR="00721D03" w:rsidRPr="002921ED">
        <w:rPr>
          <w:lang w:val="en-GB"/>
        </w:rPr>
        <w:t>pursuant to</w:t>
      </w:r>
      <w:r w:rsidR="00C8308D" w:rsidRPr="002921ED">
        <w:rPr>
          <w:lang w:val="en-GB"/>
        </w:rPr>
        <w:t xml:space="preserve"> Executive </w:t>
      </w:r>
      <w:r w:rsidR="00721D03" w:rsidRPr="002921ED">
        <w:rPr>
          <w:lang w:val="en-GB"/>
        </w:rPr>
        <w:t>B</w:t>
      </w:r>
      <w:r w:rsidR="00C8308D" w:rsidRPr="002921ED">
        <w:rPr>
          <w:lang w:val="en-GB"/>
        </w:rPr>
        <w:t xml:space="preserve">oard decision 2013/32, cost definitions and classifications for programme and development effectiveness will be charged to the concerned projects. </w:t>
      </w:r>
      <w:r w:rsidR="00B03F1A" w:rsidRPr="002921ED">
        <w:rPr>
          <w:lang w:val="en-GB"/>
        </w:rPr>
        <w:t>UNDP is committed to implement</w:t>
      </w:r>
      <w:r w:rsidR="002921ED">
        <w:rPr>
          <w:lang w:val="en-GB"/>
        </w:rPr>
        <w:t>ing</w:t>
      </w:r>
      <w:r w:rsidR="00B03F1A" w:rsidRPr="002921ED">
        <w:rPr>
          <w:lang w:val="en-GB"/>
        </w:rPr>
        <w:t xml:space="preserve"> </w:t>
      </w:r>
      <w:r w:rsidR="00721D03" w:rsidRPr="002921ED">
        <w:rPr>
          <w:lang w:val="en-GB"/>
        </w:rPr>
        <w:t>h</w:t>
      </w:r>
      <w:r w:rsidR="001679A7" w:rsidRPr="00F06508">
        <w:rPr>
          <w:lang w:val="en-GB"/>
        </w:rPr>
        <w:t>armonized</w:t>
      </w:r>
      <w:r w:rsidR="006D4B13" w:rsidRPr="00F06508">
        <w:rPr>
          <w:lang w:val="en-GB"/>
        </w:rPr>
        <w:t xml:space="preserve"> </w:t>
      </w:r>
      <w:r w:rsidR="00721D03" w:rsidRPr="00CA06FC">
        <w:rPr>
          <w:lang w:val="en-GB"/>
        </w:rPr>
        <w:t>c</w:t>
      </w:r>
      <w:r w:rsidR="006D4B13" w:rsidRPr="00F06508">
        <w:rPr>
          <w:lang w:val="en-GB"/>
        </w:rPr>
        <w:t xml:space="preserve">ash </w:t>
      </w:r>
      <w:r w:rsidR="00721D03" w:rsidRPr="00CA06FC">
        <w:rPr>
          <w:lang w:val="en-GB"/>
        </w:rPr>
        <w:t>t</w:t>
      </w:r>
      <w:r w:rsidR="006D4B13" w:rsidRPr="00F06508">
        <w:rPr>
          <w:lang w:val="en-GB"/>
        </w:rPr>
        <w:t xml:space="preserve">ransfer </w:t>
      </w:r>
      <w:r w:rsidR="006D4B13" w:rsidRPr="00522402">
        <w:rPr>
          <w:lang w:val="en-GB"/>
        </w:rPr>
        <w:t xml:space="preserve">principles </w:t>
      </w:r>
      <w:r w:rsidR="006F01D6" w:rsidRPr="00522402">
        <w:rPr>
          <w:lang w:val="en-GB"/>
        </w:rPr>
        <w:t>in coordination with relevant U</w:t>
      </w:r>
      <w:r w:rsidR="00721D03" w:rsidRPr="00522402">
        <w:rPr>
          <w:lang w:val="en-GB"/>
        </w:rPr>
        <w:t>nited Nations partners</w:t>
      </w:r>
      <w:r w:rsidR="00B03F1A" w:rsidRPr="00522402">
        <w:rPr>
          <w:lang w:val="en-GB"/>
        </w:rPr>
        <w:t>.</w:t>
      </w:r>
      <w:r w:rsidR="006D4B13" w:rsidRPr="00522402">
        <w:rPr>
          <w:lang w:val="en-GB"/>
        </w:rPr>
        <w:t xml:space="preserve"> </w:t>
      </w:r>
      <w:r w:rsidR="00522443" w:rsidRPr="00522402">
        <w:rPr>
          <w:lang w:val="en-GB"/>
        </w:rPr>
        <w:t xml:space="preserve">Using these </w:t>
      </w:r>
      <w:r w:rsidR="006D4B13" w:rsidRPr="00F06508">
        <w:rPr>
          <w:lang w:val="en-GB"/>
        </w:rPr>
        <w:t xml:space="preserve">procedures, including macro </w:t>
      </w:r>
      <w:r w:rsidR="004425D4" w:rsidRPr="00F06508">
        <w:rPr>
          <w:lang w:val="en-GB"/>
        </w:rPr>
        <w:t xml:space="preserve">and micro </w:t>
      </w:r>
      <w:r w:rsidR="006D4B13" w:rsidRPr="00F06508">
        <w:rPr>
          <w:lang w:val="en-GB"/>
        </w:rPr>
        <w:t>assessment</w:t>
      </w:r>
      <w:r w:rsidR="00721D03" w:rsidRPr="00CA06FC">
        <w:rPr>
          <w:lang w:val="en-GB"/>
        </w:rPr>
        <w:t>,</w:t>
      </w:r>
      <w:r w:rsidR="006D4B13" w:rsidRPr="00F06508">
        <w:rPr>
          <w:lang w:val="en-GB"/>
        </w:rPr>
        <w:t xml:space="preserve"> </w:t>
      </w:r>
      <w:r w:rsidR="00522443" w:rsidRPr="00F06508">
        <w:rPr>
          <w:lang w:val="en-GB"/>
        </w:rPr>
        <w:t xml:space="preserve">will mitigate </w:t>
      </w:r>
      <w:r w:rsidR="006D4B13" w:rsidRPr="00F06508">
        <w:rPr>
          <w:lang w:val="en-GB"/>
        </w:rPr>
        <w:t xml:space="preserve">the risk of </w:t>
      </w:r>
      <w:r w:rsidR="00721D03" w:rsidRPr="00CA06FC">
        <w:rPr>
          <w:lang w:val="en-GB"/>
        </w:rPr>
        <w:t xml:space="preserve">insufficient </w:t>
      </w:r>
      <w:r w:rsidR="006D4B13" w:rsidRPr="00F06508">
        <w:rPr>
          <w:lang w:val="en-GB"/>
        </w:rPr>
        <w:t>implementation capacity.</w:t>
      </w:r>
      <w:r w:rsidR="006D4B13" w:rsidRPr="00CA06FC">
        <w:rPr>
          <w:lang w:val="en-GB"/>
        </w:rPr>
        <w:t xml:space="preserve"> </w:t>
      </w:r>
      <w:r w:rsidR="00B03F1A" w:rsidRPr="00522402">
        <w:rPr>
          <w:lang w:val="en-GB"/>
        </w:rPr>
        <w:t xml:space="preserve"> </w:t>
      </w:r>
    </w:p>
    <w:p w:rsidR="006D4B13" w:rsidRPr="00522402" w:rsidRDefault="006D4B13" w:rsidP="00410AA4">
      <w:pPr>
        <w:tabs>
          <w:tab w:val="left" w:pos="1080"/>
        </w:tabs>
        <w:ind w:left="720"/>
        <w:rPr>
          <w:sz w:val="12"/>
          <w:szCs w:val="12"/>
          <w:lang w:val="en-GB"/>
        </w:rPr>
      </w:pPr>
    </w:p>
    <w:p w:rsidR="00DB39A7" w:rsidRPr="002921ED" w:rsidRDefault="00B30549" w:rsidP="00410AA4">
      <w:pPr>
        <w:pStyle w:val="ListParagraph"/>
        <w:numPr>
          <w:ilvl w:val="0"/>
          <w:numId w:val="8"/>
        </w:numPr>
        <w:tabs>
          <w:tab w:val="left" w:pos="1080"/>
        </w:tabs>
        <w:ind w:left="720" w:right="811" w:firstLine="0"/>
        <w:jc w:val="both"/>
        <w:rPr>
          <w:lang w:val="en-GB"/>
        </w:rPr>
      </w:pPr>
      <w:r w:rsidRPr="002921ED">
        <w:rPr>
          <w:lang w:val="en-GB"/>
        </w:rPr>
        <w:t>UNDP will ensure that the country office has ad</w:t>
      </w:r>
      <w:r w:rsidR="003867F3" w:rsidRPr="002921ED">
        <w:rPr>
          <w:lang w:val="en-GB"/>
        </w:rPr>
        <w:t>e</w:t>
      </w:r>
      <w:r w:rsidRPr="002921ED">
        <w:rPr>
          <w:lang w:val="en-GB"/>
        </w:rPr>
        <w:t>quate human capacity, structures</w:t>
      </w:r>
      <w:r w:rsidR="002921ED">
        <w:rPr>
          <w:lang w:val="en-GB"/>
        </w:rPr>
        <w:t>,</w:t>
      </w:r>
      <w:r w:rsidRPr="002921ED">
        <w:rPr>
          <w:lang w:val="en-GB"/>
        </w:rPr>
        <w:t xml:space="preserve"> and management systems</w:t>
      </w:r>
      <w:r w:rsidR="00721D03" w:rsidRPr="002921ED">
        <w:rPr>
          <w:lang w:val="en-GB"/>
        </w:rPr>
        <w:t>,</w:t>
      </w:r>
      <w:r w:rsidRPr="002921ED">
        <w:rPr>
          <w:lang w:val="en-GB"/>
        </w:rPr>
        <w:t xml:space="preserve"> to implement the country programme successfully. The financial sustainability plan will be reviewed regular</w:t>
      </w:r>
      <w:r w:rsidR="006557E8" w:rsidRPr="002921ED">
        <w:rPr>
          <w:lang w:val="en-GB"/>
        </w:rPr>
        <w:t>ly</w:t>
      </w:r>
      <w:r w:rsidRPr="002921ED">
        <w:rPr>
          <w:lang w:val="en-GB"/>
        </w:rPr>
        <w:t xml:space="preserve"> for best use of resources and optimal management ratios. </w:t>
      </w:r>
      <w:r w:rsidR="00CF7DCB" w:rsidRPr="002921ED">
        <w:rPr>
          <w:lang w:val="en-GB"/>
        </w:rPr>
        <w:t xml:space="preserve">The </w:t>
      </w:r>
      <w:r w:rsidR="00721D03" w:rsidRPr="002921ED">
        <w:rPr>
          <w:lang w:val="en-GB"/>
        </w:rPr>
        <w:t xml:space="preserve">country office </w:t>
      </w:r>
      <w:r w:rsidR="00CF7DCB" w:rsidRPr="002921ED">
        <w:rPr>
          <w:lang w:val="en-GB"/>
        </w:rPr>
        <w:t xml:space="preserve">will </w:t>
      </w:r>
      <w:r w:rsidR="006557E8" w:rsidRPr="002921ED">
        <w:rPr>
          <w:lang w:val="en-GB"/>
        </w:rPr>
        <w:t>effectively</w:t>
      </w:r>
      <w:r w:rsidR="00CF7DCB" w:rsidRPr="002921ED">
        <w:rPr>
          <w:lang w:val="en-GB"/>
        </w:rPr>
        <w:t xml:space="preserve"> collect </w:t>
      </w:r>
      <w:r w:rsidR="004425D4" w:rsidRPr="002921ED">
        <w:rPr>
          <w:lang w:val="en-GB"/>
        </w:rPr>
        <w:t xml:space="preserve">host government </w:t>
      </w:r>
      <w:r w:rsidR="00CF7DCB" w:rsidRPr="002921ED">
        <w:rPr>
          <w:lang w:val="en-GB"/>
        </w:rPr>
        <w:t xml:space="preserve">contributions to </w:t>
      </w:r>
      <w:r w:rsidR="002921ED">
        <w:rPr>
          <w:lang w:val="en-GB"/>
        </w:rPr>
        <w:t>increase</w:t>
      </w:r>
      <w:r w:rsidR="002921ED" w:rsidRPr="002921ED">
        <w:rPr>
          <w:lang w:val="en-GB"/>
        </w:rPr>
        <w:t xml:space="preserve"> </w:t>
      </w:r>
      <w:r w:rsidR="00CF7DCB" w:rsidRPr="002921ED">
        <w:rPr>
          <w:lang w:val="en-GB"/>
        </w:rPr>
        <w:t xml:space="preserve">its delivery capacity </w:t>
      </w:r>
      <w:r w:rsidR="00721D03" w:rsidRPr="002921ED">
        <w:rPr>
          <w:lang w:val="en-GB"/>
        </w:rPr>
        <w:t>in accordance with</w:t>
      </w:r>
      <w:r w:rsidR="00CF7DCB" w:rsidRPr="002921ED">
        <w:rPr>
          <w:lang w:val="en-GB"/>
        </w:rPr>
        <w:t xml:space="preserve"> </w:t>
      </w:r>
      <w:r w:rsidR="00721D03" w:rsidRPr="002921ED">
        <w:rPr>
          <w:lang w:val="en-GB"/>
        </w:rPr>
        <w:t>government contribution</w:t>
      </w:r>
      <w:r w:rsidR="00887CBA" w:rsidRPr="002921ED">
        <w:rPr>
          <w:lang w:val="en-GB"/>
        </w:rPr>
        <w:t>s</w:t>
      </w:r>
      <w:r w:rsidR="00721D03" w:rsidRPr="002921ED">
        <w:rPr>
          <w:lang w:val="en-GB"/>
        </w:rPr>
        <w:t xml:space="preserve"> to</w:t>
      </w:r>
      <w:r w:rsidR="00887CBA" w:rsidRPr="002921ED">
        <w:rPr>
          <w:lang w:val="en-GB"/>
        </w:rPr>
        <w:t>wards</w:t>
      </w:r>
      <w:r w:rsidR="00721D03" w:rsidRPr="002921ED">
        <w:rPr>
          <w:lang w:val="en-GB"/>
        </w:rPr>
        <w:t xml:space="preserve"> local office costs </w:t>
      </w:r>
      <w:r w:rsidR="00CF7DCB" w:rsidRPr="002921ED">
        <w:rPr>
          <w:lang w:val="en-GB"/>
        </w:rPr>
        <w:t>guidelines</w:t>
      </w:r>
      <w:r w:rsidR="00E0376A" w:rsidRPr="002921ED">
        <w:rPr>
          <w:lang w:val="en-GB"/>
        </w:rPr>
        <w:t>.</w:t>
      </w:r>
      <w:r w:rsidR="00CF7DCB" w:rsidRPr="00F06508">
        <w:rPr>
          <w:rStyle w:val="FootnoteReference"/>
          <w:sz w:val="16"/>
          <w:szCs w:val="16"/>
          <w:lang w:val="en-GB"/>
        </w:rPr>
        <w:footnoteReference w:id="43"/>
      </w:r>
      <w:r w:rsidR="00CF7DCB" w:rsidRPr="00F06508">
        <w:rPr>
          <w:sz w:val="24"/>
          <w:szCs w:val="24"/>
          <w:lang w:val="en-GB"/>
        </w:rPr>
        <w:t xml:space="preserve"> </w:t>
      </w:r>
      <w:r w:rsidRPr="00CA06FC">
        <w:rPr>
          <w:lang w:val="en-GB"/>
        </w:rPr>
        <w:t>Staff capacit</w:t>
      </w:r>
      <w:r w:rsidR="00621E84" w:rsidRPr="00522402">
        <w:rPr>
          <w:lang w:val="en-GB"/>
        </w:rPr>
        <w:t>ies</w:t>
      </w:r>
      <w:r w:rsidRPr="00522402">
        <w:rPr>
          <w:lang w:val="en-GB"/>
        </w:rPr>
        <w:t xml:space="preserve"> will be developed through continuous training and exchange </w:t>
      </w:r>
      <w:r w:rsidR="004425D4" w:rsidRPr="00522402">
        <w:rPr>
          <w:lang w:val="en-GB"/>
        </w:rPr>
        <w:t>programmes.</w:t>
      </w:r>
      <w:r w:rsidRPr="00522402">
        <w:rPr>
          <w:lang w:val="en-GB"/>
        </w:rPr>
        <w:t xml:space="preserve"> </w:t>
      </w:r>
      <w:r w:rsidR="00CF7DCB" w:rsidRPr="00522402">
        <w:rPr>
          <w:lang w:val="en-GB"/>
        </w:rPr>
        <w:t xml:space="preserve">The </w:t>
      </w:r>
      <w:r w:rsidR="00721D03" w:rsidRPr="00522402">
        <w:rPr>
          <w:lang w:val="en-GB"/>
        </w:rPr>
        <w:t xml:space="preserve">country office </w:t>
      </w:r>
      <w:r w:rsidR="00CF7DCB" w:rsidRPr="00522402">
        <w:rPr>
          <w:lang w:val="en-GB"/>
        </w:rPr>
        <w:t>will use resources</w:t>
      </w:r>
      <w:r w:rsidR="00736EA4" w:rsidRPr="002921ED">
        <w:rPr>
          <w:lang w:val="en-GB"/>
        </w:rPr>
        <w:t xml:space="preserve"> </w:t>
      </w:r>
      <w:r w:rsidR="002921ED">
        <w:rPr>
          <w:lang w:val="en-GB"/>
        </w:rPr>
        <w:t>such as those of</w:t>
      </w:r>
      <w:r w:rsidR="002921ED" w:rsidRPr="002921ED">
        <w:rPr>
          <w:lang w:val="en-GB"/>
        </w:rPr>
        <w:t xml:space="preserve"> </w:t>
      </w:r>
      <w:r w:rsidR="002921ED">
        <w:rPr>
          <w:lang w:val="en-GB"/>
        </w:rPr>
        <w:t xml:space="preserve">the </w:t>
      </w:r>
      <w:r w:rsidR="00CF7DCB" w:rsidRPr="002921ED">
        <w:rPr>
          <w:lang w:val="en-GB"/>
        </w:rPr>
        <w:t xml:space="preserve">Regional Service Centre to </w:t>
      </w:r>
      <w:r w:rsidR="00721D03" w:rsidRPr="002921ED">
        <w:rPr>
          <w:lang w:val="en-GB"/>
        </w:rPr>
        <w:t xml:space="preserve">expand </w:t>
      </w:r>
      <w:r w:rsidR="00CF7DCB" w:rsidRPr="002921ED">
        <w:rPr>
          <w:lang w:val="en-GB"/>
        </w:rPr>
        <w:t>capacity to deliver on its programme</w:t>
      </w:r>
      <w:r w:rsidR="00721D03" w:rsidRPr="002921ED">
        <w:rPr>
          <w:lang w:val="en-GB"/>
        </w:rPr>
        <w:t>,</w:t>
      </w:r>
      <w:r w:rsidR="00CF7DCB" w:rsidRPr="002921ED">
        <w:rPr>
          <w:lang w:val="en-GB"/>
        </w:rPr>
        <w:t xml:space="preserve"> </w:t>
      </w:r>
      <w:r w:rsidR="006557E8" w:rsidRPr="002921ED">
        <w:rPr>
          <w:lang w:val="en-GB"/>
        </w:rPr>
        <w:t xml:space="preserve">and </w:t>
      </w:r>
      <w:r w:rsidR="002921ED">
        <w:rPr>
          <w:lang w:val="en-GB"/>
        </w:rPr>
        <w:t xml:space="preserve">will employ </w:t>
      </w:r>
      <w:r w:rsidR="00CF7DCB" w:rsidRPr="002921ED">
        <w:rPr>
          <w:lang w:val="en-GB"/>
        </w:rPr>
        <w:t xml:space="preserve">innovative approaches </w:t>
      </w:r>
      <w:r w:rsidR="00721D03" w:rsidRPr="002921ED">
        <w:rPr>
          <w:lang w:val="en-GB"/>
        </w:rPr>
        <w:t xml:space="preserve">such as </w:t>
      </w:r>
      <w:r w:rsidR="00CF7DCB" w:rsidRPr="002921ED">
        <w:rPr>
          <w:lang w:val="en-GB"/>
        </w:rPr>
        <w:t>attracting young</w:t>
      </w:r>
      <w:r w:rsidR="00721D03" w:rsidRPr="002921ED">
        <w:rPr>
          <w:lang w:val="en-GB"/>
        </w:rPr>
        <w:t>,</w:t>
      </w:r>
      <w:r w:rsidR="00CF7DCB" w:rsidRPr="002921ED">
        <w:rPr>
          <w:lang w:val="en-GB"/>
        </w:rPr>
        <w:t xml:space="preserve"> talented graduates </w:t>
      </w:r>
      <w:r w:rsidR="006557E8" w:rsidRPr="002921ED">
        <w:rPr>
          <w:lang w:val="en-GB"/>
        </w:rPr>
        <w:t>through</w:t>
      </w:r>
      <w:r w:rsidR="00CF7DCB" w:rsidRPr="002921ED">
        <w:rPr>
          <w:lang w:val="en-GB"/>
        </w:rPr>
        <w:t xml:space="preserve"> internships to augment staff </w:t>
      </w:r>
      <w:r w:rsidR="00736EA4" w:rsidRPr="002921ED">
        <w:rPr>
          <w:lang w:val="en-GB"/>
        </w:rPr>
        <w:t>capacity</w:t>
      </w:r>
      <w:r w:rsidR="00CF7DCB" w:rsidRPr="002921ED">
        <w:rPr>
          <w:lang w:val="en-GB"/>
        </w:rPr>
        <w:t xml:space="preserve">. </w:t>
      </w:r>
    </w:p>
    <w:p w:rsidR="00186048" w:rsidRPr="00F06508" w:rsidRDefault="00186048" w:rsidP="00410AA4">
      <w:pPr>
        <w:pStyle w:val="ListParagraph"/>
        <w:tabs>
          <w:tab w:val="left" w:pos="1080"/>
        </w:tabs>
        <w:rPr>
          <w:color w:val="000000"/>
          <w:sz w:val="12"/>
          <w:szCs w:val="12"/>
          <w:lang w:val="en-GB"/>
        </w:rPr>
      </w:pPr>
    </w:p>
    <w:p w:rsidR="00C8308D" w:rsidRPr="00F06508" w:rsidRDefault="00721D03" w:rsidP="00410AA4">
      <w:pPr>
        <w:pStyle w:val="ListParagraph"/>
        <w:numPr>
          <w:ilvl w:val="0"/>
          <w:numId w:val="8"/>
        </w:numPr>
        <w:tabs>
          <w:tab w:val="left" w:pos="1080"/>
        </w:tabs>
        <w:ind w:left="720" w:rightChars="427" w:right="854" w:firstLine="0"/>
        <w:jc w:val="both"/>
        <w:rPr>
          <w:color w:val="000000"/>
          <w:lang w:val="en-GB"/>
        </w:rPr>
      </w:pPr>
      <w:r w:rsidRPr="00CA06FC">
        <w:rPr>
          <w:lang w:val="en-GB"/>
        </w:rPr>
        <w:t>E</w:t>
      </w:r>
      <w:r w:rsidR="00B30549" w:rsidRPr="00F06508">
        <w:rPr>
          <w:lang w:val="en-GB"/>
        </w:rPr>
        <w:t xml:space="preserve">conomic and political </w:t>
      </w:r>
      <w:r w:rsidR="00023D33">
        <w:rPr>
          <w:lang w:val="en-GB"/>
        </w:rPr>
        <w:t xml:space="preserve">dynamics </w:t>
      </w:r>
      <w:r w:rsidR="00B30549" w:rsidRPr="00F06508">
        <w:rPr>
          <w:lang w:val="en-GB"/>
        </w:rPr>
        <w:t>and uncertainties are likely to continue, exposing programme implementation to considerable risks</w:t>
      </w:r>
      <w:r w:rsidR="006A513D" w:rsidRPr="00F06508">
        <w:rPr>
          <w:lang w:val="en-GB"/>
        </w:rPr>
        <w:t>,</w:t>
      </w:r>
      <w:r w:rsidR="00B30549" w:rsidRPr="00F06508">
        <w:rPr>
          <w:lang w:val="en-GB"/>
        </w:rPr>
        <w:t xml:space="preserve"> includ</w:t>
      </w:r>
      <w:r w:rsidR="006A513D" w:rsidRPr="00F06508">
        <w:rPr>
          <w:lang w:val="en-GB"/>
        </w:rPr>
        <w:t>ing</w:t>
      </w:r>
      <w:r w:rsidR="00B30549" w:rsidRPr="00F06508">
        <w:rPr>
          <w:lang w:val="en-GB"/>
        </w:rPr>
        <w:t xml:space="preserve">: </w:t>
      </w:r>
      <w:r w:rsidR="00C160F2" w:rsidRPr="00F06508">
        <w:rPr>
          <w:lang w:val="en-GB"/>
        </w:rPr>
        <w:t>l</w:t>
      </w:r>
      <w:r w:rsidR="00B30549" w:rsidRPr="00F06508">
        <w:rPr>
          <w:lang w:val="en-GB"/>
        </w:rPr>
        <w:t xml:space="preserve">imited resource mobilization </w:t>
      </w:r>
      <w:r w:rsidRPr="00CA06FC">
        <w:rPr>
          <w:lang w:val="en-GB"/>
        </w:rPr>
        <w:t>potential,</w:t>
      </w:r>
      <w:r w:rsidR="00B30549" w:rsidRPr="00F06508">
        <w:rPr>
          <w:lang w:val="en-GB"/>
        </w:rPr>
        <w:t xml:space="preserve"> given donor concerns o</w:t>
      </w:r>
      <w:r w:rsidRPr="00CA06FC">
        <w:rPr>
          <w:lang w:val="en-GB"/>
        </w:rPr>
        <w:t>ver</w:t>
      </w:r>
      <w:r w:rsidR="00B30549" w:rsidRPr="00F06508">
        <w:rPr>
          <w:lang w:val="en-GB"/>
        </w:rPr>
        <w:t xml:space="preserve"> the governance record</w:t>
      </w:r>
      <w:r w:rsidRPr="00CA06FC">
        <w:rPr>
          <w:lang w:val="en-GB"/>
        </w:rPr>
        <w:t xml:space="preserve"> of the Gambia</w:t>
      </w:r>
      <w:r w:rsidR="00C160F2" w:rsidRPr="00F06508">
        <w:rPr>
          <w:color w:val="000000" w:themeColor="text1"/>
          <w:lang w:val="en-GB"/>
        </w:rPr>
        <w:t>; h</w:t>
      </w:r>
      <w:r w:rsidR="00B30549" w:rsidRPr="00F06508">
        <w:rPr>
          <w:color w:val="000000" w:themeColor="text1"/>
          <w:lang w:val="en-GB"/>
        </w:rPr>
        <w:t>igh attrition rates within the Government</w:t>
      </w:r>
      <w:r w:rsidR="002921ED">
        <w:rPr>
          <w:color w:val="000000" w:themeColor="text1"/>
          <w:lang w:val="en-GB"/>
        </w:rPr>
        <w:t>,</w:t>
      </w:r>
      <w:r w:rsidR="00B30549" w:rsidRPr="00F06508">
        <w:rPr>
          <w:color w:val="000000" w:themeColor="text1"/>
          <w:lang w:val="en-GB"/>
        </w:rPr>
        <w:t xml:space="preserve"> and brain drain</w:t>
      </w:r>
      <w:r w:rsidR="005163CD" w:rsidRPr="00F06508">
        <w:rPr>
          <w:color w:val="000000" w:themeColor="text1"/>
          <w:lang w:val="en-GB"/>
        </w:rPr>
        <w:t>,</w:t>
      </w:r>
      <w:r w:rsidR="0055052E" w:rsidRPr="00F06508">
        <w:rPr>
          <w:color w:val="000000" w:themeColor="text1"/>
          <w:lang w:val="en-GB"/>
        </w:rPr>
        <w:t xml:space="preserve"> </w:t>
      </w:r>
      <w:r w:rsidR="00B30549" w:rsidRPr="00F06508">
        <w:rPr>
          <w:color w:val="000000" w:themeColor="text1"/>
          <w:lang w:val="en-GB"/>
        </w:rPr>
        <w:t>loss of institutional memory and limit</w:t>
      </w:r>
      <w:r w:rsidR="002921ED">
        <w:rPr>
          <w:color w:val="000000" w:themeColor="text1"/>
          <w:lang w:val="en-GB"/>
        </w:rPr>
        <w:t>ed</w:t>
      </w:r>
      <w:r w:rsidR="00B30549" w:rsidRPr="00F06508">
        <w:rPr>
          <w:color w:val="000000" w:themeColor="text1"/>
          <w:lang w:val="en-GB"/>
        </w:rPr>
        <w:t xml:space="preserve"> continuity, </w:t>
      </w:r>
      <w:r w:rsidRPr="00CA06FC">
        <w:rPr>
          <w:color w:val="000000" w:themeColor="text1"/>
          <w:lang w:val="en-GB"/>
        </w:rPr>
        <w:t xml:space="preserve">which </w:t>
      </w:r>
      <w:r w:rsidR="00B30549" w:rsidRPr="00F06508">
        <w:rPr>
          <w:color w:val="000000" w:themeColor="text1"/>
          <w:lang w:val="en-GB"/>
        </w:rPr>
        <w:t>exacerbat</w:t>
      </w:r>
      <w:r w:rsidRPr="00CA06FC">
        <w:rPr>
          <w:color w:val="000000" w:themeColor="text1"/>
          <w:lang w:val="en-GB"/>
        </w:rPr>
        <w:t>e</w:t>
      </w:r>
      <w:r w:rsidR="00B30549" w:rsidRPr="00F06508">
        <w:rPr>
          <w:color w:val="000000" w:themeColor="text1"/>
          <w:lang w:val="en-GB"/>
        </w:rPr>
        <w:t xml:space="preserve"> the already weak capacities of </w:t>
      </w:r>
      <w:r w:rsidR="00AD07F4">
        <w:rPr>
          <w:color w:val="000000" w:themeColor="text1"/>
          <w:lang w:val="en-GB"/>
        </w:rPr>
        <w:t>implementing partners</w:t>
      </w:r>
      <w:r w:rsidR="0055052E" w:rsidRPr="00F06508">
        <w:rPr>
          <w:color w:val="000000" w:themeColor="text1"/>
          <w:lang w:val="en-GB"/>
        </w:rPr>
        <w:t>, and p</w:t>
      </w:r>
      <w:r w:rsidR="004425D4" w:rsidRPr="00F06508">
        <w:rPr>
          <w:color w:val="000000" w:themeColor="text1"/>
          <w:lang w:val="en-GB"/>
        </w:rPr>
        <w:t>ossible</w:t>
      </w:r>
      <w:r w:rsidR="005B1E00" w:rsidRPr="00F06508">
        <w:rPr>
          <w:color w:val="000000" w:themeColor="text1"/>
          <w:lang w:val="en-GB"/>
        </w:rPr>
        <w:t xml:space="preserve"> disruptions in programme implementation due to the planned National Assembly and local elections. The </w:t>
      </w:r>
      <w:r w:rsidR="00887CBA" w:rsidRPr="00CA06FC">
        <w:rPr>
          <w:color w:val="000000" w:themeColor="text1"/>
          <w:lang w:val="en-GB"/>
        </w:rPr>
        <w:t>country office</w:t>
      </w:r>
      <w:r w:rsidR="00887CBA" w:rsidRPr="00F06508">
        <w:rPr>
          <w:color w:val="000000" w:themeColor="text1"/>
          <w:lang w:val="en-GB"/>
        </w:rPr>
        <w:t xml:space="preserve"> </w:t>
      </w:r>
      <w:r w:rsidR="005B1E00" w:rsidRPr="00F06508">
        <w:rPr>
          <w:color w:val="000000" w:themeColor="text1"/>
          <w:lang w:val="en-GB"/>
        </w:rPr>
        <w:t xml:space="preserve">will formulate a contingency plan to respond to electoral risks and </w:t>
      </w:r>
      <w:r w:rsidR="00887CBA" w:rsidRPr="00CA06FC">
        <w:rPr>
          <w:color w:val="000000" w:themeColor="text1"/>
          <w:lang w:val="en-GB"/>
        </w:rPr>
        <w:t xml:space="preserve">will </w:t>
      </w:r>
      <w:r w:rsidR="005B1E00" w:rsidRPr="00F06508">
        <w:rPr>
          <w:color w:val="000000" w:themeColor="text1"/>
          <w:lang w:val="en-GB"/>
        </w:rPr>
        <w:t xml:space="preserve">regularly update the </w:t>
      </w:r>
      <w:r w:rsidR="00F06508">
        <w:rPr>
          <w:color w:val="000000" w:themeColor="text1"/>
          <w:lang w:val="en-GB"/>
        </w:rPr>
        <w:t>business continuity plan</w:t>
      </w:r>
      <w:r w:rsidR="005B1E00" w:rsidRPr="00F06508">
        <w:rPr>
          <w:color w:val="000000" w:themeColor="text1"/>
          <w:lang w:val="en-GB"/>
        </w:rPr>
        <w:t>.</w:t>
      </w:r>
      <w:r w:rsidR="006F01D6" w:rsidRPr="00F06508">
        <w:rPr>
          <w:color w:val="000000" w:themeColor="text1"/>
          <w:lang w:val="en-GB"/>
        </w:rPr>
        <w:t xml:space="preserve"> </w:t>
      </w:r>
      <w:r w:rsidR="005B1E00" w:rsidRPr="00F06508">
        <w:rPr>
          <w:color w:val="000000" w:themeColor="text1"/>
          <w:lang w:val="en-GB"/>
        </w:rPr>
        <w:t>B</w:t>
      </w:r>
      <w:r w:rsidR="005B1E00" w:rsidRPr="00F06508">
        <w:rPr>
          <w:lang w:val="en-GB"/>
        </w:rPr>
        <w:t xml:space="preserve">ased on the Gambia </w:t>
      </w:r>
      <w:r w:rsidR="00887CBA" w:rsidRPr="00F06508">
        <w:rPr>
          <w:color w:val="000000" w:themeColor="text1"/>
          <w:lang w:val="en-GB"/>
        </w:rPr>
        <w:t>Intended National Determined Contribution</w:t>
      </w:r>
      <w:r w:rsidR="00955B64" w:rsidRPr="00F06508">
        <w:rPr>
          <w:lang w:val="en-GB"/>
        </w:rPr>
        <w:t xml:space="preserve">, </w:t>
      </w:r>
      <w:r w:rsidR="005B1E00" w:rsidRPr="00F06508">
        <w:rPr>
          <w:lang w:val="en-GB"/>
        </w:rPr>
        <w:t>UNDP will support policy reforms to reduce the impact of climate change</w:t>
      </w:r>
      <w:r w:rsidR="00955B64" w:rsidRPr="00F06508">
        <w:rPr>
          <w:color w:val="000000" w:themeColor="text1"/>
          <w:lang w:val="en-GB"/>
        </w:rPr>
        <w:t xml:space="preserve">. </w:t>
      </w:r>
      <w:r w:rsidR="003B4B61" w:rsidRPr="00F06508">
        <w:rPr>
          <w:color w:val="000000" w:themeColor="text1"/>
          <w:lang w:val="en-GB"/>
        </w:rPr>
        <w:t>In relation to resource mobilization</w:t>
      </w:r>
      <w:r w:rsidR="00887CBA" w:rsidRPr="00CA06FC">
        <w:rPr>
          <w:color w:val="000000" w:themeColor="text1"/>
          <w:lang w:val="en-GB"/>
        </w:rPr>
        <w:t>-</w:t>
      </w:r>
      <w:r w:rsidR="003B4B61" w:rsidRPr="00F06508">
        <w:rPr>
          <w:color w:val="000000" w:themeColor="text1"/>
          <w:lang w:val="en-GB"/>
        </w:rPr>
        <w:t xml:space="preserve">related risks, the </w:t>
      </w:r>
      <w:r w:rsidR="00887CBA" w:rsidRPr="00CA06FC">
        <w:rPr>
          <w:color w:val="000000" w:themeColor="text1"/>
          <w:lang w:val="en-GB"/>
        </w:rPr>
        <w:t xml:space="preserve">country office </w:t>
      </w:r>
      <w:r w:rsidR="003B4B61" w:rsidRPr="00F06508">
        <w:rPr>
          <w:color w:val="000000" w:themeColor="text1"/>
          <w:lang w:val="en-GB"/>
        </w:rPr>
        <w:t xml:space="preserve">will identify new and </w:t>
      </w:r>
      <w:r w:rsidR="00AD07F4" w:rsidRPr="00F06508">
        <w:rPr>
          <w:color w:val="000000" w:themeColor="text1"/>
          <w:lang w:val="en-GB"/>
        </w:rPr>
        <w:t>innovative</w:t>
      </w:r>
      <w:r w:rsidR="003B4B61" w:rsidRPr="00F06508">
        <w:rPr>
          <w:color w:val="000000" w:themeColor="text1"/>
          <w:lang w:val="en-GB"/>
        </w:rPr>
        <w:t xml:space="preserve"> sources of finance</w:t>
      </w:r>
      <w:r w:rsidR="00CF7DCB" w:rsidRPr="00F06508">
        <w:rPr>
          <w:rStyle w:val="FootnoteReference"/>
          <w:color w:val="000000" w:themeColor="text1"/>
          <w:lang w:val="en-GB"/>
        </w:rPr>
        <w:footnoteReference w:id="44"/>
      </w:r>
      <w:r w:rsidR="003B4B61" w:rsidRPr="00F06508">
        <w:rPr>
          <w:color w:val="000000" w:themeColor="text1"/>
          <w:lang w:val="en-GB"/>
        </w:rPr>
        <w:t xml:space="preserve"> and support </w:t>
      </w:r>
      <w:r w:rsidR="00193834" w:rsidRPr="00CA06FC">
        <w:rPr>
          <w:color w:val="000000" w:themeColor="text1"/>
          <w:lang w:val="en-GB"/>
        </w:rPr>
        <w:t>the G</w:t>
      </w:r>
      <w:r w:rsidR="003B4B61" w:rsidRPr="00F06508">
        <w:rPr>
          <w:color w:val="000000" w:themeColor="text1"/>
          <w:lang w:val="en-GB"/>
        </w:rPr>
        <w:t xml:space="preserve">overnment </w:t>
      </w:r>
      <w:r w:rsidR="00193834" w:rsidRPr="00CA06FC">
        <w:rPr>
          <w:color w:val="000000" w:themeColor="text1"/>
          <w:lang w:val="en-GB"/>
        </w:rPr>
        <w:t>in</w:t>
      </w:r>
      <w:r w:rsidR="003B4B61" w:rsidRPr="00F06508">
        <w:rPr>
          <w:color w:val="000000" w:themeColor="text1"/>
          <w:lang w:val="en-GB"/>
        </w:rPr>
        <w:t xml:space="preserve"> identify</w:t>
      </w:r>
      <w:r w:rsidR="00193834" w:rsidRPr="00CA06FC">
        <w:rPr>
          <w:color w:val="000000" w:themeColor="text1"/>
          <w:lang w:val="en-GB"/>
        </w:rPr>
        <w:t>ing</w:t>
      </w:r>
      <w:r w:rsidR="003B4B61" w:rsidRPr="00F06508">
        <w:rPr>
          <w:color w:val="000000" w:themeColor="text1"/>
          <w:lang w:val="en-GB"/>
        </w:rPr>
        <w:t xml:space="preserve"> domestic sources</w:t>
      </w:r>
      <w:r w:rsidR="005163CD" w:rsidRPr="00F06508">
        <w:rPr>
          <w:color w:val="000000" w:themeColor="text1"/>
          <w:lang w:val="en-GB"/>
        </w:rPr>
        <w:t>,</w:t>
      </w:r>
      <w:r w:rsidR="003B4B61" w:rsidRPr="00F06508">
        <w:rPr>
          <w:color w:val="000000" w:themeColor="text1"/>
          <w:lang w:val="en-GB"/>
        </w:rPr>
        <w:t xml:space="preserve"> including </w:t>
      </w:r>
      <w:r w:rsidR="00193834" w:rsidRPr="00CA06FC">
        <w:rPr>
          <w:color w:val="000000" w:themeColor="text1"/>
          <w:lang w:val="en-GB"/>
        </w:rPr>
        <w:t xml:space="preserve">through </w:t>
      </w:r>
      <w:r w:rsidR="003B4B61" w:rsidRPr="00F06508">
        <w:rPr>
          <w:color w:val="000000" w:themeColor="text1"/>
          <w:lang w:val="en-GB"/>
        </w:rPr>
        <w:t xml:space="preserve">efficiency gains in resource allocation and utilization. </w:t>
      </w:r>
      <w:r w:rsidR="00906E22" w:rsidRPr="00F06508">
        <w:rPr>
          <w:color w:val="000000" w:themeColor="text1"/>
          <w:lang w:val="en-GB"/>
        </w:rPr>
        <w:t xml:space="preserve">The </w:t>
      </w:r>
      <w:r w:rsidR="00887CBA" w:rsidRPr="00CA06FC">
        <w:rPr>
          <w:color w:val="000000" w:themeColor="text1"/>
          <w:lang w:val="en-GB"/>
        </w:rPr>
        <w:t>country office</w:t>
      </w:r>
      <w:r w:rsidR="00906E22" w:rsidRPr="00F06508">
        <w:rPr>
          <w:color w:val="000000" w:themeColor="text1"/>
          <w:lang w:val="en-GB"/>
        </w:rPr>
        <w:t xml:space="preserve"> will </w:t>
      </w:r>
      <w:r w:rsidR="004C075D" w:rsidRPr="00F06508">
        <w:rPr>
          <w:color w:val="000000" w:themeColor="text1"/>
          <w:lang w:val="en-GB"/>
        </w:rPr>
        <w:t>strengthen</w:t>
      </w:r>
      <w:r w:rsidR="001679A7" w:rsidRPr="00F06508">
        <w:rPr>
          <w:color w:val="000000" w:themeColor="text1"/>
          <w:lang w:val="en-GB"/>
        </w:rPr>
        <w:t xml:space="preserve"> </w:t>
      </w:r>
      <w:r w:rsidR="00906E22" w:rsidRPr="00F06508">
        <w:rPr>
          <w:color w:val="000000" w:themeColor="text1"/>
          <w:lang w:val="en-GB"/>
        </w:rPr>
        <w:t>project quality assurance</w:t>
      </w:r>
      <w:r w:rsidR="00193834" w:rsidRPr="00CA06FC">
        <w:rPr>
          <w:color w:val="000000" w:themeColor="text1"/>
          <w:lang w:val="en-GB"/>
        </w:rPr>
        <w:t xml:space="preserve"> and</w:t>
      </w:r>
      <w:r w:rsidR="00906E22" w:rsidRPr="00F06508">
        <w:rPr>
          <w:color w:val="000000" w:themeColor="text1"/>
          <w:lang w:val="en-GB"/>
        </w:rPr>
        <w:t xml:space="preserve"> social and environmental safeguards for sustainability</w:t>
      </w:r>
      <w:r w:rsidR="00193834" w:rsidRPr="00CA06FC">
        <w:rPr>
          <w:color w:val="000000" w:themeColor="text1"/>
          <w:lang w:val="en-GB"/>
        </w:rPr>
        <w:t>, and</w:t>
      </w:r>
      <w:r w:rsidR="00906E22" w:rsidRPr="00F06508">
        <w:rPr>
          <w:color w:val="000000" w:themeColor="text1"/>
          <w:lang w:val="en-GB"/>
        </w:rPr>
        <w:t xml:space="preserve"> reemphasize integrated, flexible, innovative programme design</w:t>
      </w:r>
      <w:r w:rsidR="00193834" w:rsidRPr="00CA06FC">
        <w:rPr>
          <w:color w:val="000000" w:themeColor="text1"/>
          <w:lang w:val="en-GB"/>
        </w:rPr>
        <w:t>,</w:t>
      </w:r>
      <w:r w:rsidR="00906E22" w:rsidRPr="00F06508">
        <w:rPr>
          <w:color w:val="000000" w:themeColor="text1"/>
          <w:lang w:val="en-GB"/>
        </w:rPr>
        <w:t xml:space="preserve"> systems of data collection, </w:t>
      </w:r>
      <w:r w:rsidR="00193834" w:rsidRPr="00CA06FC">
        <w:rPr>
          <w:color w:val="000000" w:themeColor="text1"/>
          <w:lang w:val="en-GB"/>
        </w:rPr>
        <w:t xml:space="preserve">and </w:t>
      </w:r>
      <w:r w:rsidR="00906E22" w:rsidRPr="00F06508">
        <w:rPr>
          <w:color w:val="000000" w:themeColor="text1"/>
          <w:lang w:val="en-GB"/>
        </w:rPr>
        <w:t>evidence-based results reporting and communication to address lessons learned and scale up best practices.</w:t>
      </w:r>
    </w:p>
    <w:p w:rsidR="00B30549" w:rsidRPr="00F06508" w:rsidRDefault="00B30549" w:rsidP="00410AA4">
      <w:pPr>
        <w:pStyle w:val="ListParagraph"/>
        <w:tabs>
          <w:tab w:val="left" w:pos="1080"/>
        </w:tabs>
        <w:ind w:rightChars="427" w:right="854"/>
        <w:jc w:val="both"/>
        <w:rPr>
          <w:color w:val="000000"/>
          <w:sz w:val="12"/>
          <w:szCs w:val="12"/>
          <w:lang w:val="en-GB"/>
        </w:rPr>
      </w:pPr>
    </w:p>
    <w:p w:rsidR="00C8308D" w:rsidRPr="00AD07F4" w:rsidRDefault="00C8308D" w:rsidP="00410AA4">
      <w:pPr>
        <w:pStyle w:val="ListParagraph"/>
        <w:numPr>
          <w:ilvl w:val="0"/>
          <w:numId w:val="8"/>
        </w:numPr>
        <w:tabs>
          <w:tab w:val="left" w:pos="1080"/>
        </w:tabs>
        <w:ind w:left="720" w:rightChars="427" w:right="854" w:firstLine="0"/>
        <w:jc w:val="both"/>
        <w:rPr>
          <w:lang w:val="en-GB"/>
        </w:rPr>
      </w:pPr>
      <w:r w:rsidRPr="00F06508">
        <w:rPr>
          <w:color w:val="000000"/>
          <w:lang w:val="en-GB"/>
        </w:rPr>
        <w:t xml:space="preserve">This </w:t>
      </w:r>
      <w:r w:rsidR="00193834" w:rsidRPr="00CA06FC">
        <w:rPr>
          <w:color w:val="000000"/>
          <w:lang w:val="en-GB"/>
        </w:rPr>
        <w:t>country programme documen</w:t>
      </w:r>
      <w:r w:rsidR="00193834" w:rsidRPr="00522402">
        <w:rPr>
          <w:color w:val="000000"/>
          <w:lang w:val="en-GB"/>
        </w:rPr>
        <w:t>t</w:t>
      </w:r>
      <w:r w:rsidR="00193834" w:rsidRPr="00AD07F4">
        <w:rPr>
          <w:color w:val="000000"/>
          <w:lang w:val="en-GB"/>
        </w:rPr>
        <w:t xml:space="preserve"> </w:t>
      </w:r>
      <w:r w:rsidRPr="00AD07F4">
        <w:rPr>
          <w:color w:val="000000"/>
          <w:lang w:val="en-GB"/>
        </w:rPr>
        <w:t xml:space="preserve">outlines UNDP contributions to national results and serves as the primary unit of accountability to the Executive Board for results alignment and resources assigned to the programme at </w:t>
      </w:r>
      <w:r w:rsidR="00193834" w:rsidRPr="00CA06FC">
        <w:rPr>
          <w:color w:val="000000"/>
          <w:lang w:val="en-GB"/>
        </w:rPr>
        <w:t xml:space="preserve">the </w:t>
      </w:r>
      <w:r w:rsidRPr="00AD07F4">
        <w:rPr>
          <w:color w:val="000000"/>
          <w:lang w:val="en-GB"/>
        </w:rPr>
        <w:t>country level. Accountabilities of managers at country, regional and headquarter</w:t>
      </w:r>
      <w:r w:rsidR="00193834" w:rsidRPr="00CA06FC">
        <w:rPr>
          <w:color w:val="000000"/>
          <w:lang w:val="en-GB"/>
        </w:rPr>
        <w:t>s</w:t>
      </w:r>
      <w:r w:rsidRPr="00AD07F4">
        <w:rPr>
          <w:color w:val="000000"/>
          <w:lang w:val="en-GB"/>
        </w:rPr>
        <w:t xml:space="preserve"> levels with respect to country programmes </w:t>
      </w:r>
      <w:r w:rsidR="00193834" w:rsidRPr="00CA06FC">
        <w:rPr>
          <w:color w:val="000000"/>
          <w:lang w:val="en-GB"/>
        </w:rPr>
        <w:t>are</w:t>
      </w:r>
      <w:r w:rsidR="00193834" w:rsidRPr="00AD07F4">
        <w:rPr>
          <w:color w:val="000000"/>
          <w:lang w:val="en-GB"/>
        </w:rPr>
        <w:t xml:space="preserve"> </w:t>
      </w:r>
      <w:r w:rsidRPr="00AD07F4">
        <w:rPr>
          <w:color w:val="000000"/>
          <w:lang w:val="en-GB"/>
        </w:rPr>
        <w:t xml:space="preserve">prescribed in the </w:t>
      </w:r>
      <w:r w:rsidR="00193834" w:rsidRPr="00CA06FC">
        <w:rPr>
          <w:color w:val="000000"/>
          <w:lang w:val="en-GB"/>
        </w:rPr>
        <w:t>UNDP</w:t>
      </w:r>
      <w:r w:rsidR="00193834" w:rsidRPr="00AD07F4">
        <w:rPr>
          <w:color w:val="000000"/>
          <w:lang w:val="en-GB"/>
        </w:rPr>
        <w:t xml:space="preserve"> </w:t>
      </w:r>
      <w:hyperlink r:id="rId12" w:history="1">
        <w:r w:rsidRPr="00AD07F4">
          <w:rPr>
            <w:rStyle w:val="Hyperlink"/>
            <w:color w:val="auto"/>
            <w:lang w:val="en-GB"/>
          </w:rPr>
          <w:t>programme and operations policies and procedures</w:t>
        </w:r>
      </w:hyperlink>
      <w:r w:rsidR="00DC22DC" w:rsidRPr="00AD07F4">
        <w:rPr>
          <w:rStyle w:val="Hyperlink"/>
          <w:color w:val="auto"/>
          <w:lang w:val="en-GB"/>
        </w:rPr>
        <w:t>,</w:t>
      </w:r>
      <w:r w:rsidRPr="00AD07F4">
        <w:rPr>
          <w:lang w:val="en-GB"/>
        </w:rPr>
        <w:t xml:space="preserve"> and </w:t>
      </w:r>
      <w:r w:rsidR="00193834" w:rsidRPr="00CA06FC">
        <w:rPr>
          <w:lang w:val="en-GB"/>
        </w:rPr>
        <w:t>the i</w:t>
      </w:r>
      <w:hyperlink r:id="rId13" w:history="1">
        <w:r w:rsidRPr="00AD07F4">
          <w:rPr>
            <w:rStyle w:val="Hyperlink"/>
            <w:color w:val="auto"/>
            <w:lang w:val="en-GB"/>
          </w:rPr>
          <w:t xml:space="preserve">nternal </w:t>
        </w:r>
        <w:r w:rsidR="00193834" w:rsidRPr="002921ED">
          <w:rPr>
            <w:rStyle w:val="Hyperlink"/>
            <w:color w:val="auto"/>
            <w:lang w:val="en-GB"/>
          </w:rPr>
          <w:t>c</w:t>
        </w:r>
        <w:r w:rsidRPr="00AD07F4">
          <w:rPr>
            <w:rStyle w:val="Hyperlink"/>
            <w:color w:val="auto"/>
            <w:lang w:val="en-GB"/>
          </w:rPr>
          <w:t xml:space="preserve">ontrol </w:t>
        </w:r>
        <w:r w:rsidR="00193834" w:rsidRPr="002921ED">
          <w:rPr>
            <w:rStyle w:val="Hyperlink"/>
            <w:color w:val="auto"/>
            <w:lang w:val="en-GB"/>
          </w:rPr>
          <w:t>f</w:t>
        </w:r>
        <w:r w:rsidRPr="00AD07F4">
          <w:rPr>
            <w:rStyle w:val="Hyperlink"/>
            <w:color w:val="auto"/>
            <w:lang w:val="en-GB"/>
          </w:rPr>
          <w:t>ramework</w:t>
        </w:r>
      </w:hyperlink>
      <w:r w:rsidRPr="00AD07F4">
        <w:rPr>
          <w:lang w:val="en-GB"/>
        </w:rPr>
        <w:t>.</w:t>
      </w:r>
    </w:p>
    <w:p w:rsidR="00186048" w:rsidRPr="00AD07F4" w:rsidRDefault="00186048" w:rsidP="00410AA4">
      <w:pPr>
        <w:pStyle w:val="ListParagraph"/>
        <w:tabs>
          <w:tab w:val="left" w:pos="1080"/>
        </w:tabs>
        <w:rPr>
          <w:color w:val="000000"/>
          <w:lang w:val="en-GB"/>
        </w:rPr>
      </w:pPr>
    </w:p>
    <w:p w:rsidR="00B30549" w:rsidRPr="00AD07F4" w:rsidRDefault="00B30549" w:rsidP="00410AA4">
      <w:pPr>
        <w:pStyle w:val="Heading1"/>
        <w:tabs>
          <w:tab w:val="left" w:pos="1080"/>
          <w:tab w:val="left" w:pos="1800"/>
        </w:tabs>
        <w:spacing w:after="120"/>
        <w:ind w:left="720" w:right="1264" w:hanging="540"/>
        <w:jc w:val="both"/>
        <w:rPr>
          <w:rFonts w:ascii="Times New Roman" w:hAnsi="Times New Roman"/>
          <w:color w:val="000000"/>
          <w:szCs w:val="28"/>
          <w:lang w:val="en-GB"/>
        </w:rPr>
      </w:pPr>
      <w:r w:rsidRPr="00AD07F4">
        <w:rPr>
          <w:rFonts w:ascii="Times New Roman" w:hAnsi="Times New Roman"/>
          <w:color w:val="000000"/>
          <w:szCs w:val="28"/>
          <w:lang w:val="en-GB"/>
        </w:rPr>
        <w:t xml:space="preserve">IV. </w:t>
      </w:r>
      <w:r w:rsidR="00186048" w:rsidRPr="00AD07F4">
        <w:rPr>
          <w:rFonts w:ascii="Times New Roman" w:hAnsi="Times New Roman"/>
          <w:color w:val="000000"/>
          <w:szCs w:val="28"/>
          <w:lang w:val="en-GB"/>
        </w:rPr>
        <w:tab/>
      </w:r>
      <w:r w:rsidRPr="00AD07F4">
        <w:rPr>
          <w:rFonts w:ascii="Times New Roman" w:hAnsi="Times New Roman"/>
          <w:color w:val="000000"/>
          <w:szCs w:val="28"/>
          <w:lang w:val="en-GB"/>
        </w:rPr>
        <w:t xml:space="preserve">Monitoring and </w:t>
      </w:r>
      <w:r w:rsidR="00FE2C04" w:rsidRPr="00AD07F4">
        <w:rPr>
          <w:rFonts w:ascii="Times New Roman" w:hAnsi="Times New Roman"/>
          <w:color w:val="000000"/>
          <w:szCs w:val="28"/>
          <w:lang w:val="en-GB"/>
        </w:rPr>
        <w:t>e</w:t>
      </w:r>
      <w:r w:rsidRPr="00AD07F4">
        <w:rPr>
          <w:rFonts w:ascii="Times New Roman" w:hAnsi="Times New Roman"/>
          <w:color w:val="000000"/>
          <w:szCs w:val="28"/>
          <w:lang w:val="en-GB"/>
        </w:rPr>
        <w:t>valuation</w:t>
      </w:r>
    </w:p>
    <w:p w:rsidR="00E93AEA" w:rsidRPr="00AD07F4" w:rsidRDefault="00225FE8" w:rsidP="00410AA4">
      <w:pPr>
        <w:numPr>
          <w:ilvl w:val="0"/>
          <w:numId w:val="8"/>
        </w:numPr>
        <w:tabs>
          <w:tab w:val="left" w:pos="1080"/>
        </w:tabs>
        <w:ind w:left="720" w:right="810" w:firstLine="0"/>
        <w:jc w:val="both"/>
        <w:rPr>
          <w:lang w:val="en-GB"/>
        </w:rPr>
      </w:pPr>
      <w:r w:rsidRPr="00AD07F4">
        <w:rPr>
          <w:lang w:val="en-GB"/>
        </w:rPr>
        <w:t>G</w:t>
      </w:r>
      <w:r w:rsidR="009F5F2A" w:rsidRPr="00AD07F4">
        <w:rPr>
          <w:lang w:val="en-GB"/>
        </w:rPr>
        <w:t xml:space="preserve">uided by a </w:t>
      </w:r>
      <w:r w:rsidR="00193834" w:rsidRPr="00CA06FC">
        <w:rPr>
          <w:lang w:val="en-GB"/>
        </w:rPr>
        <w:t>r</w:t>
      </w:r>
      <w:r w:rsidR="009F5F2A" w:rsidRPr="00AD07F4">
        <w:rPr>
          <w:lang w:val="en-GB"/>
        </w:rPr>
        <w:t>esults-</w:t>
      </w:r>
      <w:r w:rsidR="00193834" w:rsidRPr="00CA06FC">
        <w:rPr>
          <w:lang w:val="en-GB"/>
        </w:rPr>
        <w:t>b</w:t>
      </w:r>
      <w:r w:rsidR="009F5F2A" w:rsidRPr="00AD07F4">
        <w:rPr>
          <w:lang w:val="en-GB"/>
        </w:rPr>
        <w:t xml:space="preserve">ased </w:t>
      </w:r>
      <w:r w:rsidR="00193834" w:rsidRPr="00CA06FC">
        <w:rPr>
          <w:lang w:val="en-GB"/>
        </w:rPr>
        <w:t>m</w:t>
      </w:r>
      <w:r w:rsidR="00DF5AEB" w:rsidRPr="00AD07F4">
        <w:rPr>
          <w:lang w:val="en-GB"/>
        </w:rPr>
        <w:t>anagement</w:t>
      </w:r>
      <w:r w:rsidR="009F5F2A" w:rsidRPr="00AD07F4">
        <w:rPr>
          <w:lang w:val="en-GB"/>
        </w:rPr>
        <w:t xml:space="preserve"> approach</w:t>
      </w:r>
      <w:r w:rsidRPr="00AD07F4">
        <w:rPr>
          <w:lang w:val="en-GB"/>
        </w:rPr>
        <w:t>, t</w:t>
      </w:r>
      <w:r w:rsidR="009F5F2A" w:rsidRPr="00AD07F4">
        <w:rPr>
          <w:lang w:val="en-GB"/>
        </w:rPr>
        <w:t xml:space="preserve">he </w:t>
      </w:r>
      <w:r w:rsidR="00193834" w:rsidRPr="00CA06FC">
        <w:rPr>
          <w:lang w:val="en-GB"/>
        </w:rPr>
        <w:t>country programme</w:t>
      </w:r>
      <w:r w:rsidR="00193834" w:rsidRPr="00AD07F4">
        <w:rPr>
          <w:lang w:val="en-GB"/>
        </w:rPr>
        <w:t xml:space="preserve"> </w:t>
      </w:r>
      <w:r w:rsidR="009F5F2A" w:rsidRPr="00AD07F4">
        <w:rPr>
          <w:lang w:val="en-GB"/>
        </w:rPr>
        <w:t>monitoring and evaluation platform</w:t>
      </w:r>
      <w:r w:rsidR="005E1E7D" w:rsidRPr="00AD07F4">
        <w:rPr>
          <w:rStyle w:val="FootnoteReference"/>
          <w:lang w:val="en-GB"/>
        </w:rPr>
        <w:footnoteReference w:id="45"/>
      </w:r>
      <w:r w:rsidR="005E1E7D" w:rsidRPr="00AD07F4">
        <w:rPr>
          <w:lang w:val="en-GB"/>
        </w:rPr>
        <w:t xml:space="preserve"> </w:t>
      </w:r>
      <w:r w:rsidR="009F5F2A" w:rsidRPr="00AD07F4">
        <w:rPr>
          <w:lang w:val="en-GB"/>
        </w:rPr>
        <w:t xml:space="preserve">will be aligned with the </w:t>
      </w:r>
      <w:r w:rsidR="00193834" w:rsidRPr="00CA06FC">
        <w:rPr>
          <w:lang w:val="en-GB"/>
        </w:rPr>
        <w:t>monitoring and eva</w:t>
      </w:r>
      <w:r w:rsidR="002921ED">
        <w:rPr>
          <w:lang w:val="en-GB"/>
        </w:rPr>
        <w:t>luation framework of the United </w:t>
      </w:r>
      <w:r w:rsidR="00193834" w:rsidRPr="00CA06FC">
        <w:rPr>
          <w:lang w:val="en-GB"/>
        </w:rPr>
        <w:t xml:space="preserve">Nations Development Framework </w:t>
      </w:r>
      <w:r w:rsidR="004966D3" w:rsidRPr="00AD07F4">
        <w:rPr>
          <w:lang w:val="en-GB"/>
        </w:rPr>
        <w:t xml:space="preserve">and </w:t>
      </w:r>
      <w:r w:rsidR="009F5F2A" w:rsidRPr="00AD07F4">
        <w:rPr>
          <w:lang w:val="en-GB"/>
        </w:rPr>
        <w:t xml:space="preserve">the national system. </w:t>
      </w:r>
      <w:r w:rsidR="002E7856" w:rsidRPr="00AD07F4">
        <w:rPr>
          <w:lang w:val="en-GB"/>
        </w:rPr>
        <w:t xml:space="preserve">Most of the data to monitor </w:t>
      </w:r>
      <w:r w:rsidR="002E7856" w:rsidRPr="00AD07F4">
        <w:rPr>
          <w:lang w:val="en-GB"/>
        </w:rPr>
        <w:lastRenderedPageBreak/>
        <w:t xml:space="preserve">UNDP support at </w:t>
      </w:r>
      <w:r w:rsidR="00193834" w:rsidRPr="00CA06FC">
        <w:rPr>
          <w:lang w:val="en-GB"/>
        </w:rPr>
        <w:t>th</w:t>
      </w:r>
      <w:r w:rsidR="00193834" w:rsidRPr="00522402">
        <w:rPr>
          <w:lang w:val="en-GB"/>
        </w:rPr>
        <w:t xml:space="preserve">e </w:t>
      </w:r>
      <w:r w:rsidR="002E7856" w:rsidRPr="00AD07F4">
        <w:rPr>
          <w:lang w:val="en-GB"/>
        </w:rPr>
        <w:t>outcome level is sourced from national systems</w:t>
      </w:r>
      <w:r w:rsidR="00E0376A" w:rsidRPr="00AD07F4">
        <w:rPr>
          <w:lang w:val="en-GB"/>
        </w:rPr>
        <w:t>.</w:t>
      </w:r>
      <w:r w:rsidR="00E73956" w:rsidRPr="00AD07F4">
        <w:rPr>
          <w:rStyle w:val="FootnoteReference"/>
          <w:lang w:val="en-GB"/>
        </w:rPr>
        <w:footnoteReference w:id="46"/>
      </w:r>
      <w:r w:rsidR="002E7856" w:rsidRPr="00AD07F4">
        <w:rPr>
          <w:lang w:val="en-GB"/>
        </w:rPr>
        <w:t xml:space="preserve"> UNDP</w:t>
      </w:r>
      <w:r w:rsidR="005E1E7D" w:rsidRPr="00AD07F4">
        <w:rPr>
          <w:lang w:val="en-GB"/>
        </w:rPr>
        <w:t>, collaborating with partners</w:t>
      </w:r>
      <w:r w:rsidR="00193834" w:rsidRPr="00CA06FC">
        <w:rPr>
          <w:lang w:val="en-GB"/>
        </w:rPr>
        <w:t>,</w:t>
      </w:r>
      <w:r w:rsidR="005E1E7D" w:rsidRPr="00AD07F4">
        <w:rPr>
          <w:rStyle w:val="FootnoteReference"/>
          <w:lang w:val="en-GB"/>
        </w:rPr>
        <w:footnoteReference w:id="47"/>
      </w:r>
      <w:r w:rsidR="002E7856" w:rsidRPr="00AD07F4">
        <w:rPr>
          <w:lang w:val="en-GB"/>
        </w:rPr>
        <w:t xml:space="preserve"> will strengthen national statistical capacity</w:t>
      </w:r>
      <w:r w:rsidR="005E1E7D" w:rsidRPr="00AD07F4">
        <w:rPr>
          <w:lang w:val="en-GB"/>
        </w:rPr>
        <w:t>.</w:t>
      </w:r>
      <w:r w:rsidR="00E73956" w:rsidRPr="00AD07F4">
        <w:rPr>
          <w:lang w:val="en-GB"/>
        </w:rPr>
        <w:t xml:space="preserve"> This </w:t>
      </w:r>
      <w:r w:rsidR="002921ED">
        <w:rPr>
          <w:lang w:val="en-GB"/>
        </w:rPr>
        <w:t>will</w:t>
      </w:r>
      <w:r w:rsidR="002921ED" w:rsidRPr="00AD07F4">
        <w:rPr>
          <w:lang w:val="en-GB"/>
        </w:rPr>
        <w:t xml:space="preserve"> </w:t>
      </w:r>
      <w:r w:rsidR="00E73956" w:rsidRPr="00AD07F4">
        <w:rPr>
          <w:lang w:val="en-GB"/>
        </w:rPr>
        <w:t xml:space="preserve">enable the country to </w:t>
      </w:r>
      <w:r w:rsidR="002B0B55" w:rsidRPr="00AD07F4">
        <w:rPr>
          <w:lang w:val="en-GB"/>
        </w:rPr>
        <w:t xml:space="preserve">monitor its own national development plan </w:t>
      </w:r>
      <w:r w:rsidR="00DF5AEB" w:rsidRPr="00AD07F4">
        <w:rPr>
          <w:lang w:val="en-GB"/>
        </w:rPr>
        <w:t>and</w:t>
      </w:r>
      <w:r w:rsidR="002B0B55" w:rsidRPr="00AD07F4">
        <w:rPr>
          <w:lang w:val="en-GB"/>
        </w:rPr>
        <w:t xml:space="preserve"> </w:t>
      </w:r>
      <w:r w:rsidR="00E73956" w:rsidRPr="00AD07F4">
        <w:rPr>
          <w:lang w:val="en-GB"/>
        </w:rPr>
        <w:t xml:space="preserve">report on </w:t>
      </w:r>
      <w:r w:rsidR="00193834" w:rsidRPr="00CA06FC">
        <w:rPr>
          <w:lang w:val="en-GB"/>
        </w:rPr>
        <w:t>progress towards the su</w:t>
      </w:r>
      <w:r w:rsidR="00193834" w:rsidRPr="00522402">
        <w:rPr>
          <w:lang w:val="en-GB"/>
        </w:rPr>
        <w:t>stainable development goal</w:t>
      </w:r>
      <w:r w:rsidR="00193834" w:rsidRPr="00AD07F4">
        <w:rPr>
          <w:lang w:val="en-GB"/>
        </w:rPr>
        <w:t xml:space="preserve">s </w:t>
      </w:r>
      <w:r w:rsidR="00443428" w:rsidRPr="00AD07F4">
        <w:rPr>
          <w:lang w:val="en-GB"/>
        </w:rPr>
        <w:t>and</w:t>
      </w:r>
      <w:r w:rsidR="00E73956" w:rsidRPr="00AD07F4">
        <w:rPr>
          <w:lang w:val="en-GB"/>
        </w:rPr>
        <w:t xml:space="preserve"> </w:t>
      </w:r>
      <w:r w:rsidR="00193834" w:rsidRPr="00CA06FC">
        <w:rPr>
          <w:lang w:val="en-GB"/>
        </w:rPr>
        <w:t>United Nations Development Assistance Framework and country programme</w:t>
      </w:r>
      <w:r w:rsidR="00912280" w:rsidRPr="00AD07F4">
        <w:rPr>
          <w:lang w:val="en-GB"/>
        </w:rPr>
        <w:t xml:space="preserve"> outcome</w:t>
      </w:r>
      <w:r w:rsidR="00193834" w:rsidRPr="00CA06FC">
        <w:rPr>
          <w:lang w:val="en-GB"/>
        </w:rPr>
        <w:t>-</w:t>
      </w:r>
      <w:r w:rsidR="00912280" w:rsidRPr="00AD07F4">
        <w:rPr>
          <w:lang w:val="en-GB"/>
        </w:rPr>
        <w:t>level indicators</w:t>
      </w:r>
      <w:r w:rsidR="00E73956" w:rsidRPr="00AD07F4">
        <w:rPr>
          <w:lang w:val="en-GB"/>
        </w:rPr>
        <w:t xml:space="preserve">. </w:t>
      </w:r>
      <w:r w:rsidR="002E7856" w:rsidRPr="00AD07F4">
        <w:rPr>
          <w:lang w:val="en-GB"/>
        </w:rPr>
        <w:t xml:space="preserve"> </w:t>
      </w:r>
    </w:p>
    <w:p w:rsidR="00E93AEA" w:rsidRPr="00AD07F4" w:rsidRDefault="00E93AEA" w:rsidP="00410AA4">
      <w:pPr>
        <w:tabs>
          <w:tab w:val="left" w:pos="1080"/>
        </w:tabs>
        <w:ind w:left="720" w:right="810"/>
        <w:jc w:val="both"/>
        <w:rPr>
          <w:sz w:val="12"/>
          <w:szCs w:val="12"/>
          <w:lang w:val="en-GB"/>
        </w:rPr>
      </w:pPr>
    </w:p>
    <w:p w:rsidR="00E93AEA" w:rsidRPr="00AD07F4" w:rsidRDefault="00C9757A" w:rsidP="00410AA4">
      <w:pPr>
        <w:numPr>
          <w:ilvl w:val="0"/>
          <w:numId w:val="8"/>
        </w:numPr>
        <w:tabs>
          <w:tab w:val="left" w:pos="1080"/>
        </w:tabs>
        <w:ind w:left="720" w:right="810" w:firstLine="0"/>
        <w:jc w:val="both"/>
        <w:rPr>
          <w:lang w:val="en-GB"/>
        </w:rPr>
      </w:pPr>
      <w:r w:rsidRPr="00AD07F4">
        <w:rPr>
          <w:lang w:val="en-GB"/>
        </w:rPr>
        <w:t>T</w:t>
      </w:r>
      <w:r w:rsidR="009F5F2A" w:rsidRPr="00AD07F4">
        <w:rPr>
          <w:lang w:val="en-GB"/>
        </w:rPr>
        <w:t xml:space="preserve">he country office will strengthen in-house capacity for data collection, analysis and utilization to track the contribution of the programme to transformative change. At least 5 </w:t>
      </w:r>
      <w:r w:rsidR="009B2CD4" w:rsidRPr="00AD07F4">
        <w:rPr>
          <w:lang w:val="en-GB"/>
        </w:rPr>
        <w:t>per</w:t>
      </w:r>
      <w:r w:rsidR="009C7FB5" w:rsidRPr="00CA06FC">
        <w:rPr>
          <w:lang w:val="en-GB"/>
        </w:rPr>
        <w:t xml:space="preserve"> </w:t>
      </w:r>
      <w:r w:rsidR="009F5F2A" w:rsidRPr="00AD07F4">
        <w:rPr>
          <w:lang w:val="en-GB"/>
        </w:rPr>
        <w:t xml:space="preserve">cent of programme resources will be earmarked to cover costs of monitoring, evaluation and relevant studies. </w:t>
      </w:r>
      <w:r w:rsidR="009C7FB5" w:rsidRPr="00CA06FC">
        <w:rPr>
          <w:lang w:val="en-GB"/>
        </w:rPr>
        <w:t xml:space="preserve">The </w:t>
      </w:r>
      <w:r w:rsidR="006F01D6" w:rsidRPr="00AD07F4">
        <w:rPr>
          <w:lang w:val="en-GB"/>
        </w:rPr>
        <w:t xml:space="preserve">UNDP </w:t>
      </w:r>
      <w:r w:rsidR="009C7FB5" w:rsidRPr="00CA06FC">
        <w:rPr>
          <w:lang w:val="en-GB"/>
        </w:rPr>
        <w:t>g</w:t>
      </w:r>
      <w:r w:rsidR="006F01D6" w:rsidRPr="00AD07F4">
        <w:rPr>
          <w:lang w:val="en-GB"/>
        </w:rPr>
        <w:t xml:space="preserve">ender </w:t>
      </w:r>
      <w:r w:rsidR="009C7FB5" w:rsidRPr="00CA06FC">
        <w:rPr>
          <w:lang w:val="en-GB"/>
        </w:rPr>
        <w:t>m</w:t>
      </w:r>
      <w:r w:rsidR="006F01D6" w:rsidRPr="00AD07F4">
        <w:rPr>
          <w:lang w:val="en-GB"/>
        </w:rPr>
        <w:t xml:space="preserve">arker will be used to monitor </w:t>
      </w:r>
      <w:r w:rsidR="009C7FB5" w:rsidRPr="00CA06FC">
        <w:rPr>
          <w:lang w:val="en-GB"/>
        </w:rPr>
        <w:t>c</w:t>
      </w:r>
      <w:r w:rsidR="006F01D6" w:rsidRPr="00AD07F4">
        <w:rPr>
          <w:lang w:val="en-GB"/>
        </w:rPr>
        <w:t xml:space="preserve">ountry </w:t>
      </w:r>
      <w:r w:rsidR="009C7FB5" w:rsidRPr="00CA06FC">
        <w:rPr>
          <w:lang w:val="en-GB"/>
        </w:rPr>
        <w:t>p</w:t>
      </w:r>
      <w:r w:rsidR="006F01D6" w:rsidRPr="00AD07F4">
        <w:rPr>
          <w:lang w:val="en-GB"/>
        </w:rPr>
        <w:t xml:space="preserve">rogramme expenditures and improve planning and decision-making. </w:t>
      </w:r>
      <w:r w:rsidR="009F5F2A" w:rsidRPr="00AD07F4">
        <w:rPr>
          <w:lang w:val="en-GB"/>
        </w:rPr>
        <w:t xml:space="preserve">The new country programme will intensify efforts in monitoring and operationalizing real-time, </w:t>
      </w:r>
      <w:r w:rsidR="002921ED">
        <w:t>specific, measurable, attainable, relevant and trackable</w:t>
      </w:r>
      <w:r w:rsidR="002921ED" w:rsidRPr="002921ED">
        <w:rPr>
          <w:lang w:val="en-GB"/>
        </w:rPr>
        <w:t xml:space="preserve"> </w:t>
      </w:r>
      <w:r w:rsidR="006F01D6" w:rsidRPr="00AD07F4">
        <w:rPr>
          <w:lang w:val="en-GB"/>
        </w:rPr>
        <w:t>gender</w:t>
      </w:r>
      <w:r w:rsidR="009C7FB5" w:rsidRPr="00CA06FC">
        <w:rPr>
          <w:lang w:val="en-GB"/>
        </w:rPr>
        <w:t>-</w:t>
      </w:r>
      <w:r w:rsidR="006F01D6" w:rsidRPr="00AD07F4">
        <w:rPr>
          <w:lang w:val="en-GB"/>
        </w:rPr>
        <w:t xml:space="preserve">disaggregated </w:t>
      </w:r>
      <w:r w:rsidR="009F5F2A" w:rsidRPr="00AD07F4">
        <w:rPr>
          <w:lang w:val="en-GB"/>
        </w:rPr>
        <w:t>data collection for continuous assessment of UNDP contributions</w:t>
      </w:r>
      <w:r w:rsidR="0055052E" w:rsidRPr="00AD07F4">
        <w:rPr>
          <w:lang w:val="en-GB"/>
        </w:rPr>
        <w:t>.</w:t>
      </w:r>
      <w:r w:rsidR="009F5F2A" w:rsidRPr="00AD07F4">
        <w:rPr>
          <w:lang w:val="en-GB"/>
        </w:rPr>
        <w:t xml:space="preserve"> </w:t>
      </w:r>
    </w:p>
    <w:p w:rsidR="0055052E" w:rsidRPr="00AD07F4" w:rsidRDefault="0055052E" w:rsidP="00410AA4">
      <w:pPr>
        <w:tabs>
          <w:tab w:val="left" w:pos="1080"/>
        </w:tabs>
        <w:ind w:left="720" w:right="810"/>
        <w:jc w:val="both"/>
        <w:rPr>
          <w:sz w:val="12"/>
          <w:szCs w:val="12"/>
          <w:lang w:val="en-GB"/>
        </w:rPr>
      </w:pPr>
    </w:p>
    <w:p w:rsidR="009F5F2A" w:rsidRPr="002921ED" w:rsidRDefault="00960B95" w:rsidP="00410AA4">
      <w:pPr>
        <w:pStyle w:val="Default"/>
        <w:numPr>
          <w:ilvl w:val="0"/>
          <w:numId w:val="8"/>
        </w:numPr>
        <w:tabs>
          <w:tab w:val="left" w:pos="1080"/>
        </w:tabs>
        <w:ind w:left="720" w:right="810" w:firstLine="0"/>
        <w:jc w:val="both"/>
        <w:rPr>
          <w:rFonts w:ascii="Times New Roman" w:hAnsi="Times New Roman" w:cs="Times New Roman"/>
          <w:color w:val="auto"/>
          <w:sz w:val="20"/>
          <w:szCs w:val="20"/>
        </w:rPr>
      </w:pPr>
      <w:r w:rsidRPr="00CA06FC">
        <w:rPr>
          <w:rFonts w:ascii="Times New Roman" w:hAnsi="Times New Roman"/>
          <w:color w:val="auto"/>
          <w:sz w:val="20"/>
        </w:rPr>
        <w:t>A communication s</w:t>
      </w:r>
      <w:r w:rsidRPr="00522402">
        <w:rPr>
          <w:rFonts w:ascii="Times New Roman" w:hAnsi="Times New Roman"/>
          <w:color w:val="auto"/>
          <w:sz w:val="20"/>
        </w:rPr>
        <w:t xml:space="preserve">trategy </w:t>
      </w:r>
      <w:r w:rsidRPr="00522402">
        <w:rPr>
          <w:rFonts w:ascii="Times New Roman" w:hAnsi="Times New Roman" w:cs="Times New Roman"/>
          <w:color w:val="auto"/>
          <w:sz w:val="20"/>
          <w:szCs w:val="20"/>
        </w:rPr>
        <w:t xml:space="preserve">linked </w:t>
      </w:r>
      <w:r w:rsidR="00DF5AEB" w:rsidRPr="00522402">
        <w:rPr>
          <w:rFonts w:ascii="Times New Roman" w:hAnsi="Times New Roman" w:cs="Times New Roman"/>
          <w:color w:val="auto"/>
          <w:sz w:val="20"/>
          <w:szCs w:val="20"/>
        </w:rPr>
        <w:t xml:space="preserve">to the </w:t>
      </w:r>
      <w:r w:rsidRPr="00522402">
        <w:rPr>
          <w:rFonts w:ascii="Times New Roman" w:hAnsi="Times New Roman" w:cs="Times New Roman"/>
          <w:color w:val="auto"/>
          <w:sz w:val="20"/>
          <w:szCs w:val="20"/>
        </w:rPr>
        <w:t>partnership</w:t>
      </w:r>
      <w:r w:rsidR="009C7FB5" w:rsidRPr="002921ED">
        <w:rPr>
          <w:rFonts w:ascii="Times New Roman" w:hAnsi="Times New Roman" w:cs="Times New Roman"/>
          <w:color w:val="auto"/>
          <w:sz w:val="20"/>
          <w:szCs w:val="20"/>
        </w:rPr>
        <w:t xml:space="preserve"> and </w:t>
      </w:r>
      <w:r w:rsidRPr="002921ED">
        <w:rPr>
          <w:rFonts w:ascii="Times New Roman" w:hAnsi="Times New Roman" w:cs="Times New Roman"/>
          <w:color w:val="auto"/>
          <w:sz w:val="20"/>
          <w:szCs w:val="20"/>
        </w:rPr>
        <w:t>resource mobilization strateg</w:t>
      </w:r>
      <w:r w:rsidR="009C7FB5" w:rsidRPr="002921ED">
        <w:rPr>
          <w:rFonts w:ascii="Times New Roman" w:hAnsi="Times New Roman" w:cs="Times New Roman"/>
          <w:color w:val="auto"/>
          <w:sz w:val="20"/>
          <w:szCs w:val="20"/>
        </w:rPr>
        <w:t>ies</w:t>
      </w:r>
      <w:r w:rsidRPr="002921ED">
        <w:rPr>
          <w:rFonts w:ascii="Times New Roman" w:hAnsi="Times New Roman" w:cs="Times New Roman"/>
          <w:color w:val="auto"/>
          <w:sz w:val="20"/>
          <w:szCs w:val="20"/>
        </w:rPr>
        <w:t xml:space="preserve"> </w:t>
      </w:r>
      <w:r w:rsidRPr="002921ED">
        <w:rPr>
          <w:rFonts w:ascii="Times New Roman" w:hAnsi="Times New Roman"/>
          <w:color w:val="auto"/>
          <w:sz w:val="20"/>
        </w:rPr>
        <w:t xml:space="preserve">will be formulated to </w:t>
      </w:r>
      <w:r w:rsidR="009C7FB5" w:rsidRPr="002921ED">
        <w:rPr>
          <w:rFonts w:ascii="Times New Roman" w:hAnsi="Times New Roman"/>
          <w:color w:val="auto"/>
          <w:sz w:val="20"/>
        </w:rPr>
        <w:t xml:space="preserve">increase the </w:t>
      </w:r>
      <w:r w:rsidRPr="002921ED">
        <w:rPr>
          <w:rFonts w:ascii="Times New Roman" w:hAnsi="Times New Roman"/>
          <w:color w:val="auto"/>
          <w:sz w:val="20"/>
        </w:rPr>
        <w:t>transparency, visibility and impact of UNDP interventions, a</w:t>
      </w:r>
      <w:r w:rsidR="00DF5AEB" w:rsidRPr="002921ED">
        <w:rPr>
          <w:rFonts w:ascii="Times New Roman" w:hAnsi="Times New Roman"/>
          <w:color w:val="auto"/>
          <w:sz w:val="20"/>
        </w:rPr>
        <w:t>nd</w:t>
      </w:r>
      <w:r w:rsidRPr="002921ED">
        <w:rPr>
          <w:rFonts w:ascii="Times New Roman" w:hAnsi="Times New Roman"/>
          <w:color w:val="auto"/>
          <w:sz w:val="20"/>
        </w:rPr>
        <w:t xml:space="preserve"> thought leadership in priority programme areas.</w:t>
      </w:r>
    </w:p>
    <w:p w:rsidR="00186048" w:rsidRPr="00AD07F4" w:rsidRDefault="00186048" w:rsidP="00410AA4">
      <w:pPr>
        <w:pStyle w:val="ListParagraph"/>
        <w:tabs>
          <w:tab w:val="left" w:pos="1080"/>
        </w:tabs>
        <w:rPr>
          <w:sz w:val="12"/>
          <w:szCs w:val="12"/>
          <w:lang w:val="en-GB"/>
        </w:rPr>
      </w:pPr>
    </w:p>
    <w:p w:rsidR="006778A1" w:rsidRPr="00AD07F4" w:rsidRDefault="009C7FB5" w:rsidP="00410AA4">
      <w:pPr>
        <w:pStyle w:val="Default"/>
        <w:numPr>
          <w:ilvl w:val="0"/>
          <w:numId w:val="8"/>
        </w:numPr>
        <w:tabs>
          <w:tab w:val="left" w:pos="1080"/>
        </w:tabs>
        <w:ind w:left="720" w:right="810" w:firstLine="0"/>
        <w:jc w:val="both"/>
        <w:rPr>
          <w:rFonts w:ascii="Times New Roman" w:eastAsia="Times New Roman" w:hAnsi="Times New Roman" w:cs="Times New Roman"/>
          <w:sz w:val="20"/>
          <w:szCs w:val="20"/>
        </w:rPr>
      </w:pPr>
      <w:r w:rsidRPr="00AD07F4">
        <w:rPr>
          <w:rFonts w:ascii="Times New Roman" w:eastAsia="Times New Roman" w:hAnsi="Times New Roman" w:cs="Times New Roman"/>
          <w:sz w:val="20"/>
          <w:szCs w:val="20"/>
        </w:rPr>
        <w:t>U</w:t>
      </w:r>
      <w:r w:rsidRPr="00CA06FC">
        <w:rPr>
          <w:rFonts w:ascii="Times New Roman" w:eastAsia="Times New Roman" w:hAnsi="Times New Roman" w:cs="Times New Roman"/>
          <w:sz w:val="20"/>
          <w:szCs w:val="20"/>
        </w:rPr>
        <w:t>nited Nations Develop</w:t>
      </w:r>
      <w:r w:rsidRPr="00522402">
        <w:rPr>
          <w:rFonts w:ascii="Times New Roman" w:eastAsia="Times New Roman" w:hAnsi="Times New Roman" w:cs="Times New Roman"/>
          <w:sz w:val="20"/>
          <w:szCs w:val="20"/>
        </w:rPr>
        <w:t>ment Assistance Framework</w:t>
      </w:r>
      <w:r w:rsidRPr="00AD07F4">
        <w:rPr>
          <w:rFonts w:ascii="Times New Roman" w:eastAsia="Times New Roman" w:hAnsi="Times New Roman" w:cs="Times New Roman"/>
          <w:sz w:val="20"/>
          <w:szCs w:val="20"/>
        </w:rPr>
        <w:t xml:space="preserve"> </w:t>
      </w:r>
      <w:r w:rsidR="009F5F2A" w:rsidRPr="00AD07F4">
        <w:rPr>
          <w:rFonts w:ascii="Times New Roman" w:eastAsia="Times New Roman" w:hAnsi="Times New Roman" w:cs="Times New Roman"/>
          <w:sz w:val="20"/>
          <w:szCs w:val="20"/>
        </w:rPr>
        <w:t xml:space="preserve">outcome boards will oversee and continually track the progress of </w:t>
      </w:r>
      <w:r w:rsidRPr="00CA06FC">
        <w:rPr>
          <w:rFonts w:ascii="Times New Roman" w:eastAsia="Times New Roman" w:hAnsi="Times New Roman" w:cs="Times New Roman"/>
          <w:sz w:val="20"/>
          <w:szCs w:val="20"/>
        </w:rPr>
        <w:t xml:space="preserve">United Nations and </w:t>
      </w:r>
      <w:r w:rsidR="009F5F2A" w:rsidRPr="00AD07F4">
        <w:rPr>
          <w:rFonts w:ascii="Times New Roman" w:eastAsia="Times New Roman" w:hAnsi="Times New Roman" w:cs="Times New Roman"/>
          <w:sz w:val="20"/>
          <w:szCs w:val="20"/>
        </w:rPr>
        <w:t>UNDP contributions to achieving outcomes, adjust</w:t>
      </w:r>
      <w:r w:rsidRPr="00CA06FC">
        <w:rPr>
          <w:rFonts w:ascii="Times New Roman" w:eastAsia="Times New Roman" w:hAnsi="Times New Roman" w:cs="Times New Roman"/>
          <w:sz w:val="20"/>
          <w:szCs w:val="20"/>
        </w:rPr>
        <w:t>ing</w:t>
      </w:r>
      <w:r w:rsidR="009F5F2A" w:rsidRPr="00AD07F4">
        <w:rPr>
          <w:rFonts w:ascii="Times New Roman" w:eastAsia="Times New Roman" w:hAnsi="Times New Roman" w:cs="Times New Roman"/>
          <w:sz w:val="20"/>
          <w:szCs w:val="20"/>
        </w:rPr>
        <w:t xml:space="preserve"> the strategies of the country programme accordingly. </w:t>
      </w:r>
      <w:r w:rsidR="0055052E" w:rsidRPr="00AD07F4">
        <w:rPr>
          <w:rFonts w:ascii="Times New Roman" w:eastAsia="Times New Roman" w:hAnsi="Times New Roman" w:cs="Times New Roman"/>
          <w:sz w:val="20"/>
          <w:szCs w:val="20"/>
        </w:rPr>
        <w:t>T</w:t>
      </w:r>
      <w:r w:rsidR="009F5F2A" w:rsidRPr="00AD07F4">
        <w:rPr>
          <w:rFonts w:ascii="Times New Roman" w:eastAsia="Times New Roman" w:hAnsi="Times New Roman" w:cs="Times New Roman"/>
          <w:sz w:val="20"/>
          <w:szCs w:val="20"/>
        </w:rPr>
        <w:t xml:space="preserve">he </w:t>
      </w:r>
      <w:r w:rsidR="0055052E" w:rsidRPr="00AD07F4">
        <w:rPr>
          <w:rFonts w:ascii="Times New Roman" w:eastAsia="Times New Roman" w:hAnsi="Times New Roman" w:cs="Times New Roman"/>
          <w:sz w:val="20"/>
          <w:szCs w:val="20"/>
        </w:rPr>
        <w:t>U</w:t>
      </w:r>
      <w:r w:rsidRPr="00CA06FC">
        <w:rPr>
          <w:rFonts w:ascii="Times New Roman" w:eastAsia="Times New Roman" w:hAnsi="Times New Roman" w:cs="Times New Roman"/>
          <w:sz w:val="20"/>
          <w:szCs w:val="20"/>
        </w:rPr>
        <w:t>nited Nations</w:t>
      </w:r>
      <w:r w:rsidR="009F5F2A" w:rsidRPr="00AD07F4">
        <w:rPr>
          <w:rFonts w:ascii="Times New Roman" w:eastAsia="Times New Roman" w:hAnsi="Times New Roman" w:cs="Times New Roman"/>
          <w:sz w:val="20"/>
          <w:szCs w:val="20"/>
        </w:rPr>
        <w:t xml:space="preserve"> inter-agency </w:t>
      </w:r>
      <w:r w:rsidRPr="00CA06FC">
        <w:rPr>
          <w:rFonts w:ascii="Times New Roman" w:eastAsia="Times New Roman" w:hAnsi="Times New Roman" w:cs="Times New Roman"/>
          <w:sz w:val="20"/>
          <w:szCs w:val="20"/>
        </w:rPr>
        <w:t>monitoring and evaluation</w:t>
      </w:r>
      <w:r w:rsidR="009F5F2A" w:rsidRPr="00AD07F4">
        <w:rPr>
          <w:rFonts w:ascii="Times New Roman" w:eastAsia="Times New Roman" w:hAnsi="Times New Roman" w:cs="Times New Roman"/>
          <w:sz w:val="20"/>
          <w:szCs w:val="20"/>
        </w:rPr>
        <w:t xml:space="preserve"> </w:t>
      </w:r>
      <w:r w:rsidRPr="00CA06FC">
        <w:rPr>
          <w:rFonts w:ascii="Times New Roman" w:eastAsia="Times New Roman" w:hAnsi="Times New Roman" w:cs="Times New Roman"/>
          <w:sz w:val="20"/>
          <w:szCs w:val="20"/>
        </w:rPr>
        <w:t>g</w:t>
      </w:r>
      <w:r w:rsidR="009F5F2A" w:rsidRPr="00AD07F4">
        <w:rPr>
          <w:rFonts w:ascii="Times New Roman" w:eastAsia="Times New Roman" w:hAnsi="Times New Roman" w:cs="Times New Roman"/>
          <w:sz w:val="20"/>
          <w:szCs w:val="20"/>
        </w:rPr>
        <w:t xml:space="preserve">roup will </w:t>
      </w:r>
      <w:r w:rsidR="0055052E" w:rsidRPr="00AD07F4">
        <w:rPr>
          <w:rFonts w:ascii="Times New Roman" w:eastAsia="Times New Roman" w:hAnsi="Times New Roman" w:cs="Times New Roman"/>
          <w:sz w:val="20"/>
          <w:szCs w:val="20"/>
        </w:rPr>
        <w:t xml:space="preserve">monitor </w:t>
      </w:r>
      <w:r w:rsidR="009F5F2A" w:rsidRPr="00AD07F4">
        <w:rPr>
          <w:rFonts w:ascii="Times New Roman" w:eastAsia="Times New Roman" w:hAnsi="Times New Roman" w:cs="Times New Roman"/>
          <w:sz w:val="20"/>
          <w:szCs w:val="20"/>
        </w:rPr>
        <w:t>overall performance and testing of the theories of chang</w:t>
      </w:r>
      <w:r w:rsidR="00186048" w:rsidRPr="00AD07F4">
        <w:rPr>
          <w:rFonts w:ascii="Times New Roman" w:eastAsia="Times New Roman" w:hAnsi="Times New Roman" w:cs="Times New Roman"/>
          <w:sz w:val="20"/>
          <w:szCs w:val="20"/>
        </w:rPr>
        <w:t>e</w:t>
      </w:r>
      <w:r w:rsidR="00DB39A7" w:rsidRPr="00AD07F4">
        <w:rPr>
          <w:rFonts w:ascii="Times New Roman" w:eastAsia="Times New Roman" w:hAnsi="Times New Roman" w:cs="Times New Roman"/>
          <w:sz w:val="20"/>
          <w:szCs w:val="20"/>
        </w:rPr>
        <w:t xml:space="preserve">. </w:t>
      </w:r>
      <w:r w:rsidR="00977286" w:rsidRPr="00AD07F4">
        <w:rPr>
          <w:rFonts w:ascii="Times New Roman" w:eastAsia="Times New Roman" w:hAnsi="Times New Roman" w:cs="Times New Roman"/>
          <w:sz w:val="20"/>
          <w:szCs w:val="20"/>
        </w:rPr>
        <w:t xml:space="preserve">The </w:t>
      </w:r>
      <w:r w:rsidRPr="00CA06FC">
        <w:rPr>
          <w:rFonts w:ascii="Times New Roman" w:eastAsia="Times New Roman" w:hAnsi="Times New Roman" w:cs="Times New Roman"/>
          <w:sz w:val="20"/>
          <w:szCs w:val="20"/>
        </w:rPr>
        <w:t>country office</w:t>
      </w:r>
      <w:r w:rsidRPr="00AD07F4">
        <w:rPr>
          <w:rFonts w:ascii="Times New Roman" w:eastAsia="Times New Roman" w:hAnsi="Times New Roman" w:cs="Times New Roman"/>
          <w:sz w:val="20"/>
          <w:szCs w:val="20"/>
        </w:rPr>
        <w:t xml:space="preserve"> </w:t>
      </w:r>
      <w:r w:rsidR="00977286" w:rsidRPr="00AD07F4">
        <w:rPr>
          <w:rFonts w:ascii="Times New Roman" w:eastAsia="Times New Roman" w:hAnsi="Times New Roman" w:cs="Times New Roman"/>
          <w:sz w:val="20"/>
          <w:szCs w:val="20"/>
        </w:rPr>
        <w:t xml:space="preserve">will conduct </w:t>
      </w:r>
      <w:r w:rsidR="00A970C9" w:rsidRPr="00AD07F4">
        <w:rPr>
          <w:rFonts w:ascii="Times New Roman" w:eastAsia="Times New Roman" w:hAnsi="Times New Roman" w:cs="Times New Roman"/>
          <w:sz w:val="20"/>
          <w:szCs w:val="20"/>
        </w:rPr>
        <w:t>e</w:t>
      </w:r>
      <w:r w:rsidR="00977286" w:rsidRPr="00AD07F4">
        <w:rPr>
          <w:rFonts w:ascii="Times New Roman" w:eastAsia="Times New Roman" w:hAnsi="Times New Roman" w:cs="Times New Roman"/>
          <w:sz w:val="20"/>
          <w:szCs w:val="20"/>
        </w:rPr>
        <w:t>valuations to determine progress, identify lessons and challenges</w:t>
      </w:r>
      <w:r w:rsidR="00A970C9" w:rsidRPr="00AD07F4">
        <w:rPr>
          <w:rFonts w:ascii="Times New Roman" w:eastAsia="Times New Roman" w:hAnsi="Times New Roman" w:cs="Times New Roman"/>
          <w:sz w:val="20"/>
          <w:szCs w:val="20"/>
        </w:rPr>
        <w:t>,</w:t>
      </w:r>
      <w:r w:rsidR="00977286" w:rsidRPr="00AD07F4">
        <w:rPr>
          <w:rFonts w:ascii="Times New Roman" w:eastAsia="Times New Roman" w:hAnsi="Times New Roman" w:cs="Times New Roman"/>
          <w:sz w:val="20"/>
          <w:szCs w:val="20"/>
        </w:rPr>
        <w:t xml:space="preserve"> and </w:t>
      </w:r>
      <w:r w:rsidR="00C634B0" w:rsidRPr="00AD07F4">
        <w:rPr>
          <w:rFonts w:ascii="Times New Roman" w:eastAsia="Times New Roman" w:hAnsi="Times New Roman" w:cs="Times New Roman"/>
          <w:sz w:val="20"/>
          <w:szCs w:val="20"/>
        </w:rPr>
        <w:t>offer</w:t>
      </w:r>
      <w:r w:rsidR="00977286" w:rsidRPr="00AD07F4">
        <w:rPr>
          <w:rFonts w:ascii="Times New Roman" w:eastAsia="Times New Roman" w:hAnsi="Times New Roman" w:cs="Times New Roman"/>
          <w:sz w:val="20"/>
          <w:szCs w:val="20"/>
        </w:rPr>
        <w:t xml:space="preserve"> solutions. </w:t>
      </w:r>
      <w:r w:rsidRPr="00CA06FC">
        <w:rPr>
          <w:rFonts w:ascii="Times New Roman" w:eastAsia="Times New Roman" w:hAnsi="Times New Roman" w:cs="Times New Roman"/>
          <w:sz w:val="20"/>
          <w:szCs w:val="20"/>
        </w:rPr>
        <w:t>P</w:t>
      </w:r>
      <w:r w:rsidR="00977286" w:rsidRPr="00AD07F4">
        <w:rPr>
          <w:rFonts w:ascii="Times New Roman" w:eastAsia="Times New Roman" w:hAnsi="Times New Roman" w:cs="Times New Roman"/>
          <w:sz w:val="20"/>
          <w:szCs w:val="20"/>
        </w:rPr>
        <w:t>rojects will undergo systematic review</w:t>
      </w:r>
      <w:r w:rsidR="00A970C9" w:rsidRPr="00AD07F4">
        <w:rPr>
          <w:rFonts w:ascii="Times New Roman" w:eastAsia="Times New Roman" w:hAnsi="Times New Roman" w:cs="Times New Roman"/>
          <w:sz w:val="20"/>
          <w:szCs w:val="20"/>
        </w:rPr>
        <w:t>s</w:t>
      </w:r>
      <w:r w:rsidR="00977286" w:rsidRPr="00AD07F4">
        <w:rPr>
          <w:rFonts w:ascii="Times New Roman" w:eastAsia="Times New Roman" w:hAnsi="Times New Roman" w:cs="Times New Roman"/>
          <w:sz w:val="20"/>
          <w:szCs w:val="20"/>
        </w:rPr>
        <w:t xml:space="preserve"> to ensure environmental and social safeguards</w:t>
      </w:r>
      <w:r w:rsidR="007B04C7" w:rsidRPr="00AD07F4">
        <w:rPr>
          <w:rFonts w:ascii="Times New Roman" w:eastAsia="Times New Roman" w:hAnsi="Times New Roman" w:cs="Times New Roman"/>
          <w:sz w:val="20"/>
          <w:szCs w:val="20"/>
        </w:rPr>
        <w:t>.</w:t>
      </w:r>
    </w:p>
    <w:p w:rsidR="00716CAD" w:rsidRPr="00AD07F4" w:rsidRDefault="00716CAD" w:rsidP="00716CAD">
      <w:pPr>
        <w:rPr>
          <w:lang w:val="en-GB"/>
        </w:rPr>
      </w:pPr>
    </w:p>
    <w:p w:rsidR="00716CAD" w:rsidRPr="00452DC3" w:rsidRDefault="00716CAD" w:rsidP="00716CAD">
      <w:pPr>
        <w:rPr>
          <w:lang w:val="en-GB"/>
        </w:rPr>
        <w:sectPr w:rsidR="00716CAD" w:rsidRPr="00452DC3" w:rsidSect="00925F7C">
          <w:headerReference w:type="even" r:id="rId14"/>
          <w:headerReference w:type="default" r:id="rId15"/>
          <w:footerReference w:type="even" r:id="rId16"/>
          <w:footerReference w:type="default" r:id="rId17"/>
          <w:headerReference w:type="first" r:id="rId18"/>
          <w:pgSz w:w="12240" w:h="15840"/>
          <w:pgMar w:top="1152" w:right="1440" w:bottom="1152" w:left="1440" w:header="720" w:footer="720" w:gutter="0"/>
          <w:cols w:space="720"/>
          <w:titlePg/>
          <w:docGrid w:linePitch="272"/>
        </w:sectPr>
      </w:pPr>
    </w:p>
    <w:p w:rsidR="00110722" w:rsidRPr="00AD07F4" w:rsidRDefault="00836938" w:rsidP="00110722">
      <w:pPr>
        <w:pStyle w:val="Heading4"/>
        <w:spacing w:after="120"/>
        <w:rPr>
          <w:rFonts w:ascii="Times New Roman" w:hAnsi="Times New Roman"/>
          <w:bCs/>
          <w:i/>
          <w:sz w:val="24"/>
          <w:szCs w:val="24"/>
          <w:lang w:val="en-GB"/>
        </w:rPr>
      </w:pPr>
      <w:r w:rsidRPr="00971930">
        <w:rPr>
          <w:rFonts w:ascii="Times New Roman" w:hAnsi="Times New Roman"/>
          <w:bCs/>
          <w:sz w:val="24"/>
          <w:szCs w:val="24"/>
          <w:lang w:val="en-GB"/>
        </w:rPr>
        <w:lastRenderedPageBreak/>
        <w:t xml:space="preserve">Annex. Results and resources </w:t>
      </w:r>
      <w:r w:rsidRPr="00AD07F4">
        <w:rPr>
          <w:rFonts w:ascii="Times New Roman" w:hAnsi="Times New Roman"/>
          <w:bCs/>
          <w:sz w:val="24"/>
          <w:szCs w:val="24"/>
          <w:lang w:val="en-GB"/>
        </w:rPr>
        <w:t xml:space="preserve">framework for </w:t>
      </w:r>
      <w:r w:rsidR="00681960" w:rsidRPr="00CA06FC">
        <w:rPr>
          <w:rFonts w:ascii="Times New Roman" w:hAnsi="Times New Roman"/>
          <w:bCs/>
          <w:sz w:val="24"/>
          <w:szCs w:val="24"/>
          <w:lang w:val="en-GB"/>
        </w:rPr>
        <w:t xml:space="preserve">the </w:t>
      </w:r>
      <w:r w:rsidR="00E310C8">
        <w:rPr>
          <w:rFonts w:ascii="Times New Roman" w:hAnsi="Times New Roman"/>
          <w:bCs/>
          <w:sz w:val="24"/>
          <w:szCs w:val="24"/>
          <w:lang w:val="en-GB"/>
        </w:rPr>
        <w:t>Gambia</w:t>
      </w:r>
      <w:r w:rsidR="00ED1917">
        <w:rPr>
          <w:rFonts w:ascii="Times New Roman" w:hAnsi="Times New Roman"/>
          <w:bCs/>
          <w:sz w:val="24"/>
          <w:szCs w:val="24"/>
          <w:lang w:val="en-GB"/>
        </w:rPr>
        <w:t xml:space="preserve"> (</w:t>
      </w:r>
      <w:r w:rsidRPr="00AD07F4">
        <w:rPr>
          <w:rFonts w:ascii="Times New Roman" w:hAnsi="Times New Roman"/>
          <w:bCs/>
          <w:sz w:val="24"/>
          <w:szCs w:val="24"/>
          <w:lang w:val="en-GB"/>
        </w:rPr>
        <w:t>2017-2021</w:t>
      </w:r>
      <w:r w:rsidR="00ED1917">
        <w:rPr>
          <w:rFonts w:ascii="Times New Roman" w:hAnsi="Times New Roman"/>
          <w:bCs/>
          <w:sz w:val="24"/>
          <w:szCs w:val="24"/>
          <w:lang w:val="en-GB"/>
        </w:rPr>
        <w:t>)</w:t>
      </w:r>
      <w:bookmarkStart w:id="0" w:name="_GoBack"/>
      <w:bookmarkEnd w:id="0"/>
    </w:p>
    <w:tbl>
      <w:tblPr>
        <w:tblW w:w="4837" w:type="pct"/>
        <w:tblBorders>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1714"/>
        <w:gridCol w:w="4627"/>
        <w:gridCol w:w="2306"/>
        <w:gridCol w:w="1568"/>
      </w:tblGrid>
      <w:tr w:rsidR="001C25D9"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C25D9" w:rsidRPr="00971930" w:rsidRDefault="00D1773C">
            <w:pPr>
              <w:rPr>
                <w:sz w:val="16"/>
                <w:szCs w:val="16"/>
                <w:lang w:val="en-GB"/>
              </w:rPr>
            </w:pPr>
            <w:r w:rsidRPr="00CA06FC">
              <w:rPr>
                <w:b/>
                <w:bCs/>
                <w:sz w:val="16"/>
                <w:szCs w:val="16"/>
                <w:lang w:val="en-GB"/>
              </w:rPr>
              <w:t>National priority or goal</w:t>
            </w:r>
            <w:r w:rsidRPr="00522402">
              <w:rPr>
                <w:b/>
                <w:bCs/>
                <w:sz w:val="16"/>
                <w:szCs w:val="16"/>
                <w:lang w:val="en-GB"/>
              </w:rPr>
              <w:t>:</w:t>
            </w:r>
            <w:r w:rsidR="00FA753B" w:rsidRPr="00522402">
              <w:rPr>
                <w:b/>
                <w:bCs/>
                <w:sz w:val="16"/>
                <w:szCs w:val="16"/>
                <w:lang w:val="en-GB"/>
              </w:rPr>
              <w:t xml:space="preserve"> 1</w:t>
            </w:r>
            <w:r w:rsidR="0072575B" w:rsidRPr="002921ED">
              <w:rPr>
                <w:b/>
                <w:bCs/>
                <w:sz w:val="16"/>
                <w:szCs w:val="16"/>
                <w:lang w:val="en-GB"/>
              </w:rPr>
              <w:t xml:space="preserve"> and 3</w:t>
            </w:r>
            <w:r w:rsidRPr="002921ED">
              <w:rPr>
                <w:b/>
                <w:bCs/>
                <w:sz w:val="16"/>
                <w:szCs w:val="16"/>
                <w:lang w:val="en-GB"/>
              </w:rPr>
              <w:t>.</w:t>
            </w:r>
            <w:r w:rsidR="001C25D9" w:rsidRPr="002921ED">
              <w:rPr>
                <w:b/>
                <w:bCs/>
                <w:sz w:val="16"/>
                <w:szCs w:val="16"/>
                <w:lang w:val="en-GB"/>
              </w:rPr>
              <w:t xml:space="preserve"> </w:t>
            </w:r>
            <w:r w:rsidRPr="002921ED">
              <w:rPr>
                <w:rFonts w:eastAsiaTheme="minorHAnsi"/>
                <w:b/>
                <w:bCs/>
                <w:sz w:val="16"/>
                <w:szCs w:val="16"/>
                <w:lang w:val="en-GB"/>
              </w:rPr>
              <w:t>Accelerating and sustaining economic growth, agri</w:t>
            </w:r>
            <w:r w:rsidR="0072575B" w:rsidRPr="00AD07F4">
              <w:rPr>
                <w:rFonts w:eastAsiaTheme="minorHAnsi"/>
                <w:b/>
                <w:bCs/>
                <w:sz w:val="16"/>
                <w:szCs w:val="16"/>
                <w:lang w:val="en-GB"/>
              </w:rPr>
              <w:t xml:space="preserve">culture and natural resources for food </w:t>
            </w:r>
            <w:r w:rsidR="0072575B" w:rsidRPr="00971930">
              <w:rPr>
                <w:rFonts w:eastAsiaTheme="minorHAnsi"/>
                <w:b/>
                <w:bCs/>
                <w:sz w:val="16"/>
                <w:szCs w:val="16"/>
                <w:lang w:val="en-GB"/>
              </w:rPr>
              <w:t>security</w:t>
            </w:r>
          </w:p>
        </w:tc>
      </w:tr>
      <w:tr w:rsidR="001C25D9"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C25D9" w:rsidRPr="00971930" w:rsidRDefault="00D1773C" w:rsidP="00F96550">
            <w:pPr>
              <w:jc w:val="both"/>
              <w:rPr>
                <w:b/>
                <w:sz w:val="16"/>
                <w:szCs w:val="16"/>
                <w:lang w:val="en-GB"/>
              </w:rPr>
            </w:pPr>
            <w:r w:rsidRPr="00CA06FC">
              <w:rPr>
                <w:b/>
                <w:bCs/>
                <w:sz w:val="16"/>
                <w:szCs w:val="16"/>
                <w:lang w:val="en-GB"/>
              </w:rPr>
              <w:t>United Nations Development Assistance Framework (</w:t>
            </w:r>
            <w:r w:rsidR="001C25D9" w:rsidRPr="00522402">
              <w:rPr>
                <w:b/>
                <w:bCs/>
                <w:sz w:val="16"/>
                <w:szCs w:val="16"/>
                <w:lang w:val="en-GB"/>
              </w:rPr>
              <w:t>UNDAF</w:t>
            </w:r>
            <w:r w:rsidRPr="00522402">
              <w:rPr>
                <w:b/>
                <w:bCs/>
                <w:sz w:val="16"/>
                <w:szCs w:val="16"/>
                <w:lang w:val="en-GB"/>
              </w:rPr>
              <w:t>)</w:t>
            </w:r>
            <w:r w:rsidR="001C25D9" w:rsidRPr="002921ED">
              <w:rPr>
                <w:b/>
                <w:bCs/>
                <w:sz w:val="16"/>
                <w:szCs w:val="16"/>
                <w:lang w:val="en-GB"/>
              </w:rPr>
              <w:t xml:space="preserve"> </w:t>
            </w:r>
            <w:r w:rsidRPr="002921ED">
              <w:rPr>
                <w:b/>
                <w:bCs/>
                <w:sz w:val="16"/>
                <w:szCs w:val="16"/>
                <w:lang w:val="en-GB"/>
              </w:rPr>
              <w:t>outcomes</w:t>
            </w:r>
            <w:r w:rsidR="001C25D9" w:rsidRPr="002921ED">
              <w:rPr>
                <w:b/>
                <w:bCs/>
                <w:sz w:val="16"/>
                <w:szCs w:val="16"/>
                <w:lang w:val="en-GB"/>
              </w:rPr>
              <w:t xml:space="preserve"> 1</w:t>
            </w:r>
            <w:r w:rsidR="00AD07F4">
              <w:rPr>
                <w:b/>
                <w:bCs/>
                <w:sz w:val="16"/>
                <w:szCs w:val="16"/>
                <w:lang w:val="en-GB"/>
              </w:rPr>
              <w:t xml:space="preserve"> </w:t>
            </w:r>
            <w:r w:rsidR="0072575B" w:rsidRPr="002921ED">
              <w:rPr>
                <w:b/>
                <w:bCs/>
                <w:sz w:val="16"/>
                <w:szCs w:val="16"/>
                <w:lang w:val="en-GB"/>
              </w:rPr>
              <w:t xml:space="preserve">and </w:t>
            </w:r>
            <w:r w:rsidR="00BE3D4D" w:rsidRPr="002921ED">
              <w:rPr>
                <w:b/>
                <w:bCs/>
                <w:sz w:val="16"/>
                <w:szCs w:val="16"/>
                <w:lang w:val="en-GB"/>
              </w:rPr>
              <w:t>3.2</w:t>
            </w:r>
            <w:r w:rsidRPr="002921ED">
              <w:rPr>
                <w:b/>
                <w:bCs/>
                <w:sz w:val="16"/>
                <w:szCs w:val="16"/>
                <w:lang w:val="en-GB"/>
              </w:rPr>
              <w:t>.</w:t>
            </w:r>
            <w:r w:rsidR="001C25D9" w:rsidRPr="002921ED">
              <w:rPr>
                <w:sz w:val="16"/>
                <w:szCs w:val="16"/>
                <w:lang w:val="en-GB"/>
              </w:rPr>
              <w:t xml:space="preserve"> </w:t>
            </w:r>
            <w:r w:rsidR="001C25D9" w:rsidRPr="00AD07F4">
              <w:rPr>
                <w:b/>
                <w:sz w:val="16"/>
                <w:szCs w:val="16"/>
                <w:lang w:val="en-GB"/>
              </w:rPr>
              <w:t>By 2021</w:t>
            </w:r>
            <w:r w:rsidRPr="00CA06FC">
              <w:rPr>
                <w:b/>
                <w:sz w:val="16"/>
                <w:szCs w:val="16"/>
                <w:lang w:val="en-GB"/>
              </w:rPr>
              <w:t>,</w:t>
            </w:r>
            <w:r w:rsidR="001C25D9" w:rsidRPr="00AD07F4">
              <w:rPr>
                <w:b/>
                <w:sz w:val="16"/>
                <w:szCs w:val="16"/>
                <w:lang w:val="en-GB"/>
              </w:rPr>
              <w:t xml:space="preserve"> accelerate</w:t>
            </w:r>
            <w:r w:rsidR="006D64BA" w:rsidRPr="00AD07F4">
              <w:rPr>
                <w:b/>
                <w:sz w:val="16"/>
                <w:szCs w:val="16"/>
                <w:lang w:val="en-GB"/>
              </w:rPr>
              <w:t>d</w:t>
            </w:r>
            <w:r w:rsidR="001C25D9" w:rsidRPr="00AD07F4">
              <w:rPr>
                <w:b/>
                <w:sz w:val="16"/>
                <w:szCs w:val="16"/>
                <w:lang w:val="en-GB"/>
              </w:rPr>
              <w:t xml:space="preserve"> inclusive and sustainable economic growth to reduce poverty and inequality for the vulnerable groups</w:t>
            </w:r>
          </w:p>
        </w:tc>
      </w:tr>
      <w:tr w:rsidR="001C25D9"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C25D9" w:rsidRPr="002921ED" w:rsidRDefault="00D1773C" w:rsidP="00AC7156">
            <w:pPr>
              <w:pStyle w:val="level2"/>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50"/>
              </w:tabs>
              <w:ind w:left="-2" w:right="810" w:firstLine="0"/>
              <w:jc w:val="both"/>
              <w:rPr>
                <w:b/>
                <w:bCs/>
                <w:sz w:val="16"/>
                <w:szCs w:val="16"/>
                <w:lang w:val="en-GB"/>
              </w:rPr>
            </w:pPr>
            <w:r w:rsidRPr="00CA06FC">
              <w:rPr>
                <w:b/>
                <w:bCs/>
                <w:sz w:val="16"/>
                <w:szCs w:val="16"/>
                <w:lang w:val="en-GB"/>
              </w:rPr>
              <w:t xml:space="preserve">Related strategic plan outcome </w:t>
            </w:r>
            <w:r w:rsidR="001C25D9" w:rsidRPr="00522402">
              <w:rPr>
                <w:b/>
                <w:bCs/>
                <w:sz w:val="16"/>
                <w:szCs w:val="16"/>
                <w:lang w:val="en-GB"/>
              </w:rPr>
              <w:t>1</w:t>
            </w:r>
            <w:r w:rsidRPr="00522402">
              <w:rPr>
                <w:b/>
                <w:bCs/>
                <w:sz w:val="16"/>
                <w:szCs w:val="16"/>
                <w:lang w:val="en-GB"/>
              </w:rPr>
              <w:t>.</w:t>
            </w:r>
            <w:r w:rsidR="001C25D9" w:rsidRPr="002921ED">
              <w:rPr>
                <w:b/>
                <w:bCs/>
                <w:sz w:val="16"/>
                <w:szCs w:val="16"/>
                <w:lang w:val="en-GB"/>
              </w:rPr>
              <w:t xml:space="preserve"> </w:t>
            </w:r>
            <w:r w:rsidR="001C25D9" w:rsidRPr="002921ED">
              <w:rPr>
                <w:b/>
                <w:sz w:val="16"/>
                <w:szCs w:val="16"/>
                <w:lang w:val="en-GB"/>
              </w:rPr>
              <w:t>Growth and development are inclusive and sustainable, incorporating productive capacities that create employment and livelihoods for the poor and excluded</w:t>
            </w:r>
          </w:p>
        </w:tc>
      </w:tr>
      <w:tr w:rsidR="001C25D9" w:rsidRPr="00E92C03" w:rsidTr="00AD07F4">
        <w:tc>
          <w:tcPr>
            <w:tcW w:w="1097" w:type="pct"/>
            <w:tcBorders>
              <w:top w:val="single" w:sz="4" w:space="0" w:color="auto"/>
              <w:left w:val="single" w:sz="4" w:space="0" w:color="auto"/>
              <w:bottom w:val="single" w:sz="4" w:space="0" w:color="auto"/>
            </w:tcBorders>
            <w:shd w:val="clear" w:color="auto" w:fill="auto"/>
            <w:tcMar>
              <w:top w:w="72" w:type="dxa"/>
              <w:left w:w="144" w:type="dxa"/>
              <w:bottom w:w="72" w:type="dxa"/>
              <w:right w:w="144" w:type="dxa"/>
            </w:tcMar>
            <w:vAlign w:val="center"/>
          </w:tcPr>
          <w:p w:rsidR="001C25D9" w:rsidRPr="00971930" w:rsidRDefault="001C25D9" w:rsidP="00DD42ED">
            <w:pPr>
              <w:jc w:val="center"/>
              <w:rPr>
                <w:sz w:val="16"/>
                <w:szCs w:val="16"/>
                <w:lang w:val="en-GB"/>
              </w:rPr>
            </w:pPr>
            <w:r w:rsidRPr="00CA06FC">
              <w:rPr>
                <w:b/>
                <w:bCs/>
                <w:sz w:val="16"/>
                <w:szCs w:val="16"/>
                <w:lang w:val="en-GB"/>
              </w:rPr>
              <w:t xml:space="preserve">UNDAF </w:t>
            </w:r>
            <w:r w:rsidR="00D1773C" w:rsidRPr="00522402">
              <w:rPr>
                <w:b/>
                <w:bCs/>
                <w:sz w:val="16"/>
                <w:szCs w:val="16"/>
                <w:lang w:val="en-GB"/>
              </w:rPr>
              <w:t>outcome indicator</w:t>
            </w:r>
            <w:r w:rsidR="00D1773C" w:rsidRPr="002921ED">
              <w:rPr>
                <w:b/>
                <w:bCs/>
                <w:sz w:val="16"/>
                <w:szCs w:val="16"/>
                <w:lang w:val="en-GB"/>
              </w:rPr>
              <w:t>s, baselines, and targets</w:t>
            </w:r>
          </w:p>
        </w:tc>
        <w:tc>
          <w:tcPr>
            <w:tcW w:w="655" w:type="pct"/>
            <w:tcBorders>
              <w:top w:val="single" w:sz="4" w:space="0" w:color="auto"/>
              <w:bottom w:val="single" w:sz="4" w:space="0" w:color="auto"/>
            </w:tcBorders>
            <w:shd w:val="clear" w:color="auto" w:fill="auto"/>
            <w:vAlign w:val="center"/>
          </w:tcPr>
          <w:p w:rsidR="001C25D9" w:rsidRPr="00971930" w:rsidRDefault="00D1773C">
            <w:pPr>
              <w:jc w:val="center"/>
              <w:rPr>
                <w:b/>
                <w:sz w:val="16"/>
                <w:szCs w:val="16"/>
                <w:lang w:val="en-GB"/>
              </w:rPr>
            </w:pPr>
            <w:r w:rsidRPr="00CA06FC">
              <w:rPr>
                <w:b/>
                <w:sz w:val="16"/>
                <w:szCs w:val="16"/>
                <w:lang w:val="en-GB"/>
              </w:rPr>
              <w:t>Data so</w:t>
            </w:r>
            <w:r w:rsidRPr="00522402">
              <w:rPr>
                <w:b/>
                <w:sz w:val="16"/>
                <w:szCs w:val="16"/>
                <w:lang w:val="en-GB"/>
              </w:rPr>
              <w:t>urce,</w:t>
            </w:r>
            <w:r w:rsidR="001C25D9" w:rsidRPr="007A75EC">
              <w:rPr>
                <w:b/>
                <w:sz w:val="16"/>
                <w:szCs w:val="16"/>
                <w:lang w:val="en-GB"/>
              </w:rPr>
              <w:t xml:space="preserve"> </w:t>
            </w:r>
            <w:r w:rsidRPr="00CA06FC">
              <w:rPr>
                <w:b/>
                <w:sz w:val="16"/>
                <w:szCs w:val="16"/>
                <w:lang w:val="en-GB"/>
              </w:rPr>
              <w:t>frequency of data collection, and responsibilities</w:t>
            </w:r>
          </w:p>
        </w:tc>
        <w:tc>
          <w:tcPr>
            <w:tcW w:w="1768" w:type="pct"/>
            <w:tcBorders>
              <w:top w:val="single" w:sz="4" w:space="0" w:color="auto"/>
              <w:bottom w:val="single" w:sz="4" w:space="0" w:color="auto"/>
            </w:tcBorders>
            <w:shd w:val="clear" w:color="auto" w:fill="auto"/>
            <w:tcMar>
              <w:top w:w="72" w:type="dxa"/>
              <w:left w:w="144" w:type="dxa"/>
              <w:bottom w:w="72" w:type="dxa"/>
              <w:right w:w="144" w:type="dxa"/>
            </w:tcMar>
            <w:vAlign w:val="center"/>
          </w:tcPr>
          <w:p w:rsidR="00D1773C" w:rsidRPr="00522402" w:rsidRDefault="001C25D9" w:rsidP="00DD42ED">
            <w:pPr>
              <w:jc w:val="center"/>
              <w:rPr>
                <w:b/>
                <w:bCs/>
                <w:sz w:val="16"/>
                <w:szCs w:val="16"/>
                <w:lang w:val="en-GB"/>
              </w:rPr>
            </w:pPr>
            <w:r w:rsidRPr="00CA06FC">
              <w:rPr>
                <w:b/>
                <w:bCs/>
                <w:sz w:val="16"/>
                <w:szCs w:val="16"/>
                <w:lang w:val="en-GB"/>
              </w:rPr>
              <w:t>I</w:t>
            </w:r>
            <w:r w:rsidR="00D1773C" w:rsidRPr="00522402">
              <w:rPr>
                <w:b/>
                <w:bCs/>
                <w:sz w:val="16"/>
                <w:szCs w:val="16"/>
                <w:lang w:val="en-GB"/>
              </w:rPr>
              <w:t xml:space="preserve">ndicative country programme outputs </w:t>
            </w:r>
          </w:p>
          <w:p w:rsidR="001C25D9" w:rsidRPr="00971930" w:rsidRDefault="001C25D9" w:rsidP="00DD42ED">
            <w:pPr>
              <w:jc w:val="center"/>
              <w:rPr>
                <w:sz w:val="16"/>
                <w:szCs w:val="16"/>
                <w:lang w:val="en-GB"/>
              </w:rPr>
            </w:pPr>
            <w:r w:rsidRPr="002921ED">
              <w:rPr>
                <w:b/>
                <w:bCs/>
                <w:i/>
                <w:sz w:val="16"/>
                <w:szCs w:val="16"/>
                <w:lang w:val="en-GB"/>
              </w:rPr>
              <w:t>(including indicators, baselines</w:t>
            </w:r>
            <w:r w:rsidR="00D1773C" w:rsidRPr="002921ED">
              <w:rPr>
                <w:b/>
                <w:bCs/>
                <w:i/>
                <w:sz w:val="16"/>
                <w:szCs w:val="16"/>
                <w:lang w:val="en-GB"/>
              </w:rPr>
              <w:t>, and</w:t>
            </w:r>
            <w:r w:rsidRPr="002921ED">
              <w:rPr>
                <w:b/>
                <w:bCs/>
                <w:i/>
                <w:sz w:val="16"/>
                <w:szCs w:val="16"/>
                <w:lang w:val="en-GB"/>
              </w:rPr>
              <w:t xml:space="preserve"> targets)</w:t>
            </w:r>
          </w:p>
        </w:tc>
        <w:tc>
          <w:tcPr>
            <w:tcW w:w="881" w:type="pct"/>
            <w:tcBorders>
              <w:top w:val="single" w:sz="4" w:space="0" w:color="auto"/>
              <w:bottom w:val="single" w:sz="4" w:space="0" w:color="auto"/>
            </w:tcBorders>
            <w:shd w:val="clear" w:color="auto" w:fill="auto"/>
            <w:vAlign w:val="center"/>
          </w:tcPr>
          <w:p w:rsidR="001C25D9" w:rsidRPr="002921ED" w:rsidRDefault="00D1773C">
            <w:pPr>
              <w:jc w:val="center"/>
              <w:rPr>
                <w:b/>
                <w:bCs/>
                <w:sz w:val="16"/>
                <w:szCs w:val="16"/>
                <w:lang w:val="en-GB"/>
              </w:rPr>
            </w:pPr>
            <w:r w:rsidRPr="00522402">
              <w:rPr>
                <w:b/>
                <w:bCs/>
                <w:sz w:val="16"/>
                <w:szCs w:val="16"/>
                <w:lang w:val="en-GB"/>
              </w:rPr>
              <w:t>Major partners, partnerships and frameworks</w:t>
            </w:r>
          </w:p>
        </w:tc>
        <w:tc>
          <w:tcPr>
            <w:tcW w:w="599" w:type="pct"/>
            <w:tcBorders>
              <w:top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tcPr>
          <w:p w:rsidR="001C25D9" w:rsidRPr="00452DC3" w:rsidRDefault="001C25D9" w:rsidP="00452DC3">
            <w:pPr>
              <w:jc w:val="center"/>
              <w:rPr>
                <w:b/>
                <w:bCs/>
                <w:sz w:val="16"/>
                <w:szCs w:val="16"/>
                <w:lang w:val="en-GB"/>
              </w:rPr>
            </w:pPr>
            <w:r w:rsidRPr="002921ED">
              <w:rPr>
                <w:b/>
                <w:bCs/>
                <w:sz w:val="16"/>
                <w:szCs w:val="16"/>
                <w:lang w:val="en-GB"/>
              </w:rPr>
              <w:t>I</w:t>
            </w:r>
            <w:r w:rsidR="00D1773C" w:rsidRPr="002921ED">
              <w:rPr>
                <w:b/>
                <w:bCs/>
                <w:sz w:val="16"/>
                <w:szCs w:val="16"/>
                <w:lang w:val="en-GB"/>
              </w:rPr>
              <w:t xml:space="preserve">ndicative resources by outcome </w:t>
            </w:r>
            <w:r w:rsidRPr="002921ED">
              <w:rPr>
                <w:b/>
                <w:bCs/>
                <w:sz w:val="16"/>
                <w:szCs w:val="16"/>
                <w:lang w:val="en-GB"/>
              </w:rPr>
              <w:t>(</w:t>
            </w:r>
            <w:r w:rsidR="00D1773C" w:rsidRPr="002921ED">
              <w:rPr>
                <w:b/>
                <w:bCs/>
                <w:sz w:val="16"/>
                <w:szCs w:val="16"/>
                <w:lang w:val="en-GB"/>
              </w:rPr>
              <w:t>in thousands</w:t>
            </w:r>
            <w:r w:rsidR="00CD61A5">
              <w:rPr>
                <w:b/>
                <w:bCs/>
                <w:sz w:val="16"/>
                <w:szCs w:val="16"/>
                <w:lang w:val="en-GB"/>
              </w:rPr>
              <w:t xml:space="preserve"> of $</w:t>
            </w:r>
            <w:r w:rsidRPr="002921ED">
              <w:rPr>
                <w:b/>
                <w:bCs/>
                <w:sz w:val="16"/>
                <w:szCs w:val="16"/>
                <w:lang w:val="en-GB"/>
              </w:rPr>
              <w:t>)</w:t>
            </w:r>
          </w:p>
        </w:tc>
      </w:tr>
      <w:tr w:rsidR="001C25D9" w:rsidRPr="00E92C03" w:rsidTr="00AD07F4">
        <w:tc>
          <w:tcPr>
            <w:tcW w:w="1097" w:type="pct"/>
            <w:tcBorders>
              <w:top w:val="single" w:sz="4" w:space="0" w:color="auto"/>
              <w:left w:val="single" w:sz="4" w:space="0" w:color="auto"/>
              <w:bottom w:val="single" w:sz="4" w:space="0" w:color="auto"/>
            </w:tcBorders>
            <w:tcMar>
              <w:top w:w="72" w:type="dxa"/>
              <w:left w:w="144" w:type="dxa"/>
              <w:bottom w:w="72" w:type="dxa"/>
              <w:right w:w="144" w:type="dxa"/>
            </w:tcMar>
          </w:tcPr>
          <w:p w:rsidR="001C25D9" w:rsidRPr="007A75EC" w:rsidRDefault="001C25D9" w:rsidP="00DD42ED">
            <w:pPr>
              <w:rPr>
                <w:sz w:val="16"/>
                <w:szCs w:val="16"/>
                <w:lang w:val="en-GB"/>
              </w:rPr>
            </w:pPr>
            <w:r w:rsidRPr="007A75EC">
              <w:rPr>
                <w:b/>
                <w:sz w:val="16"/>
                <w:szCs w:val="16"/>
                <w:lang w:val="en-GB"/>
              </w:rPr>
              <w:t>Indicator</w:t>
            </w:r>
            <w:r w:rsidR="000D5997" w:rsidRPr="007A75EC">
              <w:rPr>
                <w:b/>
                <w:sz w:val="16"/>
                <w:szCs w:val="16"/>
                <w:lang w:val="en-GB"/>
              </w:rPr>
              <w:t xml:space="preserve"> </w:t>
            </w:r>
            <w:r w:rsidRPr="007A75EC">
              <w:rPr>
                <w:b/>
                <w:sz w:val="16"/>
                <w:szCs w:val="16"/>
                <w:lang w:val="en-GB"/>
              </w:rPr>
              <w:t>1.1.1</w:t>
            </w:r>
            <w:r w:rsidR="00B577B5" w:rsidRPr="00CA06FC">
              <w:rPr>
                <w:b/>
                <w:sz w:val="16"/>
                <w:szCs w:val="16"/>
                <w:lang w:val="en-GB"/>
              </w:rPr>
              <w:t>.</w:t>
            </w:r>
            <w:r w:rsidRPr="007A75EC">
              <w:rPr>
                <w:sz w:val="16"/>
                <w:szCs w:val="16"/>
                <w:lang w:val="en-GB"/>
              </w:rPr>
              <w:t xml:space="preserve"> Real </w:t>
            </w:r>
            <w:r w:rsidR="00B577B5" w:rsidRPr="00CA06FC">
              <w:rPr>
                <w:sz w:val="16"/>
                <w:szCs w:val="16"/>
                <w:lang w:val="en-GB"/>
              </w:rPr>
              <w:t>gross domestic product</w:t>
            </w:r>
            <w:r w:rsidR="00B577B5" w:rsidRPr="007A75EC">
              <w:rPr>
                <w:sz w:val="16"/>
                <w:szCs w:val="16"/>
                <w:lang w:val="en-GB"/>
              </w:rPr>
              <w:t xml:space="preserve"> </w:t>
            </w:r>
            <w:r w:rsidR="00B577B5" w:rsidRPr="00CA06FC">
              <w:rPr>
                <w:sz w:val="16"/>
                <w:szCs w:val="16"/>
                <w:lang w:val="en-GB"/>
              </w:rPr>
              <w:t xml:space="preserve">(GDP) </w:t>
            </w:r>
            <w:r w:rsidRPr="007A75EC">
              <w:rPr>
                <w:sz w:val="16"/>
                <w:szCs w:val="16"/>
                <w:lang w:val="en-GB"/>
              </w:rPr>
              <w:t>growth</w:t>
            </w:r>
            <w:r w:rsidR="00B577B5" w:rsidRPr="00CA06FC">
              <w:rPr>
                <w:sz w:val="16"/>
                <w:szCs w:val="16"/>
                <w:lang w:val="en-GB"/>
              </w:rPr>
              <w:t xml:space="preserve">, </w:t>
            </w:r>
            <w:r w:rsidRPr="007A75EC">
              <w:rPr>
                <w:sz w:val="16"/>
                <w:szCs w:val="16"/>
                <w:lang w:val="en-GB"/>
              </w:rPr>
              <w:t xml:space="preserve">2017-2021   </w:t>
            </w:r>
          </w:p>
          <w:p w:rsidR="001C25D9" w:rsidRPr="00CD61A5" w:rsidRDefault="001C25D9" w:rsidP="00DD42ED">
            <w:pPr>
              <w:rPr>
                <w:sz w:val="16"/>
                <w:szCs w:val="16"/>
                <w:lang w:val="en-GB"/>
              </w:rPr>
            </w:pPr>
            <w:r w:rsidRPr="00CD61A5">
              <w:rPr>
                <w:b/>
                <w:i/>
                <w:sz w:val="16"/>
                <w:szCs w:val="16"/>
                <w:lang w:val="en-GB"/>
              </w:rPr>
              <w:t>Baseline:</w:t>
            </w:r>
            <w:r w:rsidRPr="00CD61A5">
              <w:rPr>
                <w:b/>
                <w:sz w:val="16"/>
                <w:szCs w:val="16"/>
                <w:lang w:val="en-GB"/>
              </w:rPr>
              <w:t xml:space="preserve"> </w:t>
            </w:r>
            <w:r w:rsidRPr="00CD61A5">
              <w:rPr>
                <w:sz w:val="16"/>
                <w:szCs w:val="16"/>
                <w:lang w:val="en-GB"/>
              </w:rPr>
              <w:t>4.2% (2016)</w:t>
            </w:r>
          </w:p>
          <w:p w:rsidR="001C25D9" w:rsidRPr="00CD61A5" w:rsidRDefault="001C25D9" w:rsidP="00DD42ED">
            <w:pPr>
              <w:rPr>
                <w:sz w:val="16"/>
                <w:szCs w:val="16"/>
                <w:lang w:val="en-GB"/>
              </w:rPr>
            </w:pPr>
            <w:r w:rsidRPr="00CD61A5">
              <w:rPr>
                <w:b/>
                <w:i/>
                <w:sz w:val="16"/>
                <w:szCs w:val="16"/>
                <w:lang w:val="en-GB"/>
              </w:rPr>
              <w:t>Target:</w:t>
            </w:r>
            <w:r w:rsidRPr="00CD61A5">
              <w:rPr>
                <w:b/>
                <w:sz w:val="16"/>
                <w:szCs w:val="16"/>
                <w:lang w:val="en-GB"/>
              </w:rPr>
              <w:t xml:space="preserve"> 7</w:t>
            </w:r>
            <w:r w:rsidR="00BA7496" w:rsidRPr="00CD61A5">
              <w:rPr>
                <w:b/>
                <w:sz w:val="16"/>
                <w:szCs w:val="16"/>
                <w:lang w:val="en-GB"/>
              </w:rPr>
              <w:t>%</w:t>
            </w:r>
            <w:r w:rsidRPr="00CD61A5">
              <w:rPr>
                <w:b/>
                <w:sz w:val="16"/>
                <w:szCs w:val="16"/>
                <w:lang w:val="en-GB"/>
              </w:rPr>
              <w:t xml:space="preserve"> </w:t>
            </w:r>
            <w:r w:rsidRPr="00CD61A5">
              <w:rPr>
                <w:sz w:val="16"/>
                <w:szCs w:val="16"/>
                <w:lang w:val="en-GB"/>
              </w:rPr>
              <w:t xml:space="preserve">       </w:t>
            </w:r>
          </w:p>
          <w:p w:rsidR="001C25D9" w:rsidRPr="00CD61A5" w:rsidRDefault="001C25D9" w:rsidP="00DD42ED">
            <w:pPr>
              <w:ind w:left="5" w:hanging="270"/>
              <w:rPr>
                <w:sz w:val="16"/>
                <w:szCs w:val="16"/>
                <w:lang w:val="en-GB"/>
              </w:rPr>
            </w:pPr>
          </w:p>
          <w:p w:rsidR="001C25D9" w:rsidRPr="00CD61A5" w:rsidRDefault="001C25D9" w:rsidP="00DD42ED">
            <w:pPr>
              <w:ind w:left="5" w:hanging="270"/>
              <w:rPr>
                <w:sz w:val="16"/>
                <w:szCs w:val="16"/>
                <w:lang w:val="en-GB"/>
              </w:rPr>
            </w:pPr>
            <w:r w:rsidRPr="00CD61A5">
              <w:rPr>
                <w:sz w:val="16"/>
                <w:szCs w:val="16"/>
                <w:lang w:val="en-GB"/>
              </w:rPr>
              <w:t xml:space="preserve">2.    </w:t>
            </w:r>
            <w:r w:rsidRPr="00CD61A5">
              <w:rPr>
                <w:b/>
                <w:sz w:val="16"/>
                <w:szCs w:val="16"/>
                <w:lang w:val="en-GB"/>
              </w:rPr>
              <w:t>Indicator 1.1.2</w:t>
            </w:r>
            <w:r w:rsidR="00B577B5" w:rsidRPr="00CD61A5">
              <w:rPr>
                <w:b/>
                <w:sz w:val="16"/>
                <w:szCs w:val="16"/>
                <w:lang w:val="en-GB"/>
              </w:rPr>
              <w:t>.</w:t>
            </w:r>
            <w:r w:rsidRPr="00CD61A5">
              <w:rPr>
                <w:sz w:val="16"/>
                <w:szCs w:val="16"/>
                <w:lang w:val="en-GB"/>
              </w:rPr>
              <w:t xml:space="preserve"> </w:t>
            </w:r>
            <w:r w:rsidR="00B577B5" w:rsidRPr="00CD61A5">
              <w:rPr>
                <w:sz w:val="16"/>
                <w:szCs w:val="16"/>
                <w:lang w:val="en-GB"/>
              </w:rPr>
              <w:t xml:space="preserve">Percentage </w:t>
            </w:r>
            <w:r w:rsidRPr="00CD61A5">
              <w:rPr>
                <w:sz w:val="16"/>
                <w:szCs w:val="16"/>
                <w:lang w:val="en-GB"/>
              </w:rPr>
              <w:t>of population below $1.75 per day (</w:t>
            </w:r>
            <w:r w:rsidR="00B577B5" w:rsidRPr="00CD61A5">
              <w:rPr>
                <w:sz w:val="16"/>
                <w:szCs w:val="16"/>
                <w:lang w:val="en-GB"/>
              </w:rPr>
              <w:t>‘</w:t>
            </w:r>
            <w:r w:rsidRPr="00CD61A5">
              <w:rPr>
                <w:sz w:val="16"/>
                <w:szCs w:val="16"/>
                <w:lang w:val="en-GB"/>
              </w:rPr>
              <w:t>poverty headcount</w:t>
            </w:r>
            <w:r w:rsidR="00B577B5" w:rsidRPr="00CD61A5">
              <w:rPr>
                <w:sz w:val="16"/>
                <w:szCs w:val="16"/>
                <w:lang w:val="en-GB"/>
              </w:rPr>
              <w:t>’</w:t>
            </w:r>
            <w:r w:rsidRPr="00CD61A5">
              <w:rPr>
                <w:sz w:val="16"/>
                <w:szCs w:val="16"/>
                <w:lang w:val="en-GB"/>
              </w:rPr>
              <w:t>)</w:t>
            </w:r>
          </w:p>
          <w:p w:rsidR="00466AC6" w:rsidRPr="00CD61A5" w:rsidRDefault="001C25D9" w:rsidP="00DD42ED">
            <w:pPr>
              <w:rPr>
                <w:sz w:val="16"/>
                <w:szCs w:val="16"/>
                <w:lang w:val="en-GB"/>
              </w:rPr>
            </w:pPr>
            <w:r w:rsidRPr="00CD61A5">
              <w:rPr>
                <w:b/>
                <w:i/>
                <w:sz w:val="16"/>
                <w:szCs w:val="16"/>
                <w:lang w:val="en-GB"/>
              </w:rPr>
              <w:t>Baseline</w:t>
            </w:r>
            <w:r w:rsidR="00996676" w:rsidRPr="00CD61A5">
              <w:rPr>
                <w:b/>
                <w:i/>
                <w:sz w:val="16"/>
                <w:szCs w:val="16"/>
                <w:lang w:val="en-GB"/>
              </w:rPr>
              <w:t>:</w:t>
            </w:r>
            <w:r w:rsidRPr="00CD61A5">
              <w:rPr>
                <w:b/>
                <w:sz w:val="16"/>
                <w:szCs w:val="16"/>
                <w:lang w:val="en-GB"/>
              </w:rPr>
              <w:t xml:space="preserve"> </w:t>
            </w:r>
            <w:r w:rsidRPr="00CD61A5">
              <w:rPr>
                <w:sz w:val="16"/>
                <w:szCs w:val="16"/>
                <w:lang w:val="en-GB"/>
              </w:rPr>
              <w:t xml:space="preserve">48.4% </w:t>
            </w:r>
            <w:r w:rsidR="00B577B5" w:rsidRPr="00CD61A5">
              <w:rPr>
                <w:sz w:val="16"/>
                <w:szCs w:val="16"/>
                <w:lang w:val="en-GB"/>
              </w:rPr>
              <w:t>(</w:t>
            </w:r>
            <w:r w:rsidRPr="00CD61A5">
              <w:rPr>
                <w:sz w:val="16"/>
                <w:szCs w:val="16"/>
                <w:lang w:val="en-GB"/>
              </w:rPr>
              <w:t>2010</w:t>
            </w:r>
            <w:r w:rsidR="00B577B5" w:rsidRPr="00CD61A5">
              <w:rPr>
                <w:sz w:val="16"/>
                <w:szCs w:val="16"/>
                <w:lang w:val="en-GB"/>
              </w:rPr>
              <w:t>)</w:t>
            </w:r>
            <w:r w:rsidRPr="00CD61A5">
              <w:rPr>
                <w:sz w:val="16"/>
                <w:szCs w:val="16"/>
                <w:lang w:val="en-GB"/>
              </w:rPr>
              <w:t xml:space="preserve"> </w:t>
            </w:r>
          </w:p>
          <w:p w:rsidR="001C25D9" w:rsidRPr="00CD61A5" w:rsidRDefault="001C25D9" w:rsidP="00DD42ED">
            <w:pPr>
              <w:rPr>
                <w:b/>
                <w:sz w:val="16"/>
                <w:szCs w:val="16"/>
                <w:lang w:val="en-GB"/>
              </w:rPr>
            </w:pPr>
            <w:r w:rsidRPr="00CD61A5">
              <w:rPr>
                <w:b/>
                <w:i/>
                <w:sz w:val="16"/>
                <w:szCs w:val="16"/>
                <w:lang w:val="en-GB"/>
              </w:rPr>
              <w:t>Target</w:t>
            </w:r>
            <w:r w:rsidR="00996676" w:rsidRPr="00CD61A5">
              <w:rPr>
                <w:b/>
                <w:i/>
                <w:sz w:val="16"/>
                <w:szCs w:val="16"/>
                <w:lang w:val="en-GB"/>
              </w:rPr>
              <w:t>:</w:t>
            </w:r>
            <w:r w:rsidR="00996676" w:rsidRPr="00CD61A5">
              <w:rPr>
                <w:b/>
                <w:sz w:val="16"/>
                <w:szCs w:val="16"/>
                <w:lang w:val="en-GB"/>
              </w:rPr>
              <w:t xml:space="preserve"> </w:t>
            </w:r>
            <w:r w:rsidR="00FE003E" w:rsidRPr="00CD61A5">
              <w:rPr>
                <w:b/>
                <w:sz w:val="16"/>
                <w:szCs w:val="16"/>
                <w:lang w:val="en-GB"/>
              </w:rPr>
              <w:t xml:space="preserve"> 20%</w:t>
            </w:r>
          </w:p>
          <w:p w:rsidR="001C25D9" w:rsidRPr="00CD61A5" w:rsidRDefault="001C25D9" w:rsidP="00DD42ED">
            <w:pPr>
              <w:rPr>
                <w:sz w:val="16"/>
                <w:szCs w:val="16"/>
                <w:lang w:val="en-GB"/>
              </w:rPr>
            </w:pPr>
          </w:p>
          <w:p w:rsidR="001C25D9" w:rsidRPr="00CD61A5" w:rsidRDefault="001C25D9" w:rsidP="00DD42ED">
            <w:pPr>
              <w:rPr>
                <w:sz w:val="16"/>
                <w:szCs w:val="16"/>
                <w:lang w:val="en-GB"/>
              </w:rPr>
            </w:pPr>
            <w:r w:rsidRPr="00CD61A5">
              <w:rPr>
                <w:b/>
                <w:sz w:val="16"/>
                <w:szCs w:val="16"/>
                <w:lang w:val="en-GB"/>
              </w:rPr>
              <w:t>Indicator 1.1.3</w:t>
            </w:r>
            <w:r w:rsidRPr="00CD61A5">
              <w:rPr>
                <w:sz w:val="16"/>
                <w:szCs w:val="16"/>
                <w:lang w:val="en-GB"/>
              </w:rPr>
              <w:t xml:space="preserve">: Real GDP </w:t>
            </w:r>
            <w:r w:rsidR="00B577B5" w:rsidRPr="00CD61A5">
              <w:rPr>
                <w:sz w:val="16"/>
                <w:szCs w:val="16"/>
                <w:lang w:val="en-GB"/>
              </w:rPr>
              <w:t>p</w:t>
            </w:r>
            <w:r w:rsidRPr="00CD61A5">
              <w:rPr>
                <w:sz w:val="16"/>
                <w:szCs w:val="16"/>
                <w:lang w:val="en-GB"/>
              </w:rPr>
              <w:t xml:space="preserve">er capita </w:t>
            </w:r>
          </w:p>
          <w:p w:rsidR="001C25D9" w:rsidRPr="00CD61A5" w:rsidRDefault="001C25D9" w:rsidP="00DD42ED">
            <w:pPr>
              <w:rPr>
                <w:b/>
                <w:sz w:val="16"/>
                <w:szCs w:val="16"/>
                <w:lang w:val="en-GB"/>
              </w:rPr>
            </w:pPr>
            <w:r w:rsidRPr="00CD61A5">
              <w:rPr>
                <w:b/>
                <w:i/>
                <w:sz w:val="16"/>
                <w:szCs w:val="16"/>
                <w:lang w:val="en-GB"/>
              </w:rPr>
              <w:t>Baseline</w:t>
            </w:r>
            <w:r w:rsidR="00996676" w:rsidRPr="00CD61A5">
              <w:rPr>
                <w:b/>
                <w:i/>
                <w:sz w:val="16"/>
                <w:szCs w:val="16"/>
                <w:lang w:val="en-GB"/>
              </w:rPr>
              <w:t>:</w:t>
            </w:r>
            <w:r w:rsidR="00996676" w:rsidRPr="00CD61A5">
              <w:rPr>
                <w:b/>
                <w:sz w:val="16"/>
                <w:szCs w:val="16"/>
                <w:lang w:val="en-GB"/>
              </w:rPr>
              <w:t xml:space="preserve"> </w:t>
            </w:r>
            <w:r w:rsidRPr="00CD61A5">
              <w:rPr>
                <w:b/>
                <w:sz w:val="16"/>
                <w:szCs w:val="16"/>
                <w:lang w:val="en-GB"/>
              </w:rPr>
              <w:t xml:space="preserve"> $271 (2014)</w:t>
            </w:r>
          </w:p>
          <w:p w:rsidR="001C25D9" w:rsidRPr="00CD61A5" w:rsidRDefault="001C25D9" w:rsidP="00DD42ED">
            <w:pPr>
              <w:rPr>
                <w:b/>
                <w:sz w:val="16"/>
                <w:szCs w:val="16"/>
                <w:lang w:val="en-GB"/>
              </w:rPr>
            </w:pPr>
            <w:r w:rsidRPr="00CD61A5">
              <w:rPr>
                <w:b/>
                <w:i/>
                <w:sz w:val="16"/>
                <w:szCs w:val="16"/>
                <w:lang w:val="en-GB"/>
              </w:rPr>
              <w:t>Target</w:t>
            </w:r>
            <w:r w:rsidR="00996676" w:rsidRPr="00CD61A5">
              <w:rPr>
                <w:b/>
                <w:i/>
                <w:sz w:val="16"/>
                <w:szCs w:val="16"/>
                <w:lang w:val="en-GB"/>
              </w:rPr>
              <w:t>:</w:t>
            </w:r>
            <w:r w:rsidRPr="00CD61A5">
              <w:rPr>
                <w:b/>
                <w:sz w:val="16"/>
                <w:szCs w:val="16"/>
                <w:lang w:val="en-GB"/>
              </w:rPr>
              <w:t xml:space="preserve"> </w:t>
            </w:r>
            <w:r w:rsidR="002C6183" w:rsidRPr="00CD61A5">
              <w:rPr>
                <w:b/>
                <w:sz w:val="16"/>
                <w:szCs w:val="16"/>
                <w:lang w:val="en-GB"/>
              </w:rPr>
              <w:t>$</w:t>
            </w:r>
            <w:r w:rsidRPr="00CD61A5">
              <w:rPr>
                <w:b/>
                <w:sz w:val="16"/>
                <w:szCs w:val="16"/>
                <w:lang w:val="en-GB"/>
              </w:rPr>
              <w:t>1</w:t>
            </w:r>
            <w:r w:rsidR="002C6183" w:rsidRPr="00CD61A5">
              <w:rPr>
                <w:b/>
                <w:sz w:val="16"/>
                <w:szCs w:val="16"/>
                <w:lang w:val="en-GB"/>
              </w:rPr>
              <w:t>,</w:t>
            </w:r>
            <w:r w:rsidRPr="00CD61A5">
              <w:rPr>
                <w:b/>
                <w:sz w:val="16"/>
                <w:szCs w:val="16"/>
                <w:lang w:val="en-GB"/>
              </w:rPr>
              <w:t>250</w:t>
            </w:r>
            <w:r w:rsidR="000D5997" w:rsidRPr="00CD61A5">
              <w:rPr>
                <w:b/>
                <w:sz w:val="16"/>
                <w:szCs w:val="16"/>
                <w:lang w:val="en-GB"/>
              </w:rPr>
              <w:t xml:space="preserve"> </w:t>
            </w:r>
            <w:r w:rsidRPr="00CD61A5">
              <w:rPr>
                <w:b/>
                <w:sz w:val="16"/>
                <w:szCs w:val="16"/>
                <w:lang w:val="en-GB"/>
              </w:rPr>
              <w:t>(V</w:t>
            </w:r>
            <w:r w:rsidR="007A75EC" w:rsidRPr="00CD61A5">
              <w:rPr>
                <w:b/>
                <w:sz w:val="16"/>
                <w:szCs w:val="16"/>
                <w:lang w:val="en-GB"/>
              </w:rPr>
              <w:t xml:space="preserve">ision </w:t>
            </w:r>
            <w:r w:rsidRPr="00CD61A5">
              <w:rPr>
                <w:b/>
                <w:sz w:val="16"/>
                <w:szCs w:val="16"/>
                <w:lang w:val="en-GB"/>
              </w:rPr>
              <w:t>2020)</w:t>
            </w:r>
          </w:p>
          <w:p w:rsidR="001C25D9" w:rsidRPr="00CD61A5" w:rsidRDefault="001C25D9" w:rsidP="00DD42ED">
            <w:pPr>
              <w:rPr>
                <w:sz w:val="16"/>
                <w:szCs w:val="16"/>
                <w:lang w:val="en-GB"/>
              </w:rPr>
            </w:pPr>
            <w:r w:rsidRPr="00CD61A5">
              <w:rPr>
                <w:sz w:val="16"/>
                <w:szCs w:val="16"/>
                <w:lang w:val="en-GB"/>
              </w:rPr>
              <w:t xml:space="preserve">                                                            </w:t>
            </w:r>
            <w:r w:rsidRPr="00CD61A5">
              <w:rPr>
                <w:b/>
                <w:sz w:val="16"/>
                <w:szCs w:val="16"/>
                <w:lang w:val="en-GB"/>
              </w:rPr>
              <w:t>Indicator 1.1.4</w:t>
            </w:r>
            <w:r w:rsidRPr="00CD61A5">
              <w:rPr>
                <w:sz w:val="16"/>
                <w:szCs w:val="16"/>
                <w:lang w:val="en-GB"/>
              </w:rPr>
              <w:t>:</w:t>
            </w:r>
            <w:r w:rsidR="00AC7156" w:rsidRPr="00CD61A5">
              <w:rPr>
                <w:sz w:val="16"/>
                <w:szCs w:val="16"/>
                <w:lang w:val="en-GB"/>
              </w:rPr>
              <w:t xml:space="preserve"> Unemployment rate</w:t>
            </w:r>
            <w:r w:rsidR="00B577B5" w:rsidRPr="00CD61A5">
              <w:rPr>
                <w:sz w:val="16"/>
                <w:szCs w:val="16"/>
                <w:lang w:val="en-GB"/>
              </w:rPr>
              <w:t>,</w:t>
            </w:r>
            <w:r w:rsidR="00AC7156" w:rsidRPr="00CD61A5">
              <w:rPr>
                <w:sz w:val="16"/>
                <w:szCs w:val="16"/>
                <w:lang w:val="en-GB"/>
              </w:rPr>
              <w:t xml:space="preserve"> age</w:t>
            </w:r>
            <w:r w:rsidR="00B577B5" w:rsidRPr="00CD61A5">
              <w:rPr>
                <w:sz w:val="16"/>
                <w:szCs w:val="16"/>
                <w:lang w:val="en-GB"/>
              </w:rPr>
              <w:t>s</w:t>
            </w:r>
            <w:r w:rsidR="00AC7156" w:rsidRPr="00CD61A5">
              <w:rPr>
                <w:sz w:val="16"/>
                <w:szCs w:val="16"/>
                <w:lang w:val="en-GB"/>
              </w:rPr>
              <w:t xml:space="preserve"> 18-65</w:t>
            </w:r>
            <w:r w:rsidRPr="00CD61A5">
              <w:rPr>
                <w:sz w:val="16"/>
                <w:szCs w:val="16"/>
                <w:lang w:val="en-GB"/>
              </w:rPr>
              <w:t xml:space="preserve"> </w:t>
            </w:r>
          </w:p>
          <w:p w:rsidR="001C25D9" w:rsidRPr="00CD61A5" w:rsidRDefault="001C25D9" w:rsidP="00DD42ED">
            <w:pPr>
              <w:rPr>
                <w:b/>
                <w:sz w:val="16"/>
                <w:szCs w:val="16"/>
                <w:lang w:val="en-GB"/>
              </w:rPr>
            </w:pPr>
            <w:r w:rsidRPr="00CD61A5">
              <w:rPr>
                <w:b/>
                <w:i/>
                <w:sz w:val="16"/>
                <w:szCs w:val="16"/>
                <w:lang w:val="en-GB"/>
              </w:rPr>
              <w:t>Baseline</w:t>
            </w:r>
            <w:r w:rsidR="00996676" w:rsidRPr="00CD61A5">
              <w:rPr>
                <w:b/>
                <w:i/>
                <w:sz w:val="16"/>
                <w:szCs w:val="16"/>
                <w:lang w:val="en-GB"/>
              </w:rPr>
              <w:t>:</w:t>
            </w:r>
            <w:r w:rsidRPr="00CD61A5">
              <w:rPr>
                <w:b/>
                <w:sz w:val="16"/>
                <w:szCs w:val="16"/>
                <w:lang w:val="en-GB"/>
              </w:rPr>
              <w:t xml:space="preserve"> </w:t>
            </w:r>
            <w:r w:rsidRPr="00CD61A5">
              <w:rPr>
                <w:sz w:val="16"/>
                <w:szCs w:val="16"/>
                <w:lang w:val="en-GB"/>
              </w:rPr>
              <w:t>National</w:t>
            </w:r>
            <w:r w:rsidR="00F66347" w:rsidRPr="00CD61A5">
              <w:rPr>
                <w:sz w:val="16"/>
                <w:szCs w:val="16"/>
                <w:lang w:val="en-GB"/>
              </w:rPr>
              <w:t>,</w:t>
            </w:r>
            <w:r w:rsidR="00B577B5" w:rsidRPr="00CD61A5">
              <w:rPr>
                <w:sz w:val="16"/>
                <w:szCs w:val="16"/>
                <w:lang w:val="en-GB"/>
              </w:rPr>
              <w:t xml:space="preserve"> </w:t>
            </w:r>
            <w:r w:rsidRPr="00CD61A5">
              <w:rPr>
                <w:sz w:val="16"/>
                <w:szCs w:val="16"/>
                <w:lang w:val="en-GB"/>
              </w:rPr>
              <w:t xml:space="preserve">29.2%; </w:t>
            </w:r>
            <w:r w:rsidR="00F66347" w:rsidRPr="00CD61A5">
              <w:rPr>
                <w:sz w:val="16"/>
                <w:szCs w:val="16"/>
                <w:lang w:val="en-GB"/>
              </w:rPr>
              <w:t>r</w:t>
            </w:r>
            <w:r w:rsidRPr="00CD61A5">
              <w:rPr>
                <w:sz w:val="16"/>
                <w:szCs w:val="16"/>
                <w:lang w:val="en-GB"/>
              </w:rPr>
              <w:t>ural</w:t>
            </w:r>
            <w:r w:rsidR="00F66347" w:rsidRPr="00CD61A5">
              <w:rPr>
                <w:sz w:val="16"/>
                <w:szCs w:val="16"/>
                <w:lang w:val="en-GB"/>
              </w:rPr>
              <w:t>,</w:t>
            </w:r>
            <w:r w:rsidRPr="00CD61A5">
              <w:rPr>
                <w:sz w:val="16"/>
                <w:szCs w:val="16"/>
                <w:lang w:val="en-GB"/>
              </w:rPr>
              <w:t xml:space="preserve"> 31.1, </w:t>
            </w:r>
            <w:r w:rsidR="00F66347" w:rsidRPr="00CD61A5">
              <w:rPr>
                <w:sz w:val="16"/>
                <w:szCs w:val="16"/>
                <w:lang w:val="en-GB"/>
              </w:rPr>
              <w:t>u</w:t>
            </w:r>
            <w:r w:rsidRPr="00CD61A5">
              <w:rPr>
                <w:sz w:val="16"/>
                <w:szCs w:val="16"/>
                <w:lang w:val="en-GB"/>
              </w:rPr>
              <w:t>rban</w:t>
            </w:r>
            <w:r w:rsidR="00F66347" w:rsidRPr="00CD61A5">
              <w:rPr>
                <w:sz w:val="16"/>
                <w:szCs w:val="16"/>
                <w:lang w:val="en-GB"/>
              </w:rPr>
              <w:t>,</w:t>
            </w:r>
            <w:r w:rsidR="00B577B5" w:rsidRPr="00CD61A5">
              <w:rPr>
                <w:sz w:val="16"/>
                <w:szCs w:val="16"/>
                <w:lang w:val="en-GB"/>
              </w:rPr>
              <w:t xml:space="preserve"> </w:t>
            </w:r>
            <w:r w:rsidRPr="00CD61A5">
              <w:rPr>
                <w:sz w:val="16"/>
                <w:szCs w:val="16"/>
                <w:lang w:val="en-GB"/>
              </w:rPr>
              <w:t>28.4%</w:t>
            </w:r>
          </w:p>
          <w:p w:rsidR="00271688" w:rsidRPr="00CD61A5" w:rsidRDefault="001C25D9" w:rsidP="00DD42ED">
            <w:pPr>
              <w:rPr>
                <w:sz w:val="16"/>
                <w:szCs w:val="16"/>
                <w:lang w:val="en-GB"/>
              </w:rPr>
            </w:pPr>
            <w:r w:rsidRPr="00CD61A5">
              <w:rPr>
                <w:sz w:val="16"/>
                <w:szCs w:val="16"/>
                <w:lang w:val="en-GB"/>
              </w:rPr>
              <w:t>M</w:t>
            </w:r>
            <w:r w:rsidR="00B577B5" w:rsidRPr="00CD61A5">
              <w:rPr>
                <w:sz w:val="16"/>
                <w:szCs w:val="16"/>
                <w:lang w:val="en-GB"/>
              </w:rPr>
              <w:t xml:space="preserve">ale: </w:t>
            </w:r>
            <w:r w:rsidRPr="00CD61A5">
              <w:rPr>
                <w:sz w:val="16"/>
                <w:szCs w:val="16"/>
                <w:lang w:val="en-GB"/>
              </w:rPr>
              <w:t>20.9</w:t>
            </w:r>
            <w:r w:rsidR="007A75EC" w:rsidRPr="00CD61A5">
              <w:rPr>
                <w:sz w:val="16"/>
                <w:szCs w:val="16"/>
                <w:lang w:val="en-GB"/>
              </w:rPr>
              <w:t>%</w:t>
            </w:r>
            <w:r w:rsidRPr="00CD61A5">
              <w:rPr>
                <w:sz w:val="16"/>
                <w:szCs w:val="16"/>
                <w:lang w:val="en-GB"/>
              </w:rPr>
              <w:t>, F</w:t>
            </w:r>
            <w:r w:rsidR="00B577B5" w:rsidRPr="00CD61A5">
              <w:rPr>
                <w:sz w:val="16"/>
                <w:szCs w:val="16"/>
                <w:lang w:val="en-GB"/>
              </w:rPr>
              <w:t xml:space="preserve">emale: </w:t>
            </w:r>
            <w:r w:rsidRPr="00CD61A5">
              <w:rPr>
                <w:sz w:val="16"/>
                <w:szCs w:val="16"/>
                <w:lang w:val="en-GB"/>
              </w:rPr>
              <w:t>38.3</w:t>
            </w:r>
            <w:r w:rsidR="007A75EC" w:rsidRPr="00CD61A5">
              <w:rPr>
                <w:sz w:val="16"/>
                <w:szCs w:val="16"/>
                <w:lang w:val="en-GB"/>
              </w:rPr>
              <w:t>%</w:t>
            </w:r>
            <w:r w:rsidR="00B577B5" w:rsidRPr="00CD61A5">
              <w:rPr>
                <w:sz w:val="16"/>
                <w:szCs w:val="16"/>
                <w:lang w:val="en-GB"/>
              </w:rPr>
              <w:t xml:space="preserve">, </w:t>
            </w:r>
            <w:r w:rsidRPr="00CD61A5">
              <w:rPr>
                <w:sz w:val="16"/>
                <w:szCs w:val="16"/>
                <w:lang w:val="en-GB"/>
              </w:rPr>
              <w:t>2012</w:t>
            </w:r>
          </w:p>
          <w:p w:rsidR="001C25D9" w:rsidRPr="007A75EC" w:rsidRDefault="001C25D9" w:rsidP="00DD42ED">
            <w:pPr>
              <w:rPr>
                <w:b/>
                <w:sz w:val="16"/>
                <w:szCs w:val="16"/>
                <w:lang w:val="en-GB"/>
              </w:rPr>
            </w:pPr>
            <w:r w:rsidRPr="00CD61A5">
              <w:rPr>
                <w:b/>
                <w:i/>
                <w:sz w:val="16"/>
                <w:szCs w:val="16"/>
                <w:lang w:val="en-GB"/>
              </w:rPr>
              <w:t>Target</w:t>
            </w:r>
            <w:r w:rsidR="00996676" w:rsidRPr="00CD61A5">
              <w:rPr>
                <w:b/>
                <w:i/>
                <w:sz w:val="16"/>
                <w:szCs w:val="16"/>
                <w:lang w:val="en-GB"/>
              </w:rPr>
              <w:t>:</w:t>
            </w:r>
            <w:r w:rsidR="00996676" w:rsidRPr="00CD61A5">
              <w:rPr>
                <w:sz w:val="16"/>
                <w:szCs w:val="16"/>
                <w:lang w:val="en-GB"/>
              </w:rPr>
              <w:t xml:space="preserve"> </w:t>
            </w:r>
            <w:r w:rsidRPr="00CD61A5">
              <w:rPr>
                <w:sz w:val="16"/>
                <w:szCs w:val="16"/>
                <w:lang w:val="en-GB"/>
              </w:rPr>
              <w:t xml:space="preserve"> </w:t>
            </w:r>
            <w:r w:rsidR="00FE003E" w:rsidRPr="00CD61A5">
              <w:rPr>
                <w:sz w:val="16"/>
                <w:szCs w:val="16"/>
                <w:lang w:val="en-GB"/>
              </w:rPr>
              <w:t>10%</w:t>
            </w:r>
          </w:p>
        </w:tc>
        <w:tc>
          <w:tcPr>
            <w:tcW w:w="655" w:type="pct"/>
            <w:tcBorders>
              <w:top w:val="single" w:sz="4" w:space="0" w:color="auto"/>
              <w:bottom w:val="single" w:sz="4" w:space="0" w:color="auto"/>
            </w:tcBorders>
          </w:tcPr>
          <w:p w:rsidR="00FA40D4" w:rsidRPr="007A75EC" w:rsidRDefault="00FA40D4" w:rsidP="00FA40D4">
            <w:pPr>
              <w:rPr>
                <w:rFonts w:eastAsiaTheme="minorHAnsi"/>
                <w:b/>
                <w:sz w:val="16"/>
                <w:szCs w:val="16"/>
                <w:lang w:val="en-GB"/>
              </w:rPr>
            </w:pPr>
            <w:r w:rsidRPr="007A75EC">
              <w:rPr>
                <w:rFonts w:eastAsiaTheme="minorHAnsi"/>
                <w:b/>
                <w:sz w:val="16"/>
                <w:szCs w:val="16"/>
                <w:lang w:val="en-GB"/>
              </w:rPr>
              <w:t>Data source:</w:t>
            </w:r>
          </w:p>
          <w:p w:rsidR="002B7679" w:rsidRPr="007A75EC" w:rsidRDefault="002B7679" w:rsidP="00DD42ED">
            <w:pPr>
              <w:rPr>
                <w:rFonts w:eastAsiaTheme="minorHAnsi"/>
                <w:sz w:val="16"/>
                <w:szCs w:val="16"/>
                <w:lang w:val="en-GB"/>
              </w:rPr>
            </w:pPr>
          </w:p>
          <w:p w:rsidR="008813D7" w:rsidRPr="007A75EC" w:rsidRDefault="00260914" w:rsidP="00DD42ED">
            <w:pPr>
              <w:rPr>
                <w:rFonts w:eastAsiaTheme="minorHAnsi"/>
                <w:sz w:val="16"/>
                <w:szCs w:val="16"/>
                <w:lang w:val="en-GB"/>
              </w:rPr>
            </w:pPr>
            <w:r w:rsidRPr="007A75EC">
              <w:rPr>
                <w:rFonts w:eastAsiaTheme="minorHAnsi"/>
                <w:sz w:val="16"/>
                <w:szCs w:val="16"/>
                <w:lang w:val="en-GB"/>
              </w:rPr>
              <w:t>National accounts</w:t>
            </w:r>
          </w:p>
          <w:p w:rsidR="00BB3C74" w:rsidRPr="00CA06FC" w:rsidRDefault="00BB3C74" w:rsidP="00DD42ED">
            <w:pPr>
              <w:rPr>
                <w:rFonts w:eastAsiaTheme="minorHAnsi"/>
                <w:sz w:val="16"/>
                <w:szCs w:val="16"/>
                <w:lang w:val="en-GB"/>
              </w:rPr>
            </w:pPr>
          </w:p>
          <w:p w:rsidR="001C25D9" w:rsidRPr="007A75EC" w:rsidRDefault="00BB3C74" w:rsidP="00DD42ED">
            <w:pPr>
              <w:rPr>
                <w:rFonts w:eastAsiaTheme="minorHAnsi"/>
                <w:sz w:val="16"/>
                <w:szCs w:val="16"/>
                <w:lang w:val="en-GB"/>
              </w:rPr>
            </w:pPr>
            <w:r w:rsidRPr="00CA06FC">
              <w:rPr>
                <w:rFonts w:eastAsiaTheme="minorHAnsi"/>
                <w:sz w:val="16"/>
                <w:szCs w:val="16"/>
                <w:lang w:val="en-GB"/>
              </w:rPr>
              <w:t>Annual project report</w:t>
            </w:r>
            <w:r w:rsidRPr="007A75EC">
              <w:rPr>
                <w:rFonts w:eastAsiaTheme="minorHAnsi"/>
                <w:sz w:val="16"/>
                <w:szCs w:val="16"/>
                <w:lang w:val="en-GB"/>
              </w:rPr>
              <w:t>s</w:t>
            </w:r>
          </w:p>
          <w:p w:rsidR="001C25D9" w:rsidRPr="00CA06FC" w:rsidRDefault="001C25D9" w:rsidP="00DD42ED">
            <w:pPr>
              <w:rPr>
                <w:rFonts w:eastAsiaTheme="minorHAnsi"/>
                <w:sz w:val="16"/>
                <w:szCs w:val="16"/>
                <w:lang w:val="en-GB"/>
              </w:rPr>
            </w:pPr>
          </w:p>
          <w:p w:rsidR="00BB3C74" w:rsidRPr="00522402" w:rsidRDefault="00BB3C74" w:rsidP="00DD42ED">
            <w:pPr>
              <w:rPr>
                <w:rFonts w:eastAsiaTheme="minorHAnsi"/>
                <w:sz w:val="16"/>
                <w:szCs w:val="16"/>
                <w:lang w:val="en-GB"/>
              </w:rPr>
            </w:pPr>
          </w:p>
          <w:p w:rsidR="001C25D9" w:rsidRPr="007A75EC" w:rsidRDefault="00BB3C74" w:rsidP="00DD42ED">
            <w:pPr>
              <w:rPr>
                <w:rFonts w:eastAsiaTheme="minorHAnsi"/>
                <w:sz w:val="16"/>
                <w:szCs w:val="16"/>
                <w:lang w:val="en-GB"/>
              </w:rPr>
            </w:pPr>
            <w:r w:rsidRPr="002921ED">
              <w:rPr>
                <w:rFonts w:eastAsiaTheme="minorHAnsi"/>
                <w:sz w:val="16"/>
                <w:szCs w:val="16"/>
                <w:lang w:val="en-GB"/>
              </w:rPr>
              <w:t>Integrated Household Survey</w:t>
            </w:r>
          </w:p>
          <w:p w:rsidR="001C25D9" w:rsidRPr="007A75EC" w:rsidRDefault="001C25D9" w:rsidP="00DD42ED">
            <w:pPr>
              <w:rPr>
                <w:rFonts w:eastAsiaTheme="minorHAnsi"/>
                <w:sz w:val="16"/>
                <w:szCs w:val="16"/>
                <w:lang w:val="en-GB"/>
              </w:rPr>
            </w:pPr>
          </w:p>
          <w:p w:rsidR="001C25D9" w:rsidRPr="007A75EC" w:rsidRDefault="001C25D9" w:rsidP="00DD42ED">
            <w:pPr>
              <w:rPr>
                <w:rFonts w:eastAsiaTheme="minorHAnsi"/>
                <w:sz w:val="16"/>
                <w:szCs w:val="16"/>
                <w:lang w:val="en-GB"/>
              </w:rPr>
            </w:pPr>
          </w:p>
          <w:p w:rsidR="001C25D9" w:rsidRPr="007A75EC" w:rsidRDefault="001C25D9" w:rsidP="00DD42ED">
            <w:pPr>
              <w:rPr>
                <w:rFonts w:eastAsiaTheme="minorHAnsi"/>
                <w:sz w:val="16"/>
                <w:szCs w:val="16"/>
                <w:lang w:val="en-GB"/>
              </w:rPr>
            </w:pPr>
          </w:p>
          <w:p w:rsidR="004C075D" w:rsidRPr="007A75EC" w:rsidRDefault="004C075D" w:rsidP="004C075D">
            <w:pPr>
              <w:rPr>
                <w:rFonts w:eastAsiaTheme="minorHAnsi"/>
                <w:sz w:val="16"/>
                <w:szCs w:val="16"/>
                <w:lang w:val="en-GB"/>
              </w:rPr>
            </w:pPr>
            <w:r w:rsidRPr="007A75EC">
              <w:rPr>
                <w:rFonts w:eastAsiaTheme="minorHAnsi"/>
                <w:sz w:val="16"/>
                <w:szCs w:val="16"/>
                <w:lang w:val="en-GB"/>
              </w:rPr>
              <w:t xml:space="preserve">National </w:t>
            </w:r>
            <w:r w:rsidR="00BB3C74" w:rsidRPr="00CA06FC">
              <w:rPr>
                <w:rFonts w:eastAsiaTheme="minorHAnsi"/>
                <w:sz w:val="16"/>
                <w:szCs w:val="16"/>
                <w:lang w:val="en-GB"/>
              </w:rPr>
              <w:t>a</w:t>
            </w:r>
            <w:r w:rsidRPr="007A75EC">
              <w:rPr>
                <w:rFonts w:eastAsiaTheme="minorHAnsi"/>
                <w:sz w:val="16"/>
                <w:szCs w:val="16"/>
                <w:lang w:val="en-GB"/>
              </w:rPr>
              <w:t>ccounts</w:t>
            </w:r>
          </w:p>
          <w:p w:rsidR="004C075D" w:rsidRPr="00CA06FC" w:rsidRDefault="004C075D" w:rsidP="00260914">
            <w:pPr>
              <w:rPr>
                <w:b/>
                <w:bCs/>
                <w:sz w:val="16"/>
                <w:szCs w:val="16"/>
                <w:lang w:val="en-GB"/>
              </w:rPr>
            </w:pPr>
          </w:p>
          <w:p w:rsidR="004C075D" w:rsidRPr="00522402" w:rsidRDefault="004C075D" w:rsidP="00260914">
            <w:pPr>
              <w:rPr>
                <w:b/>
                <w:bCs/>
                <w:sz w:val="16"/>
                <w:szCs w:val="16"/>
                <w:lang w:val="en-GB"/>
              </w:rPr>
            </w:pPr>
          </w:p>
          <w:p w:rsidR="004C075D" w:rsidRPr="002921ED" w:rsidRDefault="004C075D" w:rsidP="00260914">
            <w:pPr>
              <w:rPr>
                <w:b/>
                <w:bCs/>
                <w:sz w:val="16"/>
                <w:szCs w:val="16"/>
                <w:lang w:val="en-GB"/>
              </w:rPr>
            </w:pPr>
          </w:p>
          <w:p w:rsidR="004C075D" w:rsidRPr="002921ED" w:rsidRDefault="004C075D" w:rsidP="00260914">
            <w:pPr>
              <w:rPr>
                <w:b/>
                <w:bCs/>
                <w:sz w:val="16"/>
                <w:szCs w:val="16"/>
                <w:lang w:val="en-GB"/>
              </w:rPr>
            </w:pPr>
          </w:p>
          <w:p w:rsidR="004C075D" w:rsidRPr="00CA06FC" w:rsidRDefault="004C075D" w:rsidP="00260914">
            <w:pPr>
              <w:rPr>
                <w:b/>
                <w:bCs/>
                <w:sz w:val="16"/>
                <w:szCs w:val="16"/>
                <w:lang w:val="en-GB"/>
              </w:rPr>
            </w:pPr>
            <w:r w:rsidRPr="007A75EC">
              <w:rPr>
                <w:rFonts w:eastAsiaTheme="minorHAnsi"/>
                <w:sz w:val="16"/>
                <w:szCs w:val="16"/>
                <w:lang w:val="en-GB"/>
              </w:rPr>
              <w:t>Labo</w:t>
            </w:r>
            <w:r w:rsidR="00BB3C74" w:rsidRPr="00CA06FC">
              <w:rPr>
                <w:rFonts w:eastAsiaTheme="minorHAnsi"/>
                <w:sz w:val="16"/>
                <w:szCs w:val="16"/>
                <w:lang w:val="en-GB"/>
              </w:rPr>
              <w:t>u</w:t>
            </w:r>
            <w:r w:rsidRPr="007A75EC">
              <w:rPr>
                <w:rFonts w:eastAsiaTheme="minorHAnsi"/>
                <w:sz w:val="16"/>
                <w:szCs w:val="16"/>
                <w:lang w:val="en-GB"/>
              </w:rPr>
              <w:t xml:space="preserve">r </w:t>
            </w:r>
            <w:r w:rsidR="00BB3C74" w:rsidRPr="00CA06FC">
              <w:rPr>
                <w:rFonts w:eastAsiaTheme="minorHAnsi"/>
                <w:sz w:val="16"/>
                <w:szCs w:val="16"/>
                <w:lang w:val="en-GB"/>
              </w:rPr>
              <w:t>f</w:t>
            </w:r>
            <w:r w:rsidRPr="007A75EC">
              <w:rPr>
                <w:rFonts w:eastAsiaTheme="minorHAnsi"/>
                <w:sz w:val="16"/>
                <w:szCs w:val="16"/>
                <w:lang w:val="en-GB"/>
              </w:rPr>
              <w:t>orce surveys</w:t>
            </w:r>
            <w:r w:rsidRPr="00CA06FC">
              <w:rPr>
                <w:b/>
                <w:bCs/>
                <w:sz w:val="16"/>
                <w:szCs w:val="16"/>
                <w:lang w:val="en-GB"/>
              </w:rPr>
              <w:t xml:space="preserve"> </w:t>
            </w:r>
          </w:p>
          <w:p w:rsidR="00642413" w:rsidRPr="00522402" w:rsidRDefault="00642413" w:rsidP="00BF2B5D">
            <w:pPr>
              <w:rPr>
                <w:sz w:val="16"/>
                <w:szCs w:val="16"/>
                <w:lang w:val="en-GB"/>
              </w:rPr>
            </w:pPr>
          </w:p>
        </w:tc>
        <w:tc>
          <w:tcPr>
            <w:tcW w:w="1768" w:type="pct"/>
            <w:tcBorders>
              <w:top w:val="single" w:sz="4" w:space="0" w:color="auto"/>
              <w:bottom w:val="single" w:sz="4" w:space="0" w:color="auto"/>
            </w:tcBorders>
            <w:tcMar>
              <w:top w:w="72" w:type="dxa"/>
              <w:left w:w="144" w:type="dxa"/>
              <w:bottom w:w="72" w:type="dxa"/>
              <w:right w:w="144" w:type="dxa"/>
            </w:tcMar>
          </w:tcPr>
          <w:p w:rsidR="00C223C3" w:rsidRPr="007A75EC" w:rsidRDefault="0010741B" w:rsidP="007B5453">
            <w:pPr>
              <w:ind w:right="-62"/>
              <w:jc w:val="both"/>
              <w:rPr>
                <w:b/>
                <w:sz w:val="16"/>
                <w:szCs w:val="16"/>
                <w:lang w:val="en-GB"/>
              </w:rPr>
            </w:pPr>
            <w:r w:rsidRPr="007A75EC">
              <w:rPr>
                <w:b/>
                <w:sz w:val="16"/>
                <w:szCs w:val="16"/>
                <w:lang w:val="en-GB"/>
              </w:rPr>
              <w:t xml:space="preserve">Output 1.1. National and subnational institutions enabled to achieve structural transformation of productive capacities that </w:t>
            </w:r>
            <w:r w:rsidR="00FE003E" w:rsidRPr="007A75EC">
              <w:rPr>
                <w:b/>
                <w:sz w:val="16"/>
                <w:szCs w:val="16"/>
                <w:lang w:val="en-GB"/>
              </w:rPr>
              <w:t>are sustainable and employment</w:t>
            </w:r>
            <w:r w:rsidR="001D3D4B" w:rsidRPr="00CA06FC">
              <w:rPr>
                <w:b/>
                <w:sz w:val="16"/>
                <w:szCs w:val="16"/>
                <w:lang w:val="en-GB"/>
              </w:rPr>
              <w:t>-</w:t>
            </w:r>
            <w:r w:rsidR="00FE003E" w:rsidRPr="007A75EC">
              <w:rPr>
                <w:b/>
                <w:sz w:val="16"/>
                <w:szCs w:val="16"/>
                <w:lang w:val="en-GB"/>
              </w:rPr>
              <w:t xml:space="preserve"> </w:t>
            </w:r>
            <w:r w:rsidRPr="007A75EC">
              <w:rPr>
                <w:b/>
                <w:sz w:val="16"/>
                <w:szCs w:val="16"/>
                <w:lang w:val="en-GB"/>
              </w:rPr>
              <w:t>and livelihoods</w:t>
            </w:r>
            <w:r w:rsidR="001D3D4B" w:rsidRPr="00CA06FC">
              <w:rPr>
                <w:b/>
                <w:sz w:val="16"/>
                <w:szCs w:val="16"/>
                <w:lang w:val="en-GB"/>
              </w:rPr>
              <w:t>-</w:t>
            </w:r>
            <w:r w:rsidRPr="007A75EC">
              <w:rPr>
                <w:b/>
                <w:sz w:val="16"/>
                <w:szCs w:val="16"/>
                <w:lang w:val="en-GB"/>
              </w:rPr>
              <w:t xml:space="preserve"> intensive</w:t>
            </w:r>
            <w:r w:rsidR="00C223C3" w:rsidRPr="007A75EC">
              <w:rPr>
                <w:b/>
                <w:sz w:val="16"/>
                <w:szCs w:val="16"/>
                <w:lang w:val="en-GB"/>
              </w:rPr>
              <w:t>.</w:t>
            </w:r>
          </w:p>
          <w:p w:rsidR="0010741B" w:rsidRPr="007A75EC" w:rsidRDefault="0010741B" w:rsidP="007B5453">
            <w:pPr>
              <w:ind w:right="-62"/>
              <w:jc w:val="both"/>
              <w:rPr>
                <w:b/>
                <w:sz w:val="16"/>
                <w:szCs w:val="16"/>
                <w:lang w:val="en-GB"/>
              </w:rPr>
            </w:pPr>
          </w:p>
          <w:p w:rsidR="0010741B" w:rsidRPr="007A75EC" w:rsidRDefault="0010741B" w:rsidP="007B5453">
            <w:pPr>
              <w:jc w:val="both"/>
              <w:rPr>
                <w:sz w:val="16"/>
                <w:szCs w:val="16"/>
                <w:lang w:val="en-GB"/>
              </w:rPr>
            </w:pPr>
            <w:r w:rsidRPr="007A75EC">
              <w:rPr>
                <w:b/>
                <w:sz w:val="16"/>
                <w:szCs w:val="16"/>
                <w:lang w:val="en-GB"/>
              </w:rPr>
              <w:t>Indicator 1.1.</w:t>
            </w:r>
            <w:r w:rsidR="00AF2479" w:rsidRPr="007A75EC">
              <w:rPr>
                <w:b/>
                <w:sz w:val="16"/>
                <w:szCs w:val="16"/>
                <w:lang w:val="en-GB"/>
              </w:rPr>
              <w:t>1</w:t>
            </w:r>
            <w:r w:rsidR="001D3D4B" w:rsidRPr="00CA06FC">
              <w:rPr>
                <w:b/>
                <w:sz w:val="16"/>
                <w:szCs w:val="16"/>
                <w:lang w:val="en-GB"/>
              </w:rPr>
              <w:t>.</w:t>
            </w:r>
            <w:r w:rsidRPr="007A75EC">
              <w:rPr>
                <w:sz w:val="16"/>
                <w:szCs w:val="16"/>
                <w:lang w:val="en-GB"/>
              </w:rPr>
              <w:t xml:space="preserve"> </w:t>
            </w:r>
            <w:r w:rsidRPr="007A75EC">
              <w:rPr>
                <w:sz w:val="16"/>
                <w:lang w:val="en-GB"/>
              </w:rPr>
              <w:t xml:space="preserve">Number of </w:t>
            </w:r>
            <w:r w:rsidR="00255CEF" w:rsidRPr="007A75EC">
              <w:rPr>
                <w:sz w:val="16"/>
                <w:lang w:val="en-GB"/>
              </w:rPr>
              <w:t>gender</w:t>
            </w:r>
            <w:r w:rsidR="001D3D4B" w:rsidRPr="00CA06FC">
              <w:rPr>
                <w:sz w:val="16"/>
                <w:lang w:val="en-GB"/>
              </w:rPr>
              <w:t>-</w:t>
            </w:r>
            <w:r w:rsidR="00255CEF" w:rsidRPr="007A75EC">
              <w:rPr>
                <w:sz w:val="16"/>
                <w:lang w:val="en-GB"/>
              </w:rPr>
              <w:t xml:space="preserve">sensitive </w:t>
            </w:r>
            <w:r w:rsidR="00C54AA2" w:rsidRPr="007A75EC">
              <w:rPr>
                <w:sz w:val="16"/>
                <w:lang w:val="en-GB"/>
              </w:rPr>
              <w:t>strategies</w:t>
            </w:r>
            <w:r w:rsidRPr="007A75EC">
              <w:rPr>
                <w:sz w:val="16"/>
                <w:lang w:val="en-GB"/>
              </w:rPr>
              <w:t xml:space="preserve">, </w:t>
            </w:r>
            <w:r w:rsidRPr="007A75EC">
              <w:rPr>
                <w:sz w:val="16"/>
                <w:szCs w:val="16"/>
                <w:lang w:val="en-GB"/>
              </w:rPr>
              <w:t>in place at the national and sub-national levels to generate and strengthen employment and livelihoods</w:t>
            </w:r>
            <w:r w:rsidR="001D278A" w:rsidRPr="007A75EC">
              <w:rPr>
                <w:sz w:val="16"/>
                <w:szCs w:val="16"/>
                <w:lang w:val="en-GB"/>
              </w:rPr>
              <w:t>.</w:t>
            </w:r>
          </w:p>
          <w:p w:rsidR="00030513" w:rsidRPr="007A75EC" w:rsidRDefault="001C25D9" w:rsidP="007B5453">
            <w:pPr>
              <w:jc w:val="both"/>
              <w:rPr>
                <w:b/>
                <w:sz w:val="16"/>
                <w:szCs w:val="16"/>
                <w:lang w:val="en-GB"/>
              </w:rPr>
            </w:pPr>
            <w:r w:rsidRPr="007A75EC">
              <w:rPr>
                <w:b/>
                <w:i/>
                <w:sz w:val="16"/>
                <w:szCs w:val="16"/>
                <w:lang w:val="en-GB"/>
              </w:rPr>
              <w:t>Baseline</w:t>
            </w:r>
            <w:r w:rsidR="00260914" w:rsidRPr="007A75EC">
              <w:rPr>
                <w:b/>
                <w:i/>
                <w:sz w:val="16"/>
                <w:szCs w:val="16"/>
                <w:lang w:val="en-GB"/>
              </w:rPr>
              <w:t>:</w:t>
            </w:r>
            <w:r w:rsidRPr="007A75EC">
              <w:rPr>
                <w:b/>
                <w:i/>
                <w:sz w:val="16"/>
                <w:szCs w:val="16"/>
                <w:lang w:val="en-GB"/>
              </w:rPr>
              <w:t xml:space="preserve"> </w:t>
            </w:r>
            <w:r w:rsidRPr="007A75EC">
              <w:rPr>
                <w:b/>
                <w:sz w:val="16"/>
                <w:szCs w:val="16"/>
                <w:lang w:val="en-GB"/>
              </w:rPr>
              <w:t xml:space="preserve"> </w:t>
            </w:r>
            <w:r w:rsidR="00030513" w:rsidRPr="007A75EC">
              <w:rPr>
                <w:sz w:val="16"/>
                <w:szCs w:val="16"/>
                <w:lang w:val="en-GB"/>
              </w:rPr>
              <w:t>3 sectoral</w:t>
            </w:r>
            <w:r w:rsidR="00DF6FFD" w:rsidRPr="007A75EC">
              <w:rPr>
                <w:sz w:val="16"/>
                <w:szCs w:val="16"/>
                <w:lang w:val="en-GB"/>
              </w:rPr>
              <w:t>;</w:t>
            </w:r>
            <w:r w:rsidR="00030513" w:rsidRPr="007A75EC">
              <w:rPr>
                <w:sz w:val="16"/>
                <w:szCs w:val="16"/>
                <w:lang w:val="en-GB"/>
              </w:rPr>
              <w:t xml:space="preserve"> 0 regional </w:t>
            </w:r>
            <w:r w:rsidR="00DF6FFD" w:rsidRPr="007A75EC">
              <w:rPr>
                <w:sz w:val="16"/>
                <w:szCs w:val="16"/>
                <w:lang w:val="en-GB"/>
              </w:rPr>
              <w:t>strategies</w:t>
            </w:r>
            <w:r w:rsidR="0095175F" w:rsidRPr="007A75EC">
              <w:rPr>
                <w:rStyle w:val="FootnoteReference"/>
                <w:sz w:val="16"/>
                <w:szCs w:val="16"/>
                <w:lang w:val="en-GB"/>
              </w:rPr>
              <w:footnoteReference w:id="48"/>
            </w:r>
          </w:p>
          <w:p w:rsidR="001C25D9" w:rsidRPr="007A75EC" w:rsidRDefault="001C25D9" w:rsidP="007B5453">
            <w:pPr>
              <w:jc w:val="both"/>
              <w:rPr>
                <w:sz w:val="16"/>
                <w:szCs w:val="16"/>
                <w:lang w:val="en-GB"/>
              </w:rPr>
            </w:pPr>
            <w:r w:rsidRPr="007A75EC">
              <w:rPr>
                <w:b/>
                <w:i/>
                <w:sz w:val="16"/>
                <w:szCs w:val="16"/>
                <w:lang w:val="en-GB"/>
              </w:rPr>
              <w:t>Target</w:t>
            </w:r>
            <w:r w:rsidR="00260914" w:rsidRPr="007A75EC">
              <w:rPr>
                <w:i/>
                <w:sz w:val="16"/>
                <w:szCs w:val="16"/>
                <w:lang w:val="en-GB"/>
              </w:rPr>
              <w:t>:</w:t>
            </w:r>
            <w:r w:rsidR="00260914" w:rsidRPr="007A75EC">
              <w:rPr>
                <w:sz w:val="16"/>
                <w:szCs w:val="16"/>
                <w:lang w:val="en-GB"/>
              </w:rPr>
              <w:t xml:space="preserve"> </w:t>
            </w:r>
            <w:r w:rsidRPr="007A75EC">
              <w:rPr>
                <w:sz w:val="16"/>
                <w:szCs w:val="16"/>
                <w:lang w:val="en-GB"/>
              </w:rPr>
              <w:t xml:space="preserve"> </w:t>
            </w:r>
            <w:r w:rsidR="00030513" w:rsidRPr="007A75EC">
              <w:rPr>
                <w:sz w:val="16"/>
                <w:szCs w:val="16"/>
                <w:lang w:val="en-GB"/>
              </w:rPr>
              <w:t>6 sectoral</w:t>
            </w:r>
            <w:r w:rsidR="00DF6FFD" w:rsidRPr="007A75EC">
              <w:rPr>
                <w:sz w:val="16"/>
                <w:szCs w:val="16"/>
                <w:lang w:val="en-GB"/>
              </w:rPr>
              <w:t>;</w:t>
            </w:r>
            <w:r w:rsidR="00030513" w:rsidRPr="007A75EC">
              <w:rPr>
                <w:sz w:val="16"/>
                <w:szCs w:val="16"/>
                <w:lang w:val="en-GB"/>
              </w:rPr>
              <w:t xml:space="preserve"> 4 regional strategies </w:t>
            </w:r>
          </w:p>
          <w:p w:rsidR="002C7F9D" w:rsidRPr="007A75EC" w:rsidRDefault="002C7F9D" w:rsidP="007B5453">
            <w:pPr>
              <w:jc w:val="both"/>
              <w:rPr>
                <w:b/>
                <w:sz w:val="16"/>
                <w:szCs w:val="16"/>
                <w:lang w:val="en-GB"/>
              </w:rPr>
            </w:pPr>
          </w:p>
          <w:p w:rsidR="0095175F" w:rsidRPr="007A75EC" w:rsidRDefault="0010741B" w:rsidP="007B5453">
            <w:pPr>
              <w:jc w:val="both"/>
              <w:rPr>
                <w:sz w:val="16"/>
                <w:szCs w:val="16"/>
                <w:lang w:val="en-GB"/>
              </w:rPr>
            </w:pPr>
            <w:r w:rsidRPr="007A75EC">
              <w:rPr>
                <w:b/>
                <w:sz w:val="16"/>
                <w:szCs w:val="16"/>
                <w:lang w:val="en-GB"/>
              </w:rPr>
              <w:t>Indicator 1.1.</w:t>
            </w:r>
            <w:r w:rsidR="00AF2479" w:rsidRPr="007A75EC">
              <w:rPr>
                <w:b/>
                <w:sz w:val="16"/>
                <w:szCs w:val="16"/>
                <w:lang w:val="en-GB"/>
              </w:rPr>
              <w:t>2</w:t>
            </w:r>
            <w:r w:rsidR="0086738E" w:rsidRPr="007A75EC">
              <w:rPr>
                <w:b/>
                <w:sz w:val="16"/>
                <w:szCs w:val="16"/>
                <w:lang w:val="en-GB"/>
              </w:rPr>
              <w:t>.</w:t>
            </w:r>
            <w:r w:rsidRPr="007A75EC">
              <w:rPr>
                <w:sz w:val="16"/>
                <w:szCs w:val="16"/>
                <w:lang w:val="en-GB"/>
              </w:rPr>
              <w:t xml:space="preserve"> Number of schemes </w:t>
            </w:r>
            <w:r w:rsidR="00CE0624" w:rsidRPr="00CA06FC">
              <w:rPr>
                <w:sz w:val="16"/>
                <w:szCs w:val="16"/>
                <w:lang w:val="en-GB"/>
              </w:rPr>
              <w:t>that</w:t>
            </w:r>
            <w:r w:rsidR="00CE0624" w:rsidRPr="007A75EC">
              <w:rPr>
                <w:sz w:val="16"/>
                <w:szCs w:val="16"/>
                <w:lang w:val="en-GB"/>
              </w:rPr>
              <w:t xml:space="preserve"> </w:t>
            </w:r>
            <w:r w:rsidRPr="007A75EC">
              <w:rPr>
                <w:sz w:val="16"/>
                <w:szCs w:val="16"/>
                <w:lang w:val="en-GB"/>
              </w:rPr>
              <w:t>expand and diversify the productive base</w:t>
            </w:r>
            <w:r w:rsidR="0095175F" w:rsidRPr="007A75EC">
              <w:rPr>
                <w:sz w:val="16"/>
                <w:szCs w:val="16"/>
                <w:lang w:val="en-GB"/>
              </w:rPr>
              <w:t>.</w:t>
            </w:r>
          </w:p>
          <w:p w:rsidR="001C25D9" w:rsidRPr="007A75EC" w:rsidRDefault="001C25D9" w:rsidP="007B5453">
            <w:pPr>
              <w:jc w:val="both"/>
              <w:rPr>
                <w:rFonts w:eastAsiaTheme="minorHAnsi"/>
                <w:b/>
                <w:sz w:val="16"/>
                <w:szCs w:val="16"/>
                <w:lang w:val="en-GB"/>
              </w:rPr>
            </w:pPr>
            <w:r w:rsidRPr="007A75EC">
              <w:rPr>
                <w:rFonts w:eastAsiaTheme="minorHAnsi"/>
                <w:b/>
                <w:i/>
                <w:sz w:val="16"/>
                <w:szCs w:val="16"/>
                <w:lang w:val="en-GB"/>
              </w:rPr>
              <w:t>Baseline:</w:t>
            </w:r>
            <w:r w:rsidRPr="007A75EC">
              <w:rPr>
                <w:rFonts w:eastAsiaTheme="minorHAnsi"/>
                <w:b/>
                <w:sz w:val="16"/>
                <w:szCs w:val="16"/>
                <w:lang w:val="en-GB"/>
              </w:rPr>
              <w:t xml:space="preserve"> </w:t>
            </w:r>
            <w:r w:rsidR="00DF6FFD" w:rsidRPr="007A75EC">
              <w:rPr>
                <w:rFonts w:eastAsiaTheme="minorHAnsi"/>
                <w:sz w:val="16"/>
                <w:szCs w:val="16"/>
                <w:lang w:val="en-GB"/>
              </w:rPr>
              <w:t>0</w:t>
            </w:r>
            <w:r w:rsidRPr="007A75EC">
              <w:rPr>
                <w:rFonts w:eastAsiaTheme="minorHAnsi"/>
                <w:b/>
                <w:sz w:val="16"/>
                <w:szCs w:val="16"/>
                <w:lang w:val="en-GB"/>
              </w:rPr>
              <w:t xml:space="preserve"> </w:t>
            </w:r>
            <w:r w:rsidR="001D3D4B" w:rsidRPr="00CA06FC">
              <w:rPr>
                <w:rFonts w:eastAsiaTheme="minorHAnsi"/>
                <w:sz w:val="16"/>
                <w:szCs w:val="16"/>
                <w:lang w:val="en-GB"/>
              </w:rPr>
              <w:t>c</w:t>
            </w:r>
            <w:r w:rsidR="00DF6FFD" w:rsidRPr="007A75EC">
              <w:rPr>
                <w:rFonts w:eastAsiaTheme="minorHAnsi"/>
                <w:sz w:val="16"/>
                <w:szCs w:val="16"/>
                <w:lang w:val="en-GB"/>
              </w:rPr>
              <w:t>entral; 2</w:t>
            </w:r>
            <w:r w:rsidR="00255CEF" w:rsidRPr="007A75EC">
              <w:rPr>
                <w:rFonts w:eastAsiaTheme="minorHAnsi"/>
                <w:sz w:val="16"/>
                <w:szCs w:val="16"/>
                <w:lang w:val="en-GB"/>
              </w:rPr>
              <w:t xml:space="preserve"> </w:t>
            </w:r>
            <w:r w:rsidRPr="007A75EC">
              <w:rPr>
                <w:rFonts w:eastAsiaTheme="minorHAnsi"/>
                <w:sz w:val="16"/>
                <w:szCs w:val="16"/>
                <w:lang w:val="en-GB"/>
              </w:rPr>
              <w:t>urban</w:t>
            </w:r>
            <w:r w:rsidR="00DF6FFD" w:rsidRPr="007A75EC">
              <w:rPr>
                <w:rFonts w:eastAsiaTheme="minorHAnsi"/>
                <w:sz w:val="16"/>
                <w:szCs w:val="16"/>
                <w:lang w:val="en-GB"/>
              </w:rPr>
              <w:t>;</w:t>
            </w:r>
            <w:r w:rsidRPr="007A75EC">
              <w:rPr>
                <w:rFonts w:eastAsiaTheme="minorHAnsi"/>
                <w:sz w:val="16"/>
                <w:szCs w:val="16"/>
                <w:lang w:val="en-GB"/>
              </w:rPr>
              <w:t xml:space="preserve"> </w:t>
            </w:r>
            <w:r w:rsidR="00DF6FFD" w:rsidRPr="007A75EC">
              <w:rPr>
                <w:rFonts w:eastAsiaTheme="minorHAnsi"/>
                <w:sz w:val="16"/>
                <w:szCs w:val="16"/>
                <w:lang w:val="en-GB"/>
              </w:rPr>
              <w:t xml:space="preserve">0 </w:t>
            </w:r>
            <w:r w:rsidR="001D3D4B" w:rsidRPr="00CA06FC">
              <w:rPr>
                <w:rFonts w:eastAsiaTheme="minorHAnsi"/>
                <w:sz w:val="16"/>
                <w:szCs w:val="16"/>
                <w:lang w:val="en-GB"/>
              </w:rPr>
              <w:t>r</w:t>
            </w:r>
            <w:r w:rsidRPr="007A75EC">
              <w:rPr>
                <w:rFonts w:eastAsiaTheme="minorHAnsi"/>
                <w:sz w:val="16"/>
                <w:szCs w:val="16"/>
                <w:lang w:val="en-GB"/>
              </w:rPr>
              <w:t>ural</w:t>
            </w:r>
            <w:r w:rsidR="0095175F" w:rsidRPr="007A75EC">
              <w:rPr>
                <w:rStyle w:val="FootnoteReference"/>
                <w:rFonts w:eastAsiaTheme="minorHAnsi"/>
                <w:sz w:val="16"/>
                <w:szCs w:val="16"/>
                <w:lang w:val="en-GB"/>
              </w:rPr>
              <w:footnoteReference w:id="49"/>
            </w:r>
          </w:p>
          <w:p w:rsidR="00236501" w:rsidRPr="007A75EC" w:rsidRDefault="001C25D9" w:rsidP="007B5453">
            <w:pPr>
              <w:jc w:val="both"/>
              <w:rPr>
                <w:rFonts w:eastAsiaTheme="minorHAnsi"/>
                <w:sz w:val="16"/>
                <w:szCs w:val="16"/>
                <w:lang w:val="en-GB"/>
              </w:rPr>
            </w:pPr>
            <w:r w:rsidRPr="007A75EC">
              <w:rPr>
                <w:rFonts w:eastAsiaTheme="minorHAnsi"/>
                <w:b/>
                <w:i/>
                <w:sz w:val="16"/>
                <w:szCs w:val="16"/>
                <w:lang w:val="en-GB"/>
              </w:rPr>
              <w:t>Target</w:t>
            </w:r>
            <w:r w:rsidR="00B31E68" w:rsidRPr="007A75EC">
              <w:rPr>
                <w:rFonts w:eastAsiaTheme="minorHAnsi"/>
                <w:b/>
                <w:i/>
                <w:sz w:val="16"/>
                <w:szCs w:val="16"/>
                <w:lang w:val="en-GB"/>
              </w:rPr>
              <w:t>:</w:t>
            </w:r>
            <w:r w:rsidRPr="007A75EC">
              <w:rPr>
                <w:rFonts w:eastAsiaTheme="minorHAnsi"/>
                <w:b/>
                <w:sz w:val="16"/>
                <w:szCs w:val="16"/>
                <w:lang w:val="en-GB"/>
              </w:rPr>
              <w:t xml:space="preserve">   </w:t>
            </w:r>
            <w:r w:rsidR="00DF6FFD" w:rsidRPr="007A75EC">
              <w:rPr>
                <w:rFonts w:eastAsiaTheme="minorHAnsi"/>
                <w:sz w:val="16"/>
                <w:szCs w:val="16"/>
                <w:lang w:val="en-GB"/>
              </w:rPr>
              <w:t xml:space="preserve">2 </w:t>
            </w:r>
            <w:r w:rsidR="001D3D4B" w:rsidRPr="00CA06FC">
              <w:rPr>
                <w:rFonts w:eastAsiaTheme="minorHAnsi"/>
                <w:sz w:val="16"/>
                <w:szCs w:val="16"/>
                <w:lang w:val="en-GB"/>
              </w:rPr>
              <w:t>c</w:t>
            </w:r>
            <w:r w:rsidR="00DF6FFD" w:rsidRPr="007A75EC">
              <w:rPr>
                <w:rFonts w:eastAsiaTheme="minorHAnsi"/>
                <w:sz w:val="16"/>
                <w:szCs w:val="16"/>
                <w:lang w:val="en-GB"/>
              </w:rPr>
              <w:t>entral; 3</w:t>
            </w:r>
            <w:r w:rsidR="00030513" w:rsidRPr="007A75EC">
              <w:rPr>
                <w:rFonts w:eastAsiaTheme="minorHAnsi"/>
                <w:sz w:val="16"/>
                <w:szCs w:val="16"/>
                <w:lang w:val="en-GB"/>
              </w:rPr>
              <w:t xml:space="preserve"> </w:t>
            </w:r>
            <w:r w:rsidRPr="007A75EC">
              <w:rPr>
                <w:rFonts w:eastAsiaTheme="minorHAnsi"/>
                <w:sz w:val="16"/>
                <w:szCs w:val="16"/>
                <w:lang w:val="en-GB"/>
              </w:rPr>
              <w:t>urban</w:t>
            </w:r>
            <w:r w:rsidR="00DF6FFD" w:rsidRPr="007A75EC">
              <w:rPr>
                <w:rFonts w:eastAsiaTheme="minorHAnsi"/>
                <w:sz w:val="16"/>
                <w:szCs w:val="16"/>
                <w:lang w:val="en-GB"/>
              </w:rPr>
              <w:t>;</w:t>
            </w:r>
            <w:r w:rsidRPr="007A75EC">
              <w:rPr>
                <w:rFonts w:eastAsiaTheme="minorHAnsi"/>
                <w:sz w:val="16"/>
                <w:szCs w:val="16"/>
                <w:lang w:val="en-GB"/>
              </w:rPr>
              <w:t xml:space="preserve"> </w:t>
            </w:r>
            <w:r w:rsidR="00DF6FFD" w:rsidRPr="007A75EC">
              <w:rPr>
                <w:rFonts w:eastAsiaTheme="minorHAnsi"/>
                <w:sz w:val="16"/>
                <w:szCs w:val="16"/>
                <w:lang w:val="en-GB"/>
              </w:rPr>
              <w:t xml:space="preserve">6 </w:t>
            </w:r>
            <w:r w:rsidR="001D3D4B" w:rsidRPr="00CA06FC">
              <w:rPr>
                <w:rFonts w:eastAsiaTheme="minorHAnsi"/>
                <w:sz w:val="16"/>
                <w:szCs w:val="16"/>
                <w:lang w:val="en-GB"/>
              </w:rPr>
              <w:t>r</w:t>
            </w:r>
            <w:r w:rsidR="00DF6FFD" w:rsidRPr="007A75EC">
              <w:rPr>
                <w:rFonts w:eastAsiaTheme="minorHAnsi"/>
                <w:sz w:val="16"/>
                <w:szCs w:val="16"/>
                <w:lang w:val="en-GB"/>
              </w:rPr>
              <w:t>ural</w:t>
            </w:r>
          </w:p>
          <w:p w:rsidR="00E315B8" w:rsidRPr="007A75EC" w:rsidRDefault="00E315B8" w:rsidP="007B5453">
            <w:pPr>
              <w:jc w:val="both"/>
              <w:rPr>
                <w:rFonts w:eastAsiaTheme="minorHAnsi"/>
                <w:sz w:val="16"/>
                <w:szCs w:val="16"/>
                <w:lang w:val="en-GB"/>
              </w:rPr>
            </w:pPr>
          </w:p>
          <w:p w:rsidR="00E315B8" w:rsidRPr="007A75EC" w:rsidRDefault="00E315B8" w:rsidP="00E315B8">
            <w:pPr>
              <w:jc w:val="both"/>
              <w:rPr>
                <w:sz w:val="16"/>
                <w:szCs w:val="16"/>
                <w:lang w:val="en-GB"/>
              </w:rPr>
            </w:pPr>
            <w:r w:rsidRPr="007A75EC">
              <w:rPr>
                <w:b/>
                <w:sz w:val="16"/>
                <w:szCs w:val="16"/>
                <w:lang w:val="en-GB"/>
              </w:rPr>
              <w:t>Indicator 1.1.3</w:t>
            </w:r>
            <w:r w:rsidR="001D278A" w:rsidRPr="007A75EC">
              <w:rPr>
                <w:rFonts w:asciiTheme="minorHAnsi" w:hAnsiTheme="minorHAnsi"/>
                <w:b/>
                <w:sz w:val="18"/>
                <w:szCs w:val="18"/>
                <w:lang w:val="en-GB"/>
              </w:rPr>
              <w:t>.</w:t>
            </w:r>
            <w:r w:rsidR="001D278A" w:rsidRPr="007A75EC">
              <w:rPr>
                <w:rFonts w:asciiTheme="minorHAnsi" w:hAnsiTheme="minorHAnsi"/>
                <w:sz w:val="18"/>
                <w:szCs w:val="18"/>
                <w:lang w:val="en-GB"/>
              </w:rPr>
              <w:t xml:space="preserve"> </w:t>
            </w:r>
            <w:r w:rsidR="001D278A" w:rsidRPr="007A75EC">
              <w:rPr>
                <w:sz w:val="16"/>
                <w:szCs w:val="16"/>
                <w:lang w:val="en-GB"/>
              </w:rPr>
              <w:t>Number of new jobs and other livelihoods</w:t>
            </w:r>
            <w:r w:rsidR="00864384" w:rsidRPr="007A75EC">
              <w:rPr>
                <w:sz w:val="16"/>
                <w:szCs w:val="16"/>
                <w:lang w:val="en-GB"/>
              </w:rPr>
              <w:t xml:space="preserve"> generated</w:t>
            </w:r>
            <w:r w:rsidR="00CE0624" w:rsidRPr="00CA06FC">
              <w:rPr>
                <w:sz w:val="16"/>
                <w:szCs w:val="16"/>
                <w:lang w:val="en-GB"/>
              </w:rPr>
              <w:t>,</w:t>
            </w:r>
            <w:r w:rsidR="00864384" w:rsidRPr="007A75EC">
              <w:rPr>
                <w:sz w:val="16"/>
                <w:szCs w:val="16"/>
                <w:lang w:val="en-GB"/>
              </w:rPr>
              <w:t xml:space="preserve"> disaggregated by sex</w:t>
            </w:r>
            <w:r w:rsidR="001D278A" w:rsidRPr="007A75EC">
              <w:rPr>
                <w:sz w:val="16"/>
                <w:szCs w:val="16"/>
                <w:lang w:val="en-GB"/>
              </w:rPr>
              <w:t xml:space="preserve"> </w:t>
            </w:r>
            <w:r w:rsidR="00864384" w:rsidRPr="007A75EC">
              <w:rPr>
                <w:sz w:val="16"/>
                <w:szCs w:val="16"/>
                <w:lang w:val="en-GB"/>
              </w:rPr>
              <w:t xml:space="preserve">and </w:t>
            </w:r>
            <w:r w:rsidR="001D278A" w:rsidRPr="007A75EC">
              <w:rPr>
                <w:sz w:val="16"/>
                <w:szCs w:val="16"/>
                <w:lang w:val="en-GB"/>
              </w:rPr>
              <w:t>age.</w:t>
            </w:r>
          </w:p>
          <w:p w:rsidR="00E315B8" w:rsidRPr="007A75EC" w:rsidRDefault="00E315B8" w:rsidP="00E315B8">
            <w:pPr>
              <w:jc w:val="both"/>
              <w:rPr>
                <w:rFonts w:eastAsiaTheme="minorHAnsi"/>
                <w:b/>
                <w:sz w:val="16"/>
                <w:szCs w:val="16"/>
                <w:lang w:val="en-GB"/>
              </w:rPr>
            </w:pPr>
            <w:r w:rsidRPr="007A75EC">
              <w:rPr>
                <w:rFonts w:eastAsiaTheme="minorHAnsi"/>
                <w:b/>
                <w:i/>
                <w:sz w:val="16"/>
                <w:szCs w:val="16"/>
                <w:lang w:val="en-GB"/>
              </w:rPr>
              <w:t>Baseline</w:t>
            </w:r>
            <w:r w:rsidR="000C4667" w:rsidRPr="007A75EC">
              <w:rPr>
                <w:rFonts w:eastAsiaTheme="minorHAnsi"/>
                <w:b/>
                <w:i/>
                <w:sz w:val="16"/>
                <w:szCs w:val="16"/>
                <w:lang w:val="en-GB"/>
              </w:rPr>
              <w:t>:</w:t>
            </w:r>
            <w:r w:rsidR="000C4667" w:rsidRPr="007A75EC">
              <w:rPr>
                <w:rFonts w:eastAsiaTheme="minorHAnsi"/>
                <w:b/>
                <w:sz w:val="16"/>
                <w:szCs w:val="16"/>
                <w:lang w:val="en-GB"/>
              </w:rPr>
              <w:t xml:space="preserve"> </w:t>
            </w:r>
            <w:r w:rsidR="00DF6FFD" w:rsidRPr="007A75EC">
              <w:rPr>
                <w:rFonts w:eastAsiaTheme="minorHAnsi"/>
                <w:sz w:val="16"/>
                <w:szCs w:val="16"/>
                <w:lang w:val="en-GB"/>
              </w:rPr>
              <w:t>700</w:t>
            </w:r>
            <w:r w:rsidR="00DF6FFD" w:rsidRPr="007A75EC">
              <w:rPr>
                <w:rFonts w:eastAsiaTheme="minorHAnsi"/>
                <w:b/>
                <w:sz w:val="16"/>
                <w:szCs w:val="16"/>
                <w:lang w:val="en-GB"/>
              </w:rPr>
              <w:t xml:space="preserve"> </w:t>
            </w:r>
            <w:r w:rsidR="00CE0624" w:rsidRPr="00CA06FC">
              <w:rPr>
                <w:rFonts w:eastAsiaTheme="minorHAnsi"/>
                <w:sz w:val="16"/>
                <w:szCs w:val="16"/>
                <w:lang w:val="en-GB"/>
              </w:rPr>
              <w:t>m</w:t>
            </w:r>
            <w:r w:rsidR="00DF6FFD" w:rsidRPr="007A75EC">
              <w:rPr>
                <w:rFonts w:eastAsiaTheme="minorHAnsi"/>
                <w:sz w:val="16"/>
                <w:szCs w:val="16"/>
                <w:lang w:val="en-GB"/>
              </w:rPr>
              <w:t xml:space="preserve">en; 600 </w:t>
            </w:r>
            <w:r w:rsidR="00CE0624" w:rsidRPr="00CA06FC">
              <w:rPr>
                <w:rFonts w:eastAsiaTheme="minorHAnsi"/>
                <w:sz w:val="16"/>
                <w:szCs w:val="16"/>
                <w:lang w:val="en-GB"/>
              </w:rPr>
              <w:t>w</w:t>
            </w:r>
            <w:r w:rsidR="000C4667" w:rsidRPr="007A75EC">
              <w:rPr>
                <w:rFonts w:eastAsiaTheme="minorHAnsi"/>
                <w:sz w:val="16"/>
                <w:szCs w:val="16"/>
                <w:lang w:val="en-GB"/>
              </w:rPr>
              <w:t>omen</w:t>
            </w:r>
            <w:r w:rsidR="00DF6FFD" w:rsidRPr="007A75EC">
              <w:rPr>
                <w:rFonts w:eastAsiaTheme="minorHAnsi"/>
                <w:sz w:val="16"/>
                <w:szCs w:val="16"/>
                <w:lang w:val="en-GB"/>
              </w:rPr>
              <w:t>;</w:t>
            </w:r>
            <w:r w:rsidR="001D278A" w:rsidRPr="007A75EC">
              <w:rPr>
                <w:rFonts w:eastAsiaTheme="minorHAnsi"/>
                <w:sz w:val="16"/>
                <w:szCs w:val="16"/>
                <w:lang w:val="en-GB"/>
              </w:rPr>
              <w:t xml:space="preserve"> </w:t>
            </w:r>
            <w:r w:rsidR="00DF6FFD" w:rsidRPr="007A75EC">
              <w:rPr>
                <w:rFonts w:eastAsiaTheme="minorHAnsi"/>
                <w:sz w:val="16"/>
                <w:szCs w:val="16"/>
                <w:lang w:val="en-GB"/>
              </w:rPr>
              <w:t xml:space="preserve">600 </w:t>
            </w:r>
            <w:r w:rsidR="00CE0624" w:rsidRPr="00CA06FC">
              <w:rPr>
                <w:rFonts w:eastAsiaTheme="minorHAnsi"/>
                <w:sz w:val="16"/>
                <w:szCs w:val="16"/>
                <w:lang w:val="en-GB"/>
              </w:rPr>
              <w:t>y</w:t>
            </w:r>
            <w:r w:rsidR="001D278A" w:rsidRPr="007A75EC">
              <w:rPr>
                <w:rFonts w:eastAsiaTheme="minorHAnsi"/>
                <w:sz w:val="16"/>
                <w:szCs w:val="16"/>
                <w:lang w:val="en-GB"/>
              </w:rPr>
              <w:t>outh</w:t>
            </w:r>
            <w:r w:rsidR="002F4094" w:rsidRPr="007A75EC">
              <w:rPr>
                <w:rFonts w:eastAsiaTheme="minorHAnsi"/>
                <w:sz w:val="16"/>
                <w:szCs w:val="16"/>
                <w:lang w:val="en-GB"/>
              </w:rPr>
              <w:t xml:space="preserve">; </w:t>
            </w:r>
            <w:r w:rsidRPr="007A75EC">
              <w:rPr>
                <w:rFonts w:eastAsiaTheme="minorHAnsi"/>
                <w:sz w:val="16"/>
                <w:szCs w:val="16"/>
                <w:lang w:val="en-GB"/>
              </w:rPr>
              <w:t>Total: 1</w:t>
            </w:r>
            <w:r w:rsidR="0041399E" w:rsidRPr="007A75EC">
              <w:rPr>
                <w:rFonts w:eastAsiaTheme="minorHAnsi"/>
                <w:sz w:val="16"/>
                <w:szCs w:val="16"/>
                <w:lang w:val="en-GB"/>
              </w:rPr>
              <w:t>,</w:t>
            </w:r>
            <w:r w:rsidRPr="007A75EC">
              <w:rPr>
                <w:rFonts w:eastAsiaTheme="minorHAnsi"/>
                <w:sz w:val="16"/>
                <w:szCs w:val="16"/>
                <w:lang w:val="en-GB"/>
              </w:rPr>
              <w:t>100</w:t>
            </w:r>
          </w:p>
          <w:p w:rsidR="00E315B8" w:rsidRPr="007A75EC" w:rsidRDefault="00E315B8" w:rsidP="00E315B8">
            <w:pPr>
              <w:jc w:val="both"/>
              <w:rPr>
                <w:rFonts w:eastAsiaTheme="minorHAnsi"/>
                <w:sz w:val="16"/>
                <w:szCs w:val="16"/>
                <w:lang w:val="en-GB"/>
              </w:rPr>
            </w:pPr>
            <w:r w:rsidRPr="007A75EC">
              <w:rPr>
                <w:rFonts w:eastAsiaTheme="minorHAnsi"/>
                <w:b/>
                <w:i/>
                <w:sz w:val="16"/>
                <w:szCs w:val="16"/>
                <w:lang w:val="en-GB"/>
              </w:rPr>
              <w:t>Target:</w:t>
            </w:r>
            <w:r w:rsidRPr="007A75EC">
              <w:rPr>
                <w:rFonts w:eastAsiaTheme="minorHAnsi"/>
                <w:b/>
                <w:sz w:val="16"/>
                <w:szCs w:val="16"/>
                <w:lang w:val="en-GB"/>
              </w:rPr>
              <w:t xml:space="preserve">   </w:t>
            </w:r>
            <w:r w:rsidR="002F4094" w:rsidRPr="007A75EC">
              <w:rPr>
                <w:rFonts w:eastAsiaTheme="minorHAnsi"/>
                <w:sz w:val="16"/>
                <w:szCs w:val="16"/>
                <w:lang w:val="en-GB"/>
              </w:rPr>
              <w:t>2,000</w:t>
            </w:r>
            <w:r w:rsidR="002F4094" w:rsidRPr="007A75EC">
              <w:rPr>
                <w:rFonts w:eastAsiaTheme="minorHAnsi"/>
                <w:b/>
                <w:sz w:val="16"/>
                <w:szCs w:val="16"/>
                <w:lang w:val="en-GB"/>
              </w:rPr>
              <w:t xml:space="preserve"> </w:t>
            </w:r>
            <w:r w:rsidR="00CE0624" w:rsidRPr="00CA06FC">
              <w:rPr>
                <w:rFonts w:eastAsiaTheme="minorHAnsi"/>
                <w:sz w:val="16"/>
                <w:szCs w:val="16"/>
                <w:lang w:val="en-GB"/>
              </w:rPr>
              <w:t>m</w:t>
            </w:r>
            <w:r w:rsidR="000C4667" w:rsidRPr="007A75EC">
              <w:rPr>
                <w:rFonts w:eastAsiaTheme="minorHAnsi"/>
                <w:sz w:val="16"/>
                <w:szCs w:val="16"/>
                <w:lang w:val="en-GB"/>
              </w:rPr>
              <w:t>en</w:t>
            </w:r>
            <w:r w:rsidR="002F4094" w:rsidRPr="007A75EC">
              <w:rPr>
                <w:rFonts w:eastAsiaTheme="minorHAnsi"/>
                <w:sz w:val="16"/>
                <w:szCs w:val="16"/>
                <w:lang w:val="en-GB"/>
              </w:rPr>
              <w:t>;</w:t>
            </w:r>
            <w:r w:rsidR="000C4667" w:rsidRPr="007A75EC">
              <w:rPr>
                <w:rFonts w:eastAsiaTheme="minorHAnsi"/>
                <w:sz w:val="16"/>
                <w:szCs w:val="16"/>
                <w:lang w:val="en-GB"/>
              </w:rPr>
              <w:t xml:space="preserve"> </w:t>
            </w:r>
            <w:r w:rsidR="002F4094" w:rsidRPr="007A75EC">
              <w:rPr>
                <w:rFonts w:eastAsiaTheme="minorHAnsi"/>
                <w:sz w:val="16"/>
                <w:szCs w:val="16"/>
                <w:lang w:val="en-GB"/>
              </w:rPr>
              <w:t>2,000</w:t>
            </w:r>
            <w:r w:rsidR="00CE0624" w:rsidRPr="00CA06FC">
              <w:rPr>
                <w:rFonts w:eastAsiaTheme="minorHAnsi"/>
                <w:sz w:val="16"/>
                <w:szCs w:val="16"/>
                <w:lang w:val="en-GB"/>
              </w:rPr>
              <w:t xml:space="preserve"> w</w:t>
            </w:r>
            <w:r w:rsidRPr="007A75EC">
              <w:rPr>
                <w:rFonts w:eastAsiaTheme="minorHAnsi"/>
                <w:sz w:val="16"/>
                <w:szCs w:val="16"/>
                <w:lang w:val="en-GB"/>
              </w:rPr>
              <w:t>omen</w:t>
            </w:r>
            <w:r w:rsidR="002F4094" w:rsidRPr="007A75EC">
              <w:rPr>
                <w:rFonts w:eastAsiaTheme="minorHAnsi"/>
                <w:sz w:val="16"/>
                <w:szCs w:val="16"/>
                <w:lang w:val="en-GB"/>
              </w:rPr>
              <w:t>;</w:t>
            </w:r>
            <w:r w:rsidR="001D278A" w:rsidRPr="007A75EC">
              <w:rPr>
                <w:rFonts w:eastAsiaTheme="minorHAnsi"/>
                <w:sz w:val="16"/>
                <w:szCs w:val="16"/>
                <w:lang w:val="en-GB"/>
              </w:rPr>
              <w:t xml:space="preserve"> </w:t>
            </w:r>
            <w:r w:rsidR="002F4094" w:rsidRPr="007A75EC">
              <w:rPr>
                <w:rFonts w:eastAsiaTheme="minorHAnsi"/>
                <w:sz w:val="16"/>
                <w:szCs w:val="16"/>
                <w:lang w:val="en-GB"/>
              </w:rPr>
              <w:t>1,000</w:t>
            </w:r>
            <w:r w:rsidR="00CE0624" w:rsidRPr="00CA06FC">
              <w:rPr>
                <w:rFonts w:eastAsiaTheme="minorHAnsi"/>
                <w:sz w:val="16"/>
                <w:szCs w:val="16"/>
                <w:lang w:val="en-GB"/>
              </w:rPr>
              <w:t xml:space="preserve"> y</w:t>
            </w:r>
            <w:r w:rsidR="001D278A" w:rsidRPr="007A75EC">
              <w:rPr>
                <w:rFonts w:eastAsiaTheme="minorHAnsi"/>
                <w:sz w:val="16"/>
                <w:szCs w:val="16"/>
                <w:lang w:val="en-GB"/>
              </w:rPr>
              <w:t>o</w:t>
            </w:r>
            <w:r w:rsidR="002F4094" w:rsidRPr="007A75EC">
              <w:rPr>
                <w:rFonts w:eastAsiaTheme="minorHAnsi"/>
                <w:sz w:val="16"/>
                <w:szCs w:val="16"/>
                <w:lang w:val="en-GB"/>
              </w:rPr>
              <w:t>uth;</w:t>
            </w:r>
            <w:r w:rsidRPr="007A75EC">
              <w:rPr>
                <w:rFonts w:eastAsiaTheme="minorHAnsi"/>
                <w:sz w:val="16"/>
                <w:szCs w:val="16"/>
                <w:lang w:val="en-GB"/>
              </w:rPr>
              <w:t xml:space="preserve"> </w:t>
            </w:r>
            <w:r w:rsidR="000C4667" w:rsidRPr="007A75EC">
              <w:rPr>
                <w:rFonts w:eastAsiaTheme="minorHAnsi"/>
                <w:sz w:val="16"/>
                <w:szCs w:val="16"/>
                <w:lang w:val="en-GB"/>
              </w:rPr>
              <w:t>Total</w:t>
            </w:r>
            <w:r w:rsidRPr="007A75EC">
              <w:rPr>
                <w:rFonts w:eastAsiaTheme="minorHAnsi"/>
                <w:sz w:val="16"/>
                <w:szCs w:val="16"/>
                <w:lang w:val="en-GB"/>
              </w:rPr>
              <w:t>: 4</w:t>
            </w:r>
            <w:r w:rsidR="0041399E" w:rsidRPr="007A75EC">
              <w:rPr>
                <w:rFonts w:eastAsiaTheme="minorHAnsi"/>
                <w:sz w:val="16"/>
                <w:szCs w:val="16"/>
                <w:lang w:val="en-GB"/>
              </w:rPr>
              <w:t>,</w:t>
            </w:r>
            <w:r w:rsidRPr="007A75EC">
              <w:rPr>
                <w:rFonts w:eastAsiaTheme="minorHAnsi"/>
                <w:sz w:val="16"/>
                <w:szCs w:val="16"/>
                <w:lang w:val="en-GB"/>
              </w:rPr>
              <w:t>000</w:t>
            </w:r>
          </w:p>
          <w:p w:rsidR="00236501" w:rsidRPr="007A75EC" w:rsidRDefault="00236501" w:rsidP="007B5453">
            <w:pPr>
              <w:jc w:val="both"/>
              <w:rPr>
                <w:b/>
                <w:sz w:val="16"/>
                <w:szCs w:val="16"/>
                <w:lang w:val="en-GB"/>
              </w:rPr>
            </w:pPr>
          </w:p>
          <w:p w:rsidR="00E55140" w:rsidRPr="007A75EC" w:rsidRDefault="00152CDE" w:rsidP="00E55140">
            <w:pPr>
              <w:jc w:val="both"/>
              <w:rPr>
                <w:rFonts w:eastAsia="Calibri"/>
                <w:b/>
                <w:sz w:val="16"/>
                <w:szCs w:val="16"/>
                <w:lang w:val="en-GB"/>
              </w:rPr>
            </w:pPr>
            <w:r w:rsidRPr="007A75EC">
              <w:rPr>
                <w:rFonts w:eastAsia="Calibri"/>
                <w:b/>
                <w:sz w:val="16"/>
                <w:szCs w:val="16"/>
                <w:lang w:val="en-GB"/>
              </w:rPr>
              <w:t>Output 1.2.</w:t>
            </w:r>
            <w:r w:rsidRPr="007A75EC">
              <w:rPr>
                <w:rFonts w:eastAsia="Calibri"/>
                <w:sz w:val="16"/>
                <w:szCs w:val="16"/>
                <w:lang w:val="en-GB"/>
              </w:rPr>
              <w:t xml:space="preserve"> </w:t>
            </w:r>
            <w:r w:rsidR="00E55140" w:rsidRPr="007A75EC">
              <w:rPr>
                <w:rFonts w:eastAsia="Calibri"/>
                <w:b/>
                <w:sz w:val="16"/>
                <w:szCs w:val="16"/>
                <w:lang w:val="en-GB"/>
              </w:rPr>
              <w:t>Options enabled and facilitated for inclusive and</w:t>
            </w:r>
          </w:p>
          <w:p w:rsidR="00152CDE" w:rsidRPr="007A75EC" w:rsidRDefault="00CE0624" w:rsidP="007B5453">
            <w:pPr>
              <w:jc w:val="both"/>
              <w:rPr>
                <w:rFonts w:eastAsia="Calibri"/>
                <w:b/>
                <w:sz w:val="16"/>
                <w:szCs w:val="16"/>
                <w:lang w:val="en-GB"/>
              </w:rPr>
            </w:pPr>
            <w:r w:rsidRPr="00CA06FC">
              <w:rPr>
                <w:rFonts w:eastAsia="Calibri"/>
                <w:b/>
                <w:sz w:val="16"/>
                <w:szCs w:val="16"/>
                <w:lang w:val="en-GB"/>
              </w:rPr>
              <w:t>s</w:t>
            </w:r>
            <w:r w:rsidR="00656901" w:rsidRPr="007A75EC">
              <w:rPr>
                <w:rFonts w:eastAsia="Calibri"/>
                <w:b/>
                <w:sz w:val="16"/>
                <w:szCs w:val="16"/>
                <w:lang w:val="en-GB"/>
              </w:rPr>
              <w:t>ustainable</w:t>
            </w:r>
            <w:r w:rsidR="00E55140" w:rsidRPr="007A75EC">
              <w:rPr>
                <w:rFonts w:eastAsia="Calibri"/>
                <w:b/>
                <w:sz w:val="16"/>
                <w:szCs w:val="16"/>
                <w:lang w:val="en-GB"/>
              </w:rPr>
              <w:t xml:space="preserve"> social protection</w:t>
            </w:r>
            <w:r w:rsidR="00AF2479" w:rsidRPr="007A75EC">
              <w:rPr>
                <w:rFonts w:eastAsia="Calibri"/>
                <w:b/>
                <w:sz w:val="16"/>
                <w:szCs w:val="16"/>
                <w:lang w:val="en-GB"/>
              </w:rPr>
              <w:t xml:space="preserve">. </w:t>
            </w:r>
          </w:p>
          <w:p w:rsidR="00C43B82" w:rsidRPr="007A75EC" w:rsidRDefault="00C43B82" w:rsidP="007B5453">
            <w:pPr>
              <w:jc w:val="both"/>
              <w:rPr>
                <w:rFonts w:eastAsia="Calibri"/>
                <w:b/>
                <w:sz w:val="16"/>
                <w:szCs w:val="16"/>
                <w:lang w:val="en-GB"/>
              </w:rPr>
            </w:pPr>
          </w:p>
          <w:p w:rsidR="007E72E4" w:rsidRPr="007A75EC" w:rsidRDefault="007E72E4" w:rsidP="007B5453">
            <w:pPr>
              <w:jc w:val="both"/>
              <w:rPr>
                <w:bCs/>
                <w:sz w:val="16"/>
                <w:szCs w:val="16"/>
                <w:lang w:val="en-GB"/>
              </w:rPr>
            </w:pPr>
            <w:r w:rsidRPr="007A75EC">
              <w:rPr>
                <w:b/>
                <w:sz w:val="16"/>
                <w:szCs w:val="16"/>
                <w:lang w:val="en-GB"/>
              </w:rPr>
              <w:t>Indicator 1.2.2.</w:t>
            </w:r>
            <w:r w:rsidRPr="007A75EC">
              <w:rPr>
                <w:bCs/>
                <w:sz w:val="16"/>
                <w:szCs w:val="16"/>
                <w:lang w:val="en-GB"/>
              </w:rPr>
              <w:t xml:space="preserve"> Proportion of </w:t>
            </w:r>
            <w:r w:rsidR="00255CEF" w:rsidRPr="007A75EC">
              <w:rPr>
                <w:bCs/>
                <w:sz w:val="16"/>
                <w:szCs w:val="16"/>
                <w:lang w:val="en-GB"/>
              </w:rPr>
              <w:t>vulnerable children, women and youth</w:t>
            </w:r>
            <w:r w:rsidRPr="007A75EC">
              <w:rPr>
                <w:bCs/>
                <w:sz w:val="16"/>
                <w:szCs w:val="16"/>
                <w:lang w:val="en-GB"/>
              </w:rPr>
              <w:t xml:space="preserve"> receiving social protection support</w:t>
            </w:r>
            <w:r w:rsidR="00CE0624" w:rsidRPr="00CA06FC">
              <w:rPr>
                <w:bCs/>
                <w:sz w:val="16"/>
                <w:szCs w:val="16"/>
                <w:lang w:val="en-GB"/>
              </w:rPr>
              <w:t>,</w:t>
            </w:r>
            <w:r w:rsidR="00020922" w:rsidRPr="007A75EC">
              <w:rPr>
                <w:bCs/>
                <w:sz w:val="16"/>
                <w:szCs w:val="16"/>
                <w:lang w:val="en-GB"/>
              </w:rPr>
              <w:t xml:space="preserve"> </w:t>
            </w:r>
            <w:r w:rsidR="00241F5A" w:rsidRPr="007A75EC">
              <w:rPr>
                <w:bCs/>
                <w:sz w:val="16"/>
                <w:szCs w:val="16"/>
                <w:lang w:val="en-GB"/>
              </w:rPr>
              <w:t xml:space="preserve">disaggregated </w:t>
            </w:r>
            <w:r w:rsidR="00020922" w:rsidRPr="007A75EC">
              <w:rPr>
                <w:bCs/>
                <w:sz w:val="16"/>
                <w:szCs w:val="16"/>
                <w:lang w:val="en-GB"/>
              </w:rPr>
              <w:t>by sex</w:t>
            </w:r>
            <w:r w:rsidR="00962C41" w:rsidRPr="007A75EC">
              <w:rPr>
                <w:bCs/>
                <w:sz w:val="16"/>
                <w:szCs w:val="16"/>
                <w:lang w:val="en-GB"/>
              </w:rPr>
              <w:t>.</w:t>
            </w:r>
          </w:p>
          <w:p w:rsidR="007E72E4" w:rsidRPr="007A75EC" w:rsidRDefault="007E72E4" w:rsidP="007B5453">
            <w:pPr>
              <w:jc w:val="both"/>
              <w:rPr>
                <w:b/>
                <w:i/>
                <w:sz w:val="16"/>
                <w:szCs w:val="16"/>
                <w:highlight w:val="yellow"/>
                <w:lang w:val="en-GB"/>
              </w:rPr>
            </w:pPr>
            <w:r w:rsidRPr="007A75EC">
              <w:rPr>
                <w:b/>
                <w:i/>
                <w:sz w:val="16"/>
                <w:szCs w:val="16"/>
                <w:lang w:val="en-GB"/>
              </w:rPr>
              <w:t>Baseline:</w:t>
            </w:r>
            <w:r w:rsidR="00E37564" w:rsidRPr="007A75EC">
              <w:rPr>
                <w:b/>
                <w:i/>
                <w:sz w:val="16"/>
                <w:szCs w:val="16"/>
                <w:lang w:val="en-GB"/>
              </w:rPr>
              <w:t xml:space="preserve"> </w:t>
            </w:r>
            <w:r w:rsidR="003F3C85" w:rsidRPr="007A75EC">
              <w:rPr>
                <w:sz w:val="16"/>
                <w:szCs w:val="16"/>
                <w:lang w:val="en-GB"/>
              </w:rPr>
              <w:t xml:space="preserve">50,000 </w:t>
            </w:r>
            <w:r w:rsidR="00962C41" w:rsidRPr="007A75EC">
              <w:rPr>
                <w:sz w:val="16"/>
                <w:szCs w:val="16"/>
                <w:lang w:val="en-GB"/>
              </w:rPr>
              <w:t>(</w:t>
            </w:r>
            <w:r w:rsidR="00DB5A2B" w:rsidRPr="007A75EC">
              <w:rPr>
                <w:sz w:val="16"/>
                <w:szCs w:val="16"/>
                <w:lang w:val="en-GB"/>
              </w:rPr>
              <w:t>29</w:t>
            </w:r>
            <w:r w:rsidR="00735B2F" w:rsidRPr="007A75EC">
              <w:rPr>
                <w:sz w:val="16"/>
                <w:szCs w:val="16"/>
                <w:lang w:val="en-GB"/>
              </w:rPr>
              <w:t xml:space="preserve">, </w:t>
            </w:r>
            <w:r w:rsidR="003F3C85" w:rsidRPr="007A75EC">
              <w:rPr>
                <w:sz w:val="16"/>
                <w:szCs w:val="16"/>
                <w:lang w:val="en-GB"/>
              </w:rPr>
              <w:t xml:space="preserve">000 women, </w:t>
            </w:r>
            <w:r w:rsidR="00735B2F" w:rsidRPr="007A75EC">
              <w:rPr>
                <w:sz w:val="16"/>
                <w:szCs w:val="16"/>
                <w:lang w:val="en-GB"/>
              </w:rPr>
              <w:t xml:space="preserve">10,000 </w:t>
            </w:r>
            <w:r w:rsidR="00DB5A2B" w:rsidRPr="007A75EC">
              <w:rPr>
                <w:sz w:val="16"/>
                <w:szCs w:val="16"/>
                <w:lang w:val="en-GB"/>
              </w:rPr>
              <w:t>youth</w:t>
            </w:r>
            <w:r w:rsidR="00735B2F" w:rsidRPr="007A75EC">
              <w:rPr>
                <w:sz w:val="16"/>
                <w:szCs w:val="16"/>
                <w:lang w:val="en-GB"/>
              </w:rPr>
              <w:t>).</w:t>
            </w:r>
            <w:r w:rsidR="00962C41" w:rsidRPr="007A75EC">
              <w:rPr>
                <w:rStyle w:val="FootnoteReference"/>
                <w:sz w:val="16"/>
                <w:szCs w:val="16"/>
                <w:lang w:val="en-GB"/>
              </w:rPr>
              <w:t xml:space="preserve"> </w:t>
            </w:r>
            <w:r w:rsidR="00962C41" w:rsidRPr="007A75EC">
              <w:rPr>
                <w:rStyle w:val="FootnoteReference"/>
                <w:sz w:val="16"/>
                <w:szCs w:val="16"/>
                <w:lang w:val="en-GB"/>
              </w:rPr>
              <w:footnoteReference w:id="50"/>
            </w:r>
          </w:p>
          <w:p w:rsidR="007E72E4" w:rsidRPr="00971930" w:rsidRDefault="007E72E4" w:rsidP="007B5453">
            <w:pPr>
              <w:jc w:val="both"/>
              <w:rPr>
                <w:b/>
                <w:i/>
                <w:sz w:val="16"/>
                <w:szCs w:val="16"/>
                <w:lang w:val="en-GB"/>
              </w:rPr>
            </w:pPr>
            <w:r w:rsidRPr="00971930">
              <w:rPr>
                <w:b/>
                <w:i/>
                <w:sz w:val="16"/>
                <w:szCs w:val="16"/>
                <w:lang w:val="en-GB"/>
              </w:rPr>
              <w:t xml:space="preserve">Target: </w:t>
            </w:r>
            <w:r w:rsidR="00510D4E" w:rsidRPr="00971930">
              <w:rPr>
                <w:sz w:val="16"/>
                <w:szCs w:val="16"/>
                <w:lang w:val="en-GB"/>
              </w:rPr>
              <w:t>220</w:t>
            </w:r>
            <w:r w:rsidR="00E37564" w:rsidRPr="00971930">
              <w:rPr>
                <w:sz w:val="16"/>
                <w:szCs w:val="16"/>
                <w:lang w:val="en-GB"/>
              </w:rPr>
              <w:t>,000 (</w:t>
            </w:r>
            <w:r w:rsidR="00962C41" w:rsidRPr="00971930">
              <w:rPr>
                <w:sz w:val="16"/>
                <w:szCs w:val="16"/>
                <w:lang w:val="en-GB"/>
              </w:rPr>
              <w:t>100,000 women,</w:t>
            </w:r>
            <w:r w:rsidR="00E37564" w:rsidRPr="00971930">
              <w:rPr>
                <w:sz w:val="16"/>
                <w:szCs w:val="16"/>
                <w:lang w:val="en-GB"/>
              </w:rPr>
              <w:t xml:space="preserve"> 120</w:t>
            </w:r>
            <w:r w:rsidR="0041399E" w:rsidRPr="00971930">
              <w:rPr>
                <w:sz w:val="16"/>
                <w:szCs w:val="16"/>
                <w:lang w:val="en-GB"/>
              </w:rPr>
              <w:t>,</w:t>
            </w:r>
            <w:r w:rsidR="00E37564" w:rsidRPr="00971930">
              <w:rPr>
                <w:sz w:val="16"/>
                <w:szCs w:val="16"/>
                <w:lang w:val="en-GB"/>
              </w:rPr>
              <w:t>000 yo</w:t>
            </w:r>
            <w:r w:rsidR="00505F69" w:rsidRPr="00971930">
              <w:rPr>
                <w:sz w:val="16"/>
                <w:szCs w:val="16"/>
                <w:lang w:val="en-GB"/>
              </w:rPr>
              <w:t>uth</w:t>
            </w:r>
            <w:r w:rsidR="008F57F6" w:rsidRPr="00971930">
              <w:rPr>
                <w:sz w:val="16"/>
                <w:szCs w:val="16"/>
                <w:lang w:val="en-GB"/>
              </w:rPr>
              <w:t>)</w:t>
            </w:r>
            <w:r w:rsidR="001F4B1B" w:rsidRPr="00971930">
              <w:rPr>
                <w:rStyle w:val="FootnoteReference"/>
                <w:sz w:val="16"/>
                <w:szCs w:val="16"/>
                <w:lang w:val="en-GB"/>
              </w:rPr>
              <w:footnoteReference w:id="51"/>
            </w:r>
          </w:p>
          <w:p w:rsidR="00854457" w:rsidRPr="007A75EC" w:rsidRDefault="00A95128" w:rsidP="00854457">
            <w:pPr>
              <w:jc w:val="both"/>
              <w:rPr>
                <w:b/>
                <w:sz w:val="16"/>
                <w:szCs w:val="16"/>
                <w:lang w:val="en-GB"/>
              </w:rPr>
            </w:pPr>
            <w:r w:rsidRPr="007A75EC">
              <w:rPr>
                <w:rFonts w:eastAsia="Calibri"/>
                <w:b/>
                <w:sz w:val="16"/>
                <w:szCs w:val="16"/>
                <w:lang w:val="en-GB"/>
              </w:rPr>
              <w:lastRenderedPageBreak/>
              <w:t xml:space="preserve">Output </w:t>
            </w:r>
            <w:r w:rsidR="008F57F6" w:rsidRPr="007A75EC">
              <w:rPr>
                <w:b/>
                <w:sz w:val="16"/>
                <w:szCs w:val="16"/>
                <w:lang w:val="en-GB"/>
              </w:rPr>
              <w:t>1</w:t>
            </w:r>
            <w:r w:rsidR="00854457" w:rsidRPr="007A75EC">
              <w:rPr>
                <w:b/>
                <w:sz w:val="16"/>
                <w:szCs w:val="16"/>
                <w:lang w:val="en-GB"/>
              </w:rPr>
              <w:t>.3.</w:t>
            </w:r>
            <w:r w:rsidR="00854457" w:rsidRPr="007A75EC">
              <w:rPr>
                <w:sz w:val="16"/>
                <w:szCs w:val="16"/>
                <w:lang w:val="en-GB"/>
              </w:rPr>
              <w:t xml:space="preserve"> </w:t>
            </w:r>
            <w:r w:rsidR="00612119" w:rsidRPr="007A75EC">
              <w:rPr>
                <w:b/>
                <w:sz w:val="16"/>
                <w:szCs w:val="16"/>
                <w:lang w:val="en-GB"/>
              </w:rPr>
              <w:t>C</w:t>
            </w:r>
            <w:r w:rsidR="00C2797D" w:rsidRPr="007A75EC">
              <w:rPr>
                <w:b/>
                <w:sz w:val="16"/>
                <w:szCs w:val="16"/>
                <w:lang w:val="en-GB"/>
              </w:rPr>
              <w:t xml:space="preserve">apacity </w:t>
            </w:r>
            <w:r w:rsidR="00854457" w:rsidRPr="007A75EC">
              <w:rPr>
                <w:b/>
                <w:sz w:val="16"/>
                <w:szCs w:val="16"/>
                <w:lang w:val="en-GB"/>
              </w:rPr>
              <w:t xml:space="preserve">of </w:t>
            </w:r>
            <w:r w:rsidR="001D278A" w:rsidRPr="007A75EC">
              <w:rPr>
                <w:b/>
                <w:sz w:val="16"/>
                <w:szCs w:val="16"/>
                <w:lang w:val="en-GB"/>
              </w:rPr>
              <w:t xml:space="preserve">national and </w:t>
            </w:r>
            <w:r w:rsidR="00854457" w:rsidRPr="007A75EC">
              <w:rPr>
                <w:b/>
                <w:sz w:val="16"/>
                <w:szCs w:val="16"/>
                <w:lang w:val="en-GB"/>
              </w:rPr>
              <w:t>subnational</w:t>
            </w:r>
            <w:r w:rsidR="003A7CDB" w:rsidRPr="00CA06FC">
              <w:rPr>
                <w:b/>
                <w:sz w:val="16"/>
                <w:szCs w:val="16"/>
                <w:lang w:val="en-GB"/>
              </w:rPr>
              <w:t>-</w:t>
            </w:r>
            <w:r w:rsidR="00854457" w:rsidRPr="007A75EC">
              <w:rPr>
                <w:b/>
                <w:sz w:val="16"/>
                <w:szCs w:val="16"/>
                <w:lang w:val="en-GB"/>
              </w:rPr>
              <w:t xml:space="preserve">level institutions </w:t>
            </w:r>
            <w:r w:rsidR="00612119" w:rsidRPr="007A75EC">
              <w:rPr>
                <w:b/>
                <w:sz w:val="16"/>
                <w:szCs w:val="16"/>
                <w:lang w:val="en-GB"/>
              </w:rPr>
              <w:t>strengthened</w:t>
            </w:r>
            <w:r w:rsidR="00854457" w:rsidRPr="007A75EC">
              <w:rPr>
                <w:b/>
                <w:sz w:val="16"/>
                <w:szCs w:val="16"/>
                <w:lang w:val="en-GB"/>
              </w:rPr>
              <w:t xml:space="preserve"> to deliver improved basic services, formulate pro-poor and gender</w:t>
            </w:r>
            <w:r w:rsidR="003A7CDB" w:rsidRPr="00CA06FC">
              <w:rPr>
                <w:b/>
                <w:sz w:val="16"/>
                <w:szCs w:val="16"/>
                <w:lang w:val="en-GB"/>
              </w:rPr>
              <w:t>-</w:t>
            </w:r>
            <w:r w:rsidR="00854457" w:rsidRPr="007A75EC">
              <w:rPr>
                <w:b/>
                <w:sz w:val="16"/>
                <w:szCs w:val="16"/>
                <w:lang w:val="en-GB"/>
              </w:rPr>
              <w:t>sensitive strategies and plans</w:t>
            </w:r>
            <w:r w:rsidR="00C2797D" w:rsidRPr="007A75EC">
              <w:rPr>
                <w:b/>
                <w:sz w:val="16"/>
                <w:szCs w:val="16"/>
                <w:lang w:val="en-GB"/>
              </w:rPr>
              <w:t>.</w:t>
            </w:r>
          </w:p>
          <w:p w:rsidR="00854457" w:rsidRPr="007A75EC" w:rsidRDefault="00854457" w:rsidP="00854457">
            <w:pPr>
              <w:jc w:val="both"/>
              <w:rPr>
                <w:rFonts w:eastAsia="Calibri"/>
                <w:sz w:val="16"/>
                <w:szCs w:val="16"/>
                <w:lang w:val="en-GB"/>
              </w:rPr>
            </w:pPr>
          </w:p>
          <w:p w:rsidR="00854457" w:rsidRPr="007A75EC" w:rsidRDefault="00854457" w:rsidP="00854457">
            <w:pPr>
              <w:jc w:val="both"/>
              <w:rPr>
                <w:rFonts w:eastAsia="Calibri"/>
                <w:sz w:val="16"/>
                <w:szCs w:val="16"/>
                <w:lang w:val="en-GB"/>
              </w:rPr>
            </w:pPr>
            <w:r w:rsidRPr="007A75EC">
              <w:rPr>
                <w:rFonts w:eastAsia="Calibri"/>
                <w:b/>
                <w:sz w:val="16"/>
                <w:szCs w:val="16"/>
                <w:lang w:val="en-GB"/>
              </w:rPr>
              <w:t xml:space="preserve">Indicator </w:t>
            </w:r>
            <w:r w:rsidR="008F57F6" w:rsidRPr="007A75EC">
              <w:rPr>
                <w:rFonts w:eastAsia="Calibri"/>
                <w:b/>
                <w:sz w:val="16"/>
                <w:szCs w:val="16"/>
                <w:lang w:val="en-GB"/>
              </w:rPr>
              <w:t>1</w:t>
            </w:r>
            <w:r w:rsidRPr="007A75EC">
              <w:rPr>
                <w:rFonts w:eastAsia="Calibri"/>
                <w:b/>
                <w:sz w:val="16"/>
                <w:szCs w:val="16"/>
                <w:lang w:val="en-GB"/>
              </w:rPr>
              <w:t>.3.</w:t>
            </w:r>
            <w:r w:rsidR="00A95128" w:rsidRPr="007A75EC">
              <w:rPr>
                <w:rFonts w:eastAsia="Calibri"/>
                <w:b/>
                <w:sz w:val="16"/>
                <w:szCs w:val="16"/>
                <w:lang w:val="en-GB"/>
              </w:rPr>
              <w:t>1</w:t>
            </w:r>
            <w:r w:rsidR="001569BA">
              <w:rPr>
                <w:rFonts w:eastAsia="Calibri"/>
                <w:b/>
                <w:sz w:val="16"/>
                <w:szCs w:val="16"/>
                <w:lang w:val="en-GB"/>
              </w:rPr>
              <w:t>.</w:t>
            </w:r>
            <w:r w:rsidRPr="007A75EC">
              <w:rPr>
                <w:rFonts w:eastAsia="Calibri"/>
                <w:b/>
                <w:sz w:val="16"/>
                <w:szCs w:val="16"/>
                <w:lang w:val="en-GB"/>
              </w:rPr>
              <w:t xml:space="preserve"> </w:t>
            </w:r>
            <w:r w:rsidRPr="007A75EC">
              <w:rPr>
                <w:rFonts w:eastAsia="Calibri"/>
                <w:sz w:val="16"/>
                <w:szCs w:val="16"/>
                <w:lang w:val="en-GB"/>
              </w:rPr>
              <w:t xml:space="preserve">Number </w:t>
            </w:r>
            <w:r w:rsidR="001D278A" w:rsidRPr="007A75EC">
              <w:rPr>
                <w:rFonts w:eastAsia="Calibri"/>
                <w:sz w:val="16"/>
                <w:szCs w:val="16"/>
                <w:lang w:val="en-GB"/>
              </w:rPr>
              <w:t xml:space="preserve">of national and </w:t>
            </w:r>
            <w:r w:rsidRPr="007A75EC">
              <w:rPr>
                <w:rFonts w:eastAsia="Calibri"/>
                <w:sz w:val="16"/>
                <w:szCs w:val="16"/>
                <w:lang w:val="en-GB"/>
              </w:rPr>
              <w:t>subnational governments w</w:t>
            </w:r>
            <w:r w:rsidR="00C2797D" w:rsidRPr="007A75EC">
              <w:rPr>
                <w:rFonts w:eastAsia="Calibri"/>
                <w:sz w:val="16"/>
                <w:szCs w:val="16"/>
                <w:lang w:val="en-GB"/>
              </w:rPr>
              <w:t>ith</w:t>
            </w:r>
            <w:r w:rsidRPr="007A75EC">
              <w:rPr>
                <w:rFonts w:eastAsia="Calibri"/>
                <w:sz w:val="16"/>
                <w:szCs w:val="16"/>
                <w:lang w:val="en-GB"/>
              </w:rPr>
              <w:t xml:space="preserve"> functioning planning, budgeting and monitoring systems</w:t>
            </w:r>
            <w:r w:rsidR="00C2797D" w:rsidRPr="007A75EC">
              <w:rPr>
                <w:rFonts w:eastAsia="Calibri"/>
                <w:sz w:val="16"/>
                <w:szCs w:val="16"/>
                <w:lang w:val="en-GB"/>
              </w:rPr>
              <w:t>.</w:t>
            </w:r>
          </w:p>
          <w:p w:rsidR="00854457" w:rsidRPr="007A75EC" w:rsidRDefault="00854457" w:rsidP="00854457">
            <w:pPr>
              <w:jc w:val="both"/>
              <w:rPr>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2</w:t>
            </w:r>
            <w:r w:rsidR="001D278A" w:rsidRPr="007A75EC">
              <w:rPr>
                <w:sz w:val="16"/>
                <w:szCs w:val="16"/>
                <w:lang w:val="en-GB"/>
              </w:rPr>
              <w:t xml:space="preserve"> </w:t>
            </w:r>
            <w:r w:rsidR="00736EA4" w:rsidRPr="007A75EC">
              <w:rPr>
                <w:rStyle w:val="FootnoteReference"/>
                <w:sz w:val="16"/>
                <w:szCs w:val="16"/>
                <w:lang w:val="en-GB"/>
              </w:rPr>
              <w:footnoteReference w:id="52"/>
            </w:r>
          </w:p>
          <w:p w:rsidR="00854457" w:rsidRPr="007A75EC" w:rsidRDefault="00854457" w:rsidP="00854457">
            <w:pPr>
              <w:jc w:val="both"/>
              <w:rPr>
                <w:b/>
                <w:sz w:val="16"/>
                <w:szCs w:val="16"/>
                <w:lang w:val="en-GB"/>
              </w:rPr>
            </w:pPr>
            <w:r w:rsidRPr="007A75EC">
              <w:rPr>
                <w:b/>
                <w:i/>
                <w:sz w:val="16"/>
                <w:szCs w:val="16"/>
                <w:lang w:val="en-GB"/>
              </w:rPr>
              <w:t>Target:</w:t>
            </w:r>
            <w:r w:rsidRPr="007A75EC">
              <w:rPr>
                <w:b/>
                <w:sz w:val="16"/>
                <w:szCs w:val="16"/>
                <w:lang w:val="en-GB"/>
              </w:rPr>
              <w:t xml:space="preserve">  </w:t>
            </w:r>
            <w:r w:rsidRPr="007A75EC">
              <w:rPr>
                <w:sz w:val="16"/>
                <w:szCs w:val="16"/>
                <w:lang w:val="en-GB"/>
              </w:rPr>
              <w:t>6</w:t>
            </w:r>
            <w:r w:rsidR="00736EA4" w:rsidRPr="007A75EC">
              <w:rPr>
                <w:rStyle w:val="FootnoteReference"/>
                <w:sz w:val="16"/>
                <w:szCs w:val="16"/>
                <w:lang w:val="en-GB"/>
              </w:rPr>
              <w:footnoteReference w:id="53"/>
            </w:r>
            <w:r w:rsidR="001D278A" w:rsidRPr="007A75EC">
              <w:rPr>
                <w:b/>
                <w:sz w:val="16"/>
                <w:szCs w:val="16"/>
                <w:lang w:val="en-GB"/>
              </w:rPr>
              <w:t xml:space="preserve"> </w:t>
            </w:r>
          </w:p>
          <w:p w:rsidR="00854457" w:rsidRPr="007A75EC" w:rsidRDefault="00854457" w:rsidP="00854457">
            <w:pPr>
              <w:jc w:val="both"/>
              <w:rPr>
                <w:b/>
                <w:sz w:val="16"/>
                <w:szCs w:val="16"/>
                <w:lang w:val="en-GB"/>
              </w:rPr>
            </w:pPr>
          </w:p>
          <w:p w:rsidR="00854457" w:rsidRPr="007A75EC" w:rsidRDefault="00854457" w:rsidP="00854457">
            <w:pPr>
              <w:jc w:val="both"/>
              <w:rPr>
                <w:sz w:val="16"/>
                <w:szCs w:val="16"/>
                <w:lang w:val="en-GB"/>
              </w:rPr>
            </w:pPr>
            <w:r w:rsidRPr="007A75EC">
              <w:rPr>
                <w:b/>
                <w:sz w:val="16"/>
                <w:szCs w:val="16"/>
                <w:lang w:val="en-GB"/>
              </w:rPr>
              <w:t xml:space="preserve">Indicator </w:t>
            </w:r>
            <w:r w:rsidR="008F57F6" w:rsidRPr="007A75EC">
              <w:rPr>
                <w:b/>
                <w:sz w:val="16"/>
                <w:szCs w:val="16"/>
                <w:lang w:val="en-GB"/>
              </w:rPr>
              <w:t>1</w:t>
            </w:r>
            <w:r w:rsidRPr="007A75EC">
              <w:rPr>
                <w:b/>
                <w:sz w:val="16"/>
                <w:szCs w:val="16"/>
                <w:lang w:val="en-GB"/>
              </w:rPr>
              <w:t>.3.</w:t>
            </w:r>
            <w:r w:rsidR="008F57F6" w:rsidRPr="007A75EC">
              <w:rPr>
                <w:b/>
                <w:sz w:val="16"/>
                <w:szCs w:val="16"/>
                <w:lang w:val="en-GB"/>
              </w:rPr>
              <w:t>2</w:t>
            </w:r>
            <w:r w:rsidR="001569BA">
              <w:rPr>
                <w:b/>
                <w:sz w:val="16"/>
                <w:szCs w:val="16"/>
                <w:lang w:val="en-GB"/>
              </w:rPr>
              <w:t>.</w:t>
            </w:r>
            <w:r w:rsidRPr="007A75EC">
              <w:rPr>
                <w:b/>
                <w:sz w:val="16"/>
                <w:szCs w:val="16"/>
                <w:lang w:val="en-GB"/>
              </w:rPr>
              <w:t xml:space="preserve"> </w:t>
            </w:r>
            <w:r w:rsidR="003A7CDB" w:rsidRPr="00CA06FC">
              <w:rPr>
                <w:sz w:val="16"/>
                <w:szCs w:val="16"/>
                <w:lang w:val="en-GB"/>
              </w:rPr>
              <w:t>N</w:t>
            </w:r>
            <w:r w:rsidR="003F3C85" w:rsidRPr="007A75EC">
              <w:rPr>
                <w:sz w:val="16"/>
                <w:szCs w:val="16"/>
                <w:lang w:val="en-GB"/>
              </w:rPr>
              <w:t>umber of</w:t>
            </w:r>
            <w:r w:rsidRPr="007A75EC">
              <w:rPr>
                <w:sz w:val="16"/>
                <w:szCs w:val="16"/>
                <w:lang w:val="en-GB"/>
              </w:rPr>
              <w:t xml:space="preserve"> national statistical surveys </w:t>
            </w:r>
            <w:r w:rsidR="003A7CDB" w:rsidRPr="00CA06FC">
              <w:rPr>
                <w:sz w:val="16"/>
                <w:szCs w:val="16"/>
                <w:lang w:val="en-GB"/>
              </w:rPr>
              <w:t xml:space="preserve">that </w:t>
            </w:r>
            <w:r w:rsidRPr="007A75EC">
              <w:rPr>
                <w:sz w:val="16"/>
                <w:szCs w:val="16"/>
                <w:lang w:val="en-GB"/>
              </w:rPr>
              <w:t>produced inform</w:t>
            </w:r>
            <w:r w:rsidR="00E014D0" w:rsidRPr="007A75EC">
              <w:rPr>
                <w:sz w:val="16"/>
                <w:szCs w:val="16"/>
                <w:lang w:val="en-GB"/>
              </w:rPr>
              <w:t>ed,</w:t>
            </w:r>
            <w:r w:rsidRPr="007A75EC">
              <w:rPr>
                <w:sz w:val="16"/>
                <w:szCs w:val="16"/>
                <w:lang w:val="en-GB"/>
              </w:rPr>
              <w:t xml:space="preserve"> </w:t>
            </w:r>
            <w:r w:rsidR="00E014D0" w:rsidRPr="007A75EC">
              <w:rPr>
                <w:sz w:val="16"/>
                <w:szCs w:val="16"/>
                <w:lang w:val="en-GB"/>
              </w:rPr>
              <w:t>gender</w:t>
            </w:r>
            <w:r w:rsidR="003A7CDB" w:rsidRPr="00CA06FC">
              <w:rPr>
                <w:sz w:val="16"/>
                <w:szCs w:val="16"/>
                <w:lang w:val="en-GB"/>
              </w:rPr>
              <w:t>-</w:t>
            </w:r>
            <w:r w:rsidR="00E014D0" w:rsidRPr="007A75EC">
              <w:rPr>
                <w:sz w:val="16"/>
                <w:szCs w:val="16"/>
                <w:lang w:val="en-GB"/>
              </w:rPr>
              <w:t xml:space="preserve">sensitive </w:t>
            </w:r>
            <w:r w:rsidRPr="007A75EC">
              <w:rPr>
                <w:sz w:val="16"/>
                <w:szCs w:val="16"/>
                <w:lang w:val="en-GB"/>
              </w:rPr>
              <w:t>policies</w:t>
            </w:r>
            <w:r w:rsidR="003A7CDB" w:rsidRPr="00CA06FC">
              <w:rPr>
                <w:sz w:val="16"/>
                <w:szCs w:val="16"/>
                <w:lang w:val="en-GB"/>
              </w:rPr>
              <w:t xml:space="preserve"> and </w:t>
            </w:r>
            <w:r w:rsidRPr="007A75EC">
              <w:rPr>
                <w:sz w:val="16"/>
                <w:szCs w:val="16"/>
                <w:lang w:val="en-GB"/>
              </w:rPr>
              <w:t>plans</w:t>
            </w:r>
            <w:r w:rsidR="00E014D0" w:rsidRPr="007A75EC">
              <w:rPr>
                <w:sz w:val="16"/>
                <w:szCs w:val="16"/>
                <w:lang w:val="en-GB"/>
              </w:rPr>
              <w:t>.</w:t>
            </w:r>
            <w:r w:rsidRPr="007A75EC">
              <w:rPr>
                <w:sz w:val="16"/>
                <w:szCs w:val="16"/>
                <w:lang w:val="en-GB"/>
              </w:rPr>
              <w:t xml:space="preserve"> </w:t>
            </w:r>
          </w:p>
          <w:p w:rsidR="00854457" w:rsidRPr="007A75EC" w:rsidRDefault="00854457" w:rsidP="00854457">
            <w:pPr>
              <w:jc w:val="both"/>
              <w:rPr>
                <w:b/>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2</w:t>
            </w:r>
            <w:r w:rsidR="00F414E5" w:rsidRPr="007A75EC">
              <w:rPr>
                <w:rStyle w:val="FootnoteReference"/>
                <w:sz w:val="16"/>
                <w:szCs w:val="16"/>
                <w:lang w:val="en-GB"/>
              </w:rPr>
              <w:footnoteReference w:id="54"/>
            </w:r>
          </w:p>
          <w:p w:rsidR="00680B1A" w:rsidRPr="00971930" w:rsidRDefault="00854457" w:rsidP="007B5453">
            <w:pPr>
              <w:jc w:val="both"/>
              <w:rPr>
                <w:sz w:val="16"/>
                <w:szCs w:val="16"/>
                <w:lang w:val="en-GB"/>
              </w:rPr>
            </w:pPr>
            <w:r w:rsidRPr="007A75EC">
              <w:rPr>
                <w:b/>
                <w:i/>
                <w:sz w:val="16"/>
                <w:szCs w:val="16"/>
                <w:lang w:val="en-GB"/>
              </w:rPr>
              <w:t>Target:</w:t>
            </w:r>
            <w:r w:rsidRPr="007A75EC">
              <w:rPr>
                <w:sz w:val="16"/>
                <w:szCs w:val="16"/>
                <w:lang w:val="en-GB"/>
              </w:rPr>
              <w:t xml:space="preserve"> 5</w:t>
            </w:r>
          </w:p>
        </w:tc>
        <w:tc>
          <w:tcPr>
            <w:tcW w:w="881" w:type="pct"/>
            <w:tcBorders>
              <w:top w:val="single" w:sz="4" w:space="0" w:color="auto"/>
              <w:bottom w:val="single" w:sz="4" w:space="0" w:color="auto"/>
            </w:tcBorders>
          </w:tcPr>
          <w:p w:rsidR="009908A8" w:rsidRPr="007A75EC" w:rsidRDefault="001C25D9" w:rsidP="00DD42ED">
            <w:pPr>
              <w:rPr>
                <w:sz w:val="16"/>
                <w:szCs w:val="16"/>
                <w:lang w:val="en-GB"/>
              </w:rPr>
            </w:pPr>
            <w:r w:rsidRPr="007A75EC">
              <w:rPr>
                <w:sz w:val="16"/>
                <w:szCs w:val="16"/>
                <w:lang w:val="en-GB"/>
              </w:rPr>
              <w:lastRenderedPageBreak/>
              <w:t>M</w:t>
            </w:r>
            <w:r w:rsidR="009908A8" w:rsidRPr="007A75EC">
              <w:rPr>
                <w:sz w:val="16"/>
                <w:szCs w:val="16"/>
                <w:lang w:val="en-GB"/>
              </w:rPr>
              <w:t xml:space="preserve">inistry </w:t>
            </w:r>
            <w:r w:rsidR="00EB472F" w:rsidRPr="007A75EC">
              <w:rPr>
                <w:sz w:val="16"/>
                <w:szCs w:val="16"/>
                <w:lang w:val="en-GB"/>
              </w:rPr>
              <w:t>of Youth</w:t>
            </w:r>
            <w:r w:rsidR="009908A8" w:rsidRPr="007A75EC">
              <w:rPr>
                <w:sz w:val="16"/>
                <w:szCs w:val="16"/>
                <w:lang w:val="en-GB"/>
              </w:rPr>
              <w:t xml:space="preserve"> and Sports </w:t>
            </w:r>
          </w:p>
          <w:p w:rsidR="009908A8" w:rsidRPr="007A75EC" w:rsidRDefault="001C25D9" w:rsidP="00DD42ED">
            <w:pPr>
              <w:rPr>
                <w:sz w:val="16"/>
                <w:szCs w:val="16"/>
                <w:lang w:val="en-GB"/>
              </w:rPr>
            </w:pPr>
            <w:r w:rsidRPr="007A75EC">
              <w:rPr>
                <w:sz w:val="16"/>
                <w:szCs w:val="16"/>
                <w:lang w:val="en-GB"/>
              </w:rPr>
              <w:t>M</w:t>
            </w:r>
            <w:r w:rsidR="009908A8" w:rsidRPr="007A75EC">
              <w:rPr>
                <w:sz w:val="16"/>
                <w:szCs w:val="16"/>
                <w:lang w:val="en-GB"/>
              </w:rPr>
              <w:t>inistry of Trade, Industry and Employment</w:t>
            </w:r>
            <w:r w:rsidR="001D3D4B" w:rsidRPr="00CA06FC">
              <w:rPr>
                <w:sz w:val="16"/>
                <w:szCs w:val="16"/>
                <w:lang w:val="en-GB"/>
              </w:rPr>
              <w:t xml:space="preserve"> (M</w:t>
            </w:r>
            <w:r w:rsidR="001D3D4B" w:rsidRPr="00522402">
              <w:rPr>
                <w:sz w:val="16"/>
                <w:szCs w:val="16"/>
                <w:lang w:val="en-GB"/>
              </w:rPr>
              <w:t>O</w:t>
            </w:r>
            <w:r w:rsidR="00BB3C74" w:rsidRPr="00522402">
              <w:rPr>
                <w:sz w:val="16"/>
                <w:szCs w:val="16"/>
                <w:lang w:val="en-GB"/>
              </w:rPr>
              <w:t>TIE)</w:t>
            </w:r>
          </w:p>
          <w:p w:rsidR="006B5E3A" w:rsidRPr="007A75EC" w:rsidRDefault="001C25D9" w:rsidP="00DD42ED">
            <w:pPr>
              <w:rPr>
                <w:sz w:val="16"/>
                <w:szCs w:val="16"/>
                <w:lang w:val="en-GB"/>
              </w:rPr>
            </w:pPr>
            <w:r w:rsidRPr="007A75EC">
              <w:rPr>
                <w:sz w:val="16"/>
                <w:szCs w:val="16"/>
                <w:lang w:val="en-GB"/>
              </w:rPr>
              <w:t>M</w:t>
            </w:r>
            <w:r w:rsidR="009908A8" w:rsidRPr="007A75EC">
              <w:rPr>
                <w:sz w:val="16"/>
                <w:szCs w:val="16"/>
                <w:lang w:val="en-GB"/>
              </w:rPr>
              <w:t>inistry of Finance</w:t>
            </w:r>
            <w:r w:rsidR="001D3D4B" w:rsidRPr="00CA06FC">
              <w:rPr>
                <w:sz w:val="16"/>
                <w:szCs w:val="16"/>
                <w:lang w:val="en-GB"/>
              </w:rPr>
              <w:t xml:space="preserve"> </w:t>
            </w:r>
            <w:r w:rsidR="001D3D4B" w:rsidRPr="00522402">
              <w:rPr>
                <w:sz w:val="16"/>
                <w:szCs w:val="16"/>
                <w:lang w:val="en-GB"/>
              </w:rPr>
              <w:t>and Economic Affairs (</w:t>
            </w:r>
            <w:r w:rsidR="001D3D4B" w:rsidRPr="002921ED">
              <w:rPr>
                <w:sz w:val="16"/>
                <w:szCs w:val="16"/>
                <w:lang w:val="en-GB"/>
              </w:rPr>
              <w:t>MOFEA)</w:t>
            </w:r>
          </w:p>
          <w:p w:rsidR="006B5E3A" w:rsidRPr="007A75EC" w:rsidRDefault="009B30BF" w:rsidP="00DD42ED">
            <w:pPr>
              <w:rPr>
                <w:sz w:val="16"/>
                <w:szCs w:val="16"/>
                <w:lang w:val="en-GB"/>
              </w:rPr>
            </w:pPr>
            <w:r w:rsidRPr="007A75EC">
              <w:rPr>
                <w:sz w:val="16"/>
                <w:szCs w:val="16"/>
                <w:lang w:val="en-GB"/>
              </w:rPr>
              <w:t>D</w:t>
            </w:r>
            <w:r w:rsidR="006B5E3A" w:rsidRPr="007A75EC">
              <w:rPr>
                <w:sz w:val="16"/>
                <w:szCs w:val="16"/>
                <w:lang w:val="en-GB"/>
              </w:rPr>
              <w:t>epartment of Social Welfare</w:t>
            </w:r>
          </w:p>
          <w:p w:rsidR="001C25D9" w:rsidRPr="007A75EC" w:rsidRDefault="006B5E3A" w:rsidP="00DD42ED">
            <w:pPr>
              <w:rPr>
                <w:sz w:val="16"/>
                <w:szCs w:val="16"/>
                <w:lang w:val="en-GB"/>
              </w:rPr>
            </w:pPr>
            <w:r w:rsidRPr="007A75EC">
              <w:rPr>
                <w:sz w:val="16"/>
                <w:szCs w:val="16"/>
                <w:lang w:val="en-GB"/>
              </w:rPr>
              <w:t>Ministry of Energy</w:t>
            </w:r>
            <w:r w:rsidR="001D3D4B" w:rsidRPr="00CA06FC">
              <w:rPr>
                <w:sz w:val="16"/>
                <w:szCs w:val="16"/>
                <w:lang w:val="en-GB"/>
              </w:rPr>
              <w:t xml:space="preserve"> (MOE)</w:t>
            </w:r>
          </w:p>
          <w:p w:rsidR="001C25D9" w:rsidRPr="00CA06FC" w:rsidRDefault="001C25D9" w:rsidP="00DD42ED">
            <w:pPr>
              <w:rPr>
                <w:iCs/>
                <w:sz w:val="16"/>
                <w:szCs w:val="16"/>
                <w:lang w:val="en-GB"/>
              </w:rPr>
            </w:pPr>
          </w:p>
          <w:p w:rsidR="001C25D9" w:rsidRPr="00522402" w:rsidRDefault="001C25D9" w:rsidP="00DD42ED">
            <w:pPr>
              <w:rPr>
                <w:iCs/>
                <w:sz w:val="16"/>
                <w:szCs w:val="16"/>
                <w:lang w:val="en-GB"/>
              </w:rPr>
            </w:pPr>
          </w:p>
          <w:p w:rsidR="001C25D9" w:rsidRPr="002921ED" w:rsidRDefault="001C25D9" w:rsidP="00DD42ED">
            <w:pPr>
              <w:rPr>
                <w:iCs/>
                <w:sz w:val="16"/>
                <w:szCs w:val="16"/>
                <w:lang w:val="en-GB"/>
              </w:rPr>
            </w:pPr>
          </w:p>
          <w:p w:rsidR="001C25D9" w:rsidRPr="002921ED" w:rsidRDefault="001C25D9" w:rsidP="00DD42ED">
            <w:pPr>
              <w:rPr>
                <w:iCs/>
                <w:sz w:val="16"/>
                <w:szCs w:val="16"/>
                <w:lang w:val="en-GB"/>
              </w:rPr>
            </w:pPr>
          </w:p>
          <w:p w:rsidR="001C25D9" w:rsidRPr="002921ED" w:rsidRDefault="001C25D9" w:rsidP="00DD42ED">
            <w:pPr>
              <w:rPr>
                <w:iCs/>
                <w:sz w:val="16"/>
                <w:szCs w:val="16"/>
                <w:lang w:val="en-GB"/>
              </w:rPr>
            </w:pPr>
          </w:p>
          <w:p w:rsidR="001C25D9" w:rsidRPr="002921ED" w:rsidRDefault="001C25D9"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4051BA" w:rsidP="00DD42ED">
            <w:pPr>
              <w:rPr>
                <w:iCs/>
                <w:sz w:val="16"/>
                <w:szCs w:val="16"/>
                <w:lang w:val="en-GB"/>
              </w:rPr>
            </w:pPr>
          </w:p>
          <w:p w:rsidR="004051BA" w:rsidRPr="002921ED" w:rsidRDefault="00854457" w:rsidP="00DD42ED">
            <w:pPr>
              <w:rPr>
                <w:iCs/>
                <w:sz w:val="16"/>
                <w:szCs w:val="16"/>
                <w:lang w:val="en-GB"/>
              </w:rPr>
            </w:pPr>
            <w:r w:rsidRPr="002921ED">
              <w:rPr>
                <w:iCs/>
                <w:sz w:val="16"/>
                <w:szCs w:val="16"/>
                <w:lang w:val="en-GB"/>
              </w:rPr>
              <w:t>Gambia Bureau of Statistics</w:t>
            </w:r>
          </w:p>
          <w:p w:rsidR="00854457" w:rsidRPr="002921ED" w:rsidRDefault="00854457" w:rsidP="00DD42ED">
            <w:pPr>
              <w:rPr>
                <w:iCs/>
                <w:sz w:val="16"/>
                <w:szCs w:val="16"/>
                <w:lang w:val="en-GB"/>
              </w:rPr>
            </w:pPr>
            <w:r w:rsidRPr="002921ED">
              <w:rPr>
                <w:iCs/>
                <w:sz w:val="16"/>
                <w:szCs w:val="16"/>
                <w:lang w:val="en-GB"/>
              </w:rPr>
              <w:t>Ministry of Planning and Policy</w:t>
            </w:r>
            <w:r w:rsidR="003A7CDB" w:rsidRPr="002921ED">
              <w:rPr>
                <w:iCs/>
                <w:sz w:val="16"/>
                <w:szCs w:val="16"/>
                <w:lang w:val="en-GB"/>
              </w:rPr>
              <w:t xml:space="preserve"> </w:t>
            </w:r>
          </w:p>
          <w:p w:rsidR="004051BA" w:rsidRPr="002921ED" w:rsidRDefault="003A7CDB" w:rsidP="004051BA">
            <w:pPr>
              <w:rPr>
                <w:iCs/>
                <w:sz w:val="16"/>
                <w:szCs w:val="16"/>
                <w:lang w:val="en-GB"/>
              </w:rPr>
            </w:pPr>
            <w:r w:rsidRPr="002921ED">
              <w:rPr>
                <w:iCs/>
                <w:sz w:val="16"/>
                <w:szCs w:val="16"/>
                <w:lang w:val="en-GB"/>
              </w:rPr>
              <w:t>MOFEA</w:t>
            </w:r>
          </w:p>
        </w:tc>
        <w:tc>
          <w:tcPr>
            <w:tcW w:w="599" w:type="pct"/>
            <w:tcBorders>
              <w:top w:val="single" w:sz="4" w:space="0" w:color="auto"/>
              <w:bottom w:val="single" w:sz="4" w:space="0" w:color="auto"/>
              <w:right w:val="single" w:sz="4" w:space="0" w:color="auto"/>
            </w:tcBorders>
            <w:tcMar>
              <w:top w:w="15" w:type="dxa"/>
              <w:left w:w="108" w:type="dxa"/>
              <w:bottom w:w="0" w:type="dxa"/>
              <w:right w:w="108" w:type="dxa"/>
            </w:tcMar>
          </w:tcPr>
          <w:p w:rsidR="00B577B5" w:rsidRPr="00CA06FC" w:rsidRDefault="001C25D9" w:rsidP="00DD42ED">
            <w:pPr>
              <w:rPr>
                <w:b/>
                <w:sz w:val="16"/>
                <w:szCs w:val="16"/>
                <w:lang w:val="en-GB"/>
              </w:rPr>
            </w:pPr>
            <w:r w:rsidRPr="007A75EC">
              <w:rPr>
                <w:b/>
                <w:sz w:val="16"/>
                <w:szCs w:val="16"/>
                <w:lang w:val="en-GB"/>
              </w:rPr>
              <w:lastRenderedPageBreak/>
              <w:t>Regular</w:t>
            </w:r>
            <w:r w:rsidR="00EB472F" w:rsidRPr="007A75EC">
              <w:rPr>
                <w:b/>
                <w:sz w:val="16"/>
                <w:szCs w:val="16"/>
                <w:lang w:val="en-GB"/>
              </w:rPr>
              <w:t xml:space="preserve"> </w:t>
            </w:r>
          </w:p>
          <w:p w:rsidR="001C25D9" w:rsidRPr="007A75EC" w:rsidRDefault="007603E6" w:rsidP="00DD42ED">
            <w:pPr>
              <w:rPr>
                <w:b/>
                <w:sz w:val="16"/>
                <w:szCs w:val="16"/>
                <w:lang w:val="en-GB"/>
              </w:rPr>
            </w:pPr>
            <w:r w:rsidRPr="007A75EC">
              <w:rPr>
                <w:b/>
                <w:sz w:val="16"/>
                <w:szCs w:val="16"/>
                <w:lang w:val="en-GB"/>
              </w:rPr>
              <w:t>$8,000</w:t>
            </w:r>
          </w:p>
          <w:p w:rsidR="009355DB" w:rsidRPr="007A75EC" w:rsidRDefault="009355DB" w:rsidP="00DD42ED">
            <w:pPr>
              <w:rPr>
                <w:b/>
                <w:sz w:val="16"/>
                <w:szCs w:val="16"/>
                <w:lang w:val="en-GB"/>
              </w:rPr>
            </w:pPr>
          </w:p>
          <w:p w:rsidR="009355DB" w:rsidRPr="007A75EC" w:rsidRDefault="009355DB" w:rsidP="00DD42ED">
            <w:pPr>
              <w:rPr>
                <w:b/>
                <w:sz w:val="16"/>
                <w:szCs w:val="16"/>
                <w:lang w:val="en-GB"/>
              </w:rPr>
            </w:pPr>
          </w:p>
          <w:p w:rsidR="009355DB" w:rsidRPr="007A75EC" w:rsidRDefault="009355DB" w:rsidP="00DD42ED">
            <w:pPr>
              <w:rPr>
                <w:b/>
                <w:sz w:val="16"/>
                <w:szCs w:val="16"/>
                <w:lang w:val="en-GB"/>
              </w:rPr>
            </w:pPr>
          </w:p>
          <w:p w:rsidR="000E1733" w:rsidRPr="007A75EC" w:rsidRDefault="009355DB" w:rsidP="00DD42ED">
            <w:pPr>
              <w:rPr>
                <w:b/>
                <w:sz w:val="16"/>
                <w:szCs w:val="16"/>
                <w:lang w:val="en-GB"/>
              </w:rPr>
            </w:pPr>
            <w:r w:rsidRPr="007A75EC">
              <w:rPr>
                <w:b/>
                <w:sz w:val="16"/>
                <w:szCs w:val="16"/>
                <w:lang w:val="en-GB"/>
              </w:rPr>
              <w:t xml:space="preserve">Other </w:t>
            </w:r>
          </w:p>
          <w:p w:rsidR="009355DB" w:rsidRPr="007A75EC" w:rsidRDefault="009355DB" w:rsidP="00DD42ED">
            <w:pPr>
              <w:rPr>
                <w:b/>
                <w:sz w:val="16"/>
                <w:szCs w:val="16"/>
                <w:lang w:val="en-GB"/>
              </w:rPr>
            </w:pPr>
            <w:r w:rsidRPr="007A75EC">
              <w:rPr>
                <w:b/>
                <w:sz w:val="16"/>
                <w:szCs w:val="16"/>
                <w:lang w:val="en-GB"/>
              </w:rPr>
              <w:t>$6,000</w:t>
            </w:r>
          </w:p>
          <w:p w:rsidR="004051BA" w:rsidRPr="00971930" w:rsidRDefault="004051BA" w:rsidP="00BF2B5D">
            <w:pPr>
              <w:rPr>
                <w:b/>
                <w:sz w:val="16"/>
                <w:szCs w:val="16"/>
                <w:lang w:val="en-GB"/>
              </w:rPr>
            </w:pPr>
          </w:p>
        </w:tc>
      </w:tr>
      <w:tr w:rsidR="00600124"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971930" w:rsidRDefault="003A7CDB" w:rsidP="00110722">
            <w:pPr>
              <w:rPr>
                <w:sz w:val="16"/>
                <w:szCs w:val="16"/>
                <w:lang w:val="en-GB"/>
              </w:rPr>
            </w:pPr>
            <w:r w:rsidRPr="00CA06FC">
              <w:rPr>
                <w:b/>
                <w:bCs/>
                <w:sz w:val="16"/>
                <w:szCs w:val="16"/>
                <w:lang w:val="en-GB"/>
              </w:rPr>
              <w:t xml:space="preserve">National priority or goal: </w:t>
            </w:r>
            <w:r w:rsidRPr="00522402">
              <w:rPr>
                <w:rFonts w:eastAsiaTheme="minorHAnsi"/>
                <w:b/>
                <w:bCs/>
                <w:sz w:val="16"/>
                <w:szCs w:val="16"/>
                <w:lang w:val="en-GB"/>
              </w:rPr>
              <w:t>improving governance and fighting corruption</w:t>
            </w:r>
          </w:p>
        </w:tc>
      </w:tr>
      <w:tr w:rsidR="00600124"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971930" w:rsidRDefault="00110722" w:rsidP="00AC7156">
            <w:pPr>
              <w:rPr>
                <w:b/>
                <w:sz w:val="16"/>
                <w:szCs w:val="16"/>
                <w:lang w:val="en-GB"/>
              </w:rPr>
            </w:pPr>
            <w:r w:rsidRPr="00CA06FC">
              <w:rPr>
                <w:b/>
                <w:bCs/>
                <w:sz w:val="16"/>
                <w:szCs w:val="16"/>
                <w:lang w:val="en-GB"/>
              </w:rPr>
              <w:t xml:space="preserve">UNDAF </w:t>
            </w:r>
            <w:r w:rsidR="003A7CDB" w:rsidRPr="00522402">
              <w:rPr>
                <w:b/>
                <w:bCs/>
                <w:sz w:val="16"/>
                <w:szCs w:val="16"/>
                <w:lang w:val="en-GB"/>
              </w:rPr>
              <w:t>outcome</w:t>
            </w:r>
            <w:r w:rsidRPr="00522402">
              <w:rPr>
                <w:b/>
                <w:bCs/>
                <w:sz w:val="16"/>
                <w:szCs w:val="16"/>
                <w:lang w:val="en-GB"/>
              </w:rPr>
              <w:t xml:space="preserve"> </w:t>
            </w:r>
            <w:r w:rsidRPr="002921ED">
              <w:rPr>
                <w:b/>
                <w:bCs/>
                <w:sz w:val="16"/>
                <w:szCs w:val="16"/>
                <w:lang w:val="en-GB"/>
              </w:rPr>
              <w:t>1.2</w:t>
            </w:r>
            <w:r w:rsidR="003A7CDB" w:rsidRPr="002921ED">
              <w:rPr>
                <w:b/>
                <w:bCs/>
                <w:sz w:val="16"/>
                <w:szCs w:val="16"/>
                <w:lang w:val="en-GB"/>
              </w:rPr>
              <w:t>.</w:t>
            </w:r>
            <w:r w:rsidRPr="002921ED">
              <w:rPr>
                <w:b/>
                <w:bCs/>
                <w:sz w:val="16"/>
                <w:szCs w:val="16"/>
                <w:lang w:val="en-GB"/>
              </w:rPr>
              <w:t xml:space="preserve"> </w:t>
            </w:r>
            <w:r w:rsidRPr="00971930">
              <w:rPr>
                <w:b/>
                <w:sz w:val="16"/>
                <w:szCs w:val="16"/>
                <w:lang w:val="en-GB"/>
              </w:rPr>
              <w:t xml:space="preserve">Institutional reforms implemented to ensure rule of law and guarantee </w:t>
            </w:r>
            <w:r w:rsidR="00BC1E9C" w:rsidRPr="00971930">
              <w:rPr>
                <w:b/>
                <w:sz w:val="16"/>
                <w:szCs w:val="16"/>
                <w:lang w:val="en-GB"/>
              </w:rPr>
              <w:t xml:space="preserve">the protection of the </w:t>
            </w:r>
            <w:r w:rsidRPr="00971930">
              <w:rPr>
                <w:b/>
                <w:sz w:val="16"/>
                <w:szCs w:val="16"/>
                <w:lang w:val="en-GB"/>
              </w:rPr>
              <w:t>human rights</w:t>
            </w:r>
            <w:r w:rsidR="00BC1E9C" w:rsidRPr="00971930">
              <w:rPr>
                <w:b/>
                <w:sz w:val="16"/>
                <w:szCs w:val="16"/>
                <w:lang w:val="en-GB"/>
              </w:rPr>
              <w:t xml:space="preserve"> of all</w:t>
            </w:r>
            <w:r w:rsidR="003A7CDB" w:rsidRPr="00CA06FC">
              <w:rPr>
                <w:b/>
                <w:sz w:val="16"/>
                <w:szCs w:val="16"/>
                <w:lang w:val="en-GB"/>
              </w:rPr>
              <w:t>,</w:t>
            </w:r>
            <w:r w:rsidR="00BC1E9C" w:rsidRPr="00971930">
              <w:rPr>
                <w:b/>
                <w:sz w:val="16"/>
                <w:szCs w:val="16"/>
                <w:lang w:val="en-GB"/>
              </w:rPr>
              <w:t xml:space="preserve"> including access to justice, gender equality, access to basic services</w:t>
            </w:r>
            <w:r w:rsidR="003A7CDB" w:rsidRPr="00CA06FC">
              <w:rPr>
                <w:b/>
                <w:sz w:val="16"/>
                <w:szCs w:val="16"/>
                <w:lang w:val="en-GB"/>
              </w:rPr>
              <w:t>,</w:t>
            </w:r>
            <w:r w:rsidR="00BC1E9C" w:rsidRPr="00971930">
              <w:rPr>
                <w:b/>
                <w:sz w:val="16"/>
                <w:szCs w:val="16"/>
                <w:lang w:val="en-GB"/>
              </w:rPr>
              <w:t xml:space="preserve"> and democratic participation in decision-making processes.</w:t>
            </w:r>
          </w:p>
        </w:tc>
      </w:tr>
      <w:tr w:rsidR="00600124"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2921ED" w:rsidRDefault="003A7CDB">
            <w:pPr>
              <w:pStyle w:val="level2"/>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350"/>
              </w:tabs>
              <w:ind w:left="-2" w:right="810" w:firstLine="0"/>
              <w:jc w:val="both"/>
              <w:rPr>
                <w:b/>
                <w:bCs/>
                <w:sz w:val="16"/>
                <w:szCs w:val="16"/>
                <w:lang w:val="en-GB"/>
              </w:rPr>
            </w:pPr>
            <w:r w:rsidRPr="00CA06FC">
              <w:rPr>
                <w:b/>
                <w:bCs/>
                <w:sz w:val="16"/>
                <w:szCs w:val="16"/>
                <w:lang w:val="en-GB"/>
              </w:rPr>
              <w:t>Related strategic plan outcome</w:t>
            </w:r>
            <w:r w:rsidR="00AC7156" w:rsidRPr="00522402">
              <w:rPr>
                <w:b/>
                <w:bCs/>
                <w:sz w:val="16"/>
                <w:szCs w:val="16"/>
                <w:lang w:val="en-GB"/>
              </w:rPr>
              <w:t xml:space="preserve"> 2</w:t>
            </w:r>
            <w:r w:rsidRPr="002921ED">
              <w:rPr>
                <w:b/>
                <w:bCs/>
                <w:sz w:val="16"/>
                <w:szCs w:val="16"/>
                <w:lang w:val="en-GB"/>
              </w:rPr>
              <w:t>.</w:t>
            </w:r>
            <w:r w:rsidR="00AC7156" w:rsidRPr="002921ED">
              <w:rPr>
                <w:b/>
                <w:bCs/>
                <w:sz w:val="16"/>
                <w:szCs w:val="16"/>
                <w:lang w:val="en-GB"/>
              </w:rPr>
              <w:t xml:space="preserve"> </w:t>
            </w:r>
            <w:r w:rsidR="00110722" w:rsidRPr="002921ED">
              <w:rPr>
                <w:b/>
                <w:sz w:val="16"/>
                <w:szCs w:val="16"/>
                <w:lang w:val="en-GB"/>
              </w:rPr>
              <w:t>Citizen expectations for voice, development, the rule of law</w:t>
            </w:r>
            <w:r w:rsidRPr="002921ED">
              <w:rPr>
                <w:b/>
                <w:sz w:val="16"/>
                <w:szCs w:val="16"/>
                <w:lang w:val="en-GB"/>
              </w:rPr>
              <w:t>,</w:t>
            </w:r>
            <w:r w:rsidR="00110722" w:rsidRPr="002921ED">
              <w:rPr>
                <w:b/>
                <w:sz w:val="16"/>
                <w:szCs w:val="16"/>
                <w:lang w:val="en-GB"/>
              </w:rPr>
              <w:t xml:space="preserve"> and accountability</w:t>
            </w:r>
            <w:r w:rsidRPr="002921ED">
              <w:rPr>
                <w:b/>
                <w:sz w:val="16"/>
                <w:szCs w:val="16"/>
                <w:lang w:val="en-GB"/>
              </w:rPr>
              <w:t>,</w:t>
            </w:r>
            <w:r w:rsidR="00110722" w:rsidRPr="002921ED">
              <w:rPr>
                <w:b/>
                <w:sz w:val="16"/>
                <w:szCs w:val="16"/>
                <w:lang w:val="en-GB"/>
              </w:rPr>
              <w:t xml:space="preserve"> are met by stronger systems of democratic governance</w:t>
            </w:r>
          </w:p>
        </w:tc>
      </w:tr>
      <w:tr w:rsidR="00600124" w:rsidRPr="00E92C03" w:rsidTr="00452DC3">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rsidR="000C235B" w:rsidRPr="00971930" w:rsidRDefault="000C235B" w:rsidP="000C235B">
            <w:pPr>
              <w:rPr>
                <w:sz w:val="16"/>
                <w:szCs w:val="16"/>
                <w:lang w:val="en-GB"/>
              </w:rPr>
            </w:pPr>
            <w:r w:rsidRPr="00971930">
              <w:rPr>
                <w:b/>
                <w:sz w:val="16"/>
                <w:szCs w:val="16"/>
                <w:lang w:val="en-GB"/>
              </w:rPr>
              <w:t>Indicator 1.2.1</w:t>
            </w:r>
            <w:r w:rsidR="00F66347" w:rsidRPr="00CA06FC">
              <w:rPr>
                <w:b/>
                <w:sz w:val="16"/>
                <w:szCs w:val="16"/>
                <w:lang w:val="en-GB"/>
              </w:rPr>
              <w:t>.</w:t>
            </w:r>
            <w:r w:rsidRPr="00971930">
              <w:rPr>
                <w:b/>
                <w:sz w:val="16"/>
                <w:szCs w:val="16"/>
                <w:lang w:val="en-GB"/>
              </w:rPr>
              <w:t xml:space="preserve"> </w:t>
            </w:r>
            <w:r w:rsidRPr="00971930">
              <w:rPr>
                <w:sz w:val="16"/>
                <w:szCs w:val="16"/>
                <w:lang w:val="en-GB"/>
              </w:rPr>
              <w:t xml:space="preserve"> Governance ind</w:t>
            </w:r>
            <w:r w:rsidR="00146094" w:rsidRPr="00971930">
              <w:rPr>
                <w:sz w:val="16"/>
                <w:szCs w:val="16"/>
                <w:lang w:val="en-GB"/>
              </w:rPr>
              <w:t>ex</w:t>
            </w:r>
            <w:r w:rsidRPr="00971930">
              <w:rPr>
                <w:sz w:val="16"/>
                <w:szCs w:val="16"/>
                <w:lang w:val="en-GB"/>
              </w:rPr>
              <w:t xml:space="preserve">: Mo Ibrahim </w:t>
            </w:r>
            <w:r w:rsidR="00F66347" w:rsidRPr="00CA06FC">
              <w:rPr>
                <w:sz w:val="16"/>
                <w:szCs w:val="16"/>
                <w:lang w:val="en-GB"/>
              </w:rPr>
              <w:t>r</w:t>
            </w:r>
            <w:r w:rsidRPr="00971930">
              <w:rPr>
                <w:sz w:val="16"/>
                <w:szCs w:val="16"/>
                <w:lang w:val="en-GB"/>
              </w:rPr>
              <w:t>atings</w:t>
            </w:r>
            <w:r w:rsidR="00F66347" w:rsidRPr="00CA06FC">
              <w:rPr>
                <w:sz w:val="16"/>
                <w:szCs w:val="16"/>
                <w:lang w:val="en-GB"/>
              </w:rPr>
              <w:t>,</w:t>
            </w:r>
            <w:r w:rsidRPr="00971930">
              <w:rPr>
                <w:sz w:val="16"/>
                <w:szCs w:val="16"/>
                <w:lang w:val="en-GB"/>
              </w:rPr>
              <w:t xml:space="preserve"> </w:t>
            </w:r>
            <w:r w:rsidR="0017015E" w:rsidRPr="00971930">
              <w:rPr>
                <w:sz w:val="16"/>
                <w:szCs w:val="16"/>
                <w:lang w:val="en-GB"/>
              </w:rPr>
              <w:t>and</w:t>
            </w:r>
            <w:r w:rsidRPr="00971930">
              <w:rPr>
                <w:sz w:val="16"/>
                <w:szCs w:val="16"/>
                <w:lang w:val="en-GB"/>
              </w:rPr>
              <w:t xml:space="preserve"> </w:t>
            </w:r>
            <w:r w:rsidR="0017015E" w:rsidRPr="00971930">
              <w:rPr>
                <w:sz w:val="16"/>
                <w:szCs w:val="16"/>
                <w:lang w:val="en-GB"/>
              </w:rPr>
              <w:t xml:space="preserve">World Bank </w:t>
            </w:r>
            <w:r w:rsidR="00B26C2D" w:rsidRPr="00CA06FC">
              <w:rPr>
                <w:sz w:val="16"/>
                <w:szCs w:val="16"/>
                <w:lang w:val="en-GB"/>
              </w:rPr>
              <w:t>country policy and institutional assessment</w:t>
            </w:r>
            <w:r w:rsidR="0017015E" w:rsidRPr="00522402">
              <w:rPr>
                <w:lang w:val="en-GB"/>
              </w:rPr>
              <w:t xml:space="preserve"> (</w:t>
            </w:r>
            <w:r w:rsidRPr="00971930">
              <w:rPr>
                <w:sz w:val="16"/>
                <w:szCs w:val="16"/>
                <w:lang w:val="en-GB"/>
              </w:rPr>
              <w:t>CPIA</w:t>
            </w:r>
            <w:r w:rsidR="0017015E" w:rsidRPr="00971930">
              <w:rPr>
                <w:sz w:val="16"/>
                <w:szCs w:val="16"/>
                <w:lang w:val="en-GB"/>
              </w:rPr>
              <w:t>)</w:t>
            </w:r>
          </w:p>
          <w:p w:rsidR="00644F14" w:rsidRPr="00971930" w:rsidRDefault="000C235B" w:rsidP="000C235B">
            <w:pPr>
              <w:rPr>
                <w:sz w:val="16"/>
                <w:szCs w:val="16"/>
                <w:lang w:val="en-GB"/>
              </w:rPr>
            </w:pPr>
            <w:r w:rsidRPr="00971930">
              <w:rPr>
                <w:b/>
                <w:i/>
                <w:sz w:val="16"/>
                <w:szCs w:val="16"/>
                <w:lang w:val="en-GB"/>
              </w:rPr>
              <w:t>Baseline:</w:t>
            </w:r>
            <w:r w:rsidR="00795AEF" w:rsidRPr="00971930">
              <w:rPr>
                <w:sz w:val="16"/>
                <w:szCs w:val="16"/>
                <w:lang w:val="en-GB"/>
              </w:rPr>
              <w:t xml:space="preserve"> </w:t>
            </w:r>
            <w:r w:rsidR="00942520" w:rsidRPr="00E310C8">
              <w:rPr>
                <w:bCs/>
                <w:sz w:val="16"/>
                <w:szCs w:val="16"/>
                <w:lang w:val="en"/>
              </w:rPr>
              <w:t>Ibrahim Index of African Governance</w:t>
            </w:r>
            <w:r w:rsidR="00942520" w:rsidRPr="00942520">
              <w:rPr>
                <w:sz w:val="16"/>
                <w:szCs w:val="16"/>
                <w:lang w:val="en"/>
              </w:rPr>
              <w:t xml:space="preserve"> (IIAG)</w:t>
            </w:r>
            <w:r w:rsidR="00795AEF" w:rsidRPr="00971930">
              <w:rPr>
                <w:sz w:val="16"/>
                <w:szCs w:val="16"/>
                <w:lang w:val="en-GB"/>
              </w:rPr>
              <w:t xml:space="preserve">: </w:t>
            </w:r>
            <w:r w:rsidR="00644F14" w:rsidRPr="00971930">
              <w:rPr>
                <w:sz w:val="16"/>
                <w:szCs w:val="16"/>
                <w:lang w:val="en-GB"/>
              </w:rPr>
              <w:t>51.6</w:t>
            </w:r>
            <w:r w:rsidRPr="00971930">
              <w:rPr>
                <w:sz w:val="16"/>
                <w:szCs w:val="16"/>
                <w:lang w:val="en-GB"/>
              </w:rPr>
              <w:t xml:space="preserve"> </w:t>
            </w:r>
            <w:r w:rsidR="00795AEF" w:rsidRPr="00971930">
              <w:rPr>
                <w:sz w:val="16"/>
                <w:szCs w:val="16"/>
                <w:lang w:val="en-GB"/>
              </w:rPr>
              <w:t>(</w:t>
            </w:r>
            <w:r w:rsidRPr="00971930">
              <w:rPr>
                <w:sz w:val="16"/>
                <w:szCs w:val="16"/>
                <w:lang w:val="en-GB"/>
              </w:rPr>
              <w:t xml:space="preserve">2014) </w:t>
            </w:r>
          </w:p>
          <w:p w:rsidR="000C235B" w:rsidRPr="00971930" w:rsidRDefault="000C235B" w:rsidP="000C235B">
            <w:pPr>
              <w:rPr>
                <w:sz w:val="16"/>
                <w:szCs w:val="16"/>
                <w:lang w:val="en-GB"/>
              </w:rPr>
            </w:pPr>
            <w:r w:rsidRPr="00971930">
              <w:rPr>
                <w:sz w:val="16"/>
                <w:szCs w:val="16"/>
                <w:lang w:val="en-GB"/>
              </w:rPr>
              <w:t>CPIA</w:t>
            </w:r>
            <w:r w:rsidR="00795AEF" w:rsidRPr="00971930">
              <w:rPr>
                <w:sz w:val="16"/>
                <w:szCs w:val="16"/>
                <w:lang w:val="en-GB"/>
              </w:rPr>
              <w:t>:</w:t>
            </w:r>
            <w:r w:rsidRPr="00971930">
              <w:rPr>
                <w:sz w:val="16"/>
                <w:szCs w:val="16"/>
                <w:lang w:val="en-GB"/>
              </w:rPr>
              <w:t xml:space="preserve"> 3.</w:t>
            </w:r>
            <w:r w:rsidR="007B4B57" w:rsidRPr="00971930">
              <w:rPr>
                <w:sz w:val="16"/>
                <w:szCs w:val="16"/>
                <w:lang w:val="en-GB"/>
              </w:rPr>
              <w:t>1</w:t>
            </w:r>
            <w:r w:rsidRPr="00971930">
              <w:rPr>
                <w:sz w:val="16"/>
                <w:szCs w:val="16"/>
                <w:lang w:val="en-GB"/>
              </w:rPr>
              <w:t>(201</w:t>
            </w:r>
            <w:r w:rsidR="007B4B57" w:rsidRPr="00971930">
              <w:rPr>
                <w:sz w:val="16"/>
                <w:szCs w:val="16"/>
                <w:lang w:val="en-GB"/>
              </w:rPr>
              <w:t>5</w:t>
            </w:r>
            <w:r w:rsidRPr="00971930">
              <w:rPr>
                <w:sz w:val="16"/>
                <w:szCs w:val="16"/>
                <w:lang w:val="en-GB"/>
              </w:rPr>
              <w:t>)</w:t>
            </w:r>
          </w:p>
          <w:p w:rsidR="000C235B" w:rsidRPr="00971930" w:rsidRDefault="000C235B" w:rsidP="000C235B">
            <w:pPr>
              <w:rPr>
                <w:sz w:val="16"/>
                <w:szCs w:val="16"/>
                <w:lang w:val="en-GB"/>
              </w:rPr>
            </w:pPr>
            <w:r w:rsidRPr="00971930">
              <w:rPr>
                <w:b/>
                <w:i/>
                <w:sz w:val="16"/>
                <w:szCs w:val="16"/>
                <w:lang w:val="en-GB"/>
              </w:rPr>
              <w:t>Target:</w:t>
            </w:r>
            <w:r w:rsidRPr="00971930">
              <w:rPr>
                <w:sz w:val="16"/>
                <w:szCs w:val="16"/>
                <w:lang w:val="en-GB"/>
              </w:rPr>
              <w:t xml:space="preserve"> </w:t>
            </w:r>
            <w:r w:rsidR="00942520" w:rsidRPr="00942520">
              <w:rPr>
                <w:sz w:val="16"/>
                <w:lang w:val="en"/>
              </w:rPr>
              <w:t>IIAG</w:t>
            </w:r>
            <w:r w:rsidR="00E310C8">
              <w:rPr>
                <w:sz w:val="16"/>
                <w:lang w:val="en"/>
              </w:rPr>
              <w:t>:</w:t>
            </w:r>
            <w:r w:rsidR="00795AEF" w:rsidRPr="00971930">
              <w:rPr>
                <w:sz w:val="16"/>
                <w:lang w:val="en-GB"/>
              </w:rPr>
              <w:t xml:space="preserve"> 55</w:t>
            </w:r>
            <w:r w:rsidR="007B4B57" w:rsidRPr="00971930">
              <w:rPr>
                <w:sz w:val="16"/>
                <w:lang w:val="en-GB"/>
              </w:rPr>
              <w:t>; CPIA</w:t>
            </w:r>
            <w:r w:rsidR="00E310C8">
              <w:rPr>
                <w:sz w:val="16"/>
                <w:lang w:val="en-GB"/>
              </w:rPr>
              <w:t>:</w:t>
            </w:r>
            <w:r w:rsidR="007B4B57" w:rsidRPr="00971930">
              <w:rPr>
                <w:sz w:val="16"/>
                <w:lang w:val="en-GB"/>
              </w:rPr>
              <w:t xml:space="preserve"> 3.2 </w:t>
            </w:r>
            <w:r w:rsidRPr="00971930">
              <w:rPr>
                <w:sz w:val="16"/>
                <w:lang w:val="en-GB"/>
              </w:rPr>
              <w:t>(</w:t>
            </w:r>
            <w:r w:rsidR="007B4B57" w:rsidRPr="00971930">
              <w:rPr>
                <w:sz w:val="16"/>
                <w:lang w:val="en-GB"/>
              </w:rPr>
              <w:t>2021</w:t>
            </w:r>
            <w:r w:rsidRPr="00971930">
              <w:rPr>
                <w:sz w:val="16"/>
                <w:lang w:val="en-GB"/>
              </w:rPr>
              <w:t>)</w:t>
            </w:r>
          </w:p>
          <w:p w:rsidR="00AF2479" w:rsidRPr="00971930" w:rsidRDefault="00AF2479" w:rsidP="005B0DEB">
            <w:pPr>
              <w:contextualSpacing/>
              <w:rPr>
                <w:b/>
                <w:sz w:val="16"/>
                <w:szCs w:val="16"/>
                <w:lang w:val="en-GB"/>
              </w:rPr>
            </w:pPr>
          </w:p>
          <w:p w:rsidR="000C235B" w:rsidRPr="00971930" w:rsidRDefault="000C235B" w:rsidP="000C235B">
            <w:pPr>
              <w:contextualSpacing/>
              <w:rPr>
                <w:sz w:val="16"/>
                <w:szCs w:val="16"/>
                <w:lang w:val="en-GB"/>
              </w:rPr>
            </w:pPr>
            <w:r w:rsidRPr="00971930">
              <w:rPr>
                <w:b/>
                <w:sz w:val="16"/>
                <w:szCs w:val="16"/>
                <w:lang w:val="en-GB"/>
              </w:rPr>
              <w:t>Indicator 1.2.3:</w:t>
            </w:r>
            <w:r w:rsidRPr="00971930">
              <w:rPr>
                <w:sz w:val="16"/>
                <w:szCs w:val="16"/>
                <w:lang w:val="en-GB"/>
              </w:rPr>
              <w:t xml:space="preserve"> </w:t>
            </w:r>
            <w:r w:rsidR="008642A1" w:rsidRPr="00971930">
              <w:rPr>
                <w:sz w:val="16"/>
                <w:szCs w:val="16"/>
                <w:lang w:val="en-GB"/>
              </w:rPr>
              <w:t xml:space="preserve">Voter </w:t>
            </w:r>
            <w:r w:rsidR="00F66347" w:rsidRPr="00CA06FC">
              <w:rPr>
                <w:sz w:val="16"/>
                <w:szCs w:val="16"/>
                <w:lang w:val="en-GB"/>
              </w:rPr>
              <w:t>t</w:t>
            </w:r>
            <w:r w:rsidR="008642A1" w:rsidRPr="00971930">
              <w:rPr>
                <w:sz w:val="16"/>
                <w:szCs w:val="16"/>
                <w:lang w:val="en-GB"/>
              </w:rPr>
              <w:t>urn</w:t>
            </w:r>
            <w:r w:rsidR="00DA078E" w:rsidRPr="00971930">
              <w:rPr>
                <w:sz w:val="16"/>
                <w:szCs w:val="16"/>
                <w:lang w:val="en-GB"/>
              </w:rPr>
              <w:t>out</w:t>
            </w:r>
          </w:p>
          <w:p w:rsidR="000C235B" w:rsidRPr="007A75EC" w:rsidRDefault="000C235B" w:rsidP="000C235B">
            <w:pPr>
              <w:rPr>
                <w:b/>
                <w:sz w:val="16"/>
                <w:szCs w:val="16"/>
                <w:lang w:val="en-GB"/>
              </w:rPr>
            </w:pPr>
            <w:r w:rsidRPr="007A75EC">
              <w:rPr>
                <w:b/>
                <w:i/>
                <w:sz w:val="16"/>
                <w:szCs w:val="16"/>
                <w:lang w:val="en-GB"/>
              </w:rPr>
              <w:t>Baseline</w:t>
            </w:r>
            <w:r w:rsidR="00DA078E" w:rsidRPr="007A75EC">
              <w:rPr>
                <w:b/>
                <w:i/>
                <w:sz w:val="16"/>
                <w:szCs w:val="16"/>
                <w:lang w:val="en-GB"/>
              </w:rPr>
              <w:t>:</w:t>
            </w:r>
            <w:r w:rsidR="003A4CE6" w:rsidRPr="007A75EC">
              <w:rPr>
                <w:b/>
                <w:sz w:val="16"/>
                <w:szCs w:val="16"/>
                <w:lang w:val="en-GB"/>
              </w:rPr>
              <w:t xml:space="preserve"> 70%</w:t>
            </w:r>
            <w:r w:rsidR="002507FB" w:rsidRPr="007A75EC">
              <w:rPr>
                <w:b/>
                <w:sz w:val="16"/>
                <w:szCs w:val="16"/>
                <w:lang w:val="en-GB"/>
              </w:rPr>
              <w:t xml:space="preserve"> </w:t>
            </w:r>
          </w:p>
          <w:p w:rsidR="000C235B" w:rsidRPr="007A75EC" w:rsidRDefault="000C235B" w:rsidP="000C235B">
            <w:pPr>
              <w:rPr>
                <w:b/>
                <w:sz w:val="16"/>
                <w:szCs w:val="16"/>
                <w:lang w:val="en-GB"/>
              </w:rPr>
            </w:pPr>
            <w:r w:rsidRPr="007A75EC">
              <w:rPr>
                <w:b/>
                <w:i/>
                <w:sz w:val="16"/>
                <w:szCs w:val="16"/>
                <w:lang w:val="en-GB"/>
              </w:rPr>
              <w:t>Target</w:t>
            </w:r>
            <w:r w:rsidR="00DA078E" w:rsidRPr="007A75EC">
              <w:rPr>
                <w:b/>
                <w:i/>
                <w:sz w:val="16"/>
                <w:szCs w:val="16"/>
                <w:lang w:val="en-GB"/>
              </w:rPr>
              <w:t>:</w:t>
            </w:r>
            <w:r w:rsidR="00DA078E" w:rsidRPr="007A75EC">
              <w:rPr>
                <w:b/>
                <w:sz w:val="16"/>
                <w:szCs w:val="16"/>
                <w:lang w:val="en-GB"/>
              </w:rPr>
              <w:t xml:space="preserve"> </w:t>
            </w:r>
            <w:r w:rsidR="003A4CE6" w:rsidRPr="007A75EC">
              <w:rPr>
                <w:b/>
                <w:sz w:val="16"/>
                <w:szCs w:val="16"/>
                <w:lang w:val="en-GB"/>
              </w:rPr>
              <w:t>85%</w:t>
            </w:r>
          </w:p>
          <w:p w:rsidR="000C235B" w:rsidRPr="007A75EC" w:rsidRDefault="000C235B" w:rsidP="000C235B">
            <w:pPr>
              <w:rPr>
                <w:sz w:val="16"/>
                <w:szCs w:val="16"/>
                <w:lang w:val="en-GB"/>
              </w:rPr>
            </w:pPr>
          </w:p>
          <w:p w:rsidR="00B953AE" w:rsidRPr="007A75EC" w:rsidRDefault="000C235B" w:rsidP="00F66347">
            <w:pPr>
              <w:rPr>
                <w:sz w:val="16"/>
                <w:szCs w:val="16"/>
                <w:lang w:val="en-GB"/>
              </w:rPr>
            </w:pPr>
            <w:r w:rsidRPr="007A75EC">
              <w:rPr>
                <w:b/>
                <w:sz w:val="16"/>
                <w:szCs w:val="16"/>
                <w:lang w:val="en-GB"/>
              </w:rPr>
              <w:t>Indicator 1.2.4:</w:t>
            </w:r>
            <w:r w:rsidRPr="007A75EC">
              <w:rPr>
                <w:sz w:val="16"/>
                <w:szCs w:val="16"/>
                <w:lang w:val="en-GB"/>
              </w:rPr>
              <w:t xml:space="preserve">  </w:t>
            </w:r>
            <w:r w:rsidR="00F66347" w:rsidRPr="00CA06FC">
              <w:rPr>
                <w:sz w:val="16"/>
                <w:szCs w:val="16"/>
                <w:lang w:val="en-GB"/>
              </w:rPr>
              <w:t>Percentage</w:t>
            </w:r>
            <w:r w:rsidR="00F66347" w:rsidRPr="007A75EC">
              <w:rPr>
                <w:sz w:val="16"/>
                <w:szCs w:val="16"/>
                <w:lang w:val="en-GB"/>
              </w:rPr>
              <w:t xml:space="preserve"> </w:t>
            </w:r>
            <w:r w:rsidR="00B953AE" w:rsidRPr="007A75EC">
              <w:rPr>
                <w:sz w:val="16"/>
                <w:szCs w:val="16"/>
                <w:lang w:val="en-GB"/>
              </w:rPr>
              <w:t xml:space="preserve">of women serving in local councils, national assembly </w:t>
            </w:r>
          </w:p>
          <w:p w:rsidR="00B953AE" w:rsidRPr="007A75EC" w:rsidRDefault="00B953AE" w:rsidP="00B953AE">
            <w:pPr>
              <w:rPr>
                <w:b/>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9%; L</w:t>
            </w:r>
            <w:r w:rsidR="00971930">
              <w:rPr>
                <w:sz w:val="16"/>
                <w:szCs w:val="16"/>
                <w:lang w:val="en-GB"/>
              </w:rPr>
              <w:t>ocal government areas (L</w:t>
            </w:r>
            <w:r w:rsidRPr="007A75EC">
              <w:rPr>
                <w:sz w:val="16"/>
                <w:szCs w:val="16"/>
                <w:lang w:val="en-GB"/>
              </w:rPr>
              <w:t>GAs</w:t>
            </w:r>
            <w:r w:rsidR="00971930">
              <w:rPr>
                <w:sz w:val="16"/>
                <w:szCs w:val="16"/>
                <w:lang w:val="en-GB"/>
              </w:rPr>
              <w:t>)</w:t>
            </w:r>
            <w:r w:rsidR="00E310C8">
              <w:rPr>
                <w:sz w:val="16"/>
                <w:szCs w:val="16"/>
                <w:lang w:val="en-GB"/>
              </w:rPr>
              <w:t>:</w:t>
            </w:r>
            <w:r w:rsidRPr="007A75EC">
              <w:rPr>
                <w:sz w:val="16"/>
                <w:szCs w:val="16"/>
                <w:lang w:val="en-GB"/>
              </w:rPr>
              <w:t xml:space="preserve"> 12%</w:t>
            </w:r>
          </w:p>
          <w:p w:rsidR="000C235B" w:rsidRPr="007A75EC" w:rsidRDefault="00B953AE" w:rsidP="00B953AE">
            <w:pPr>
              <w:ind w:left="275" w:hanging="270"/>
              <w:rPr>
                <w:sz w:val="16"/>
                <w:szCs w:val="16"/>
                <w:lang w:val="en-GB"/>
              </w:rPr>
            </w:pPr>
            <w:r w:rsidRPr="007A75EC">
              <w:rPr>
                <w:b/>
                <w:i/>
                <w:sz w:val="16"/>
                <w:szCs w:val="16"/>
                <w:lang w:val="en-GB"/>
              </w:rPr>
              <w:t>Target:</w:t>
            </w:r>
            <w:r w:rsidRPr="007A75EC">
              <w:rPr>
                <w:b/>
                <w:sz w:val="16"/>
                <w:szCs w:val="16"/>
                <w:lang w:val="en-GB"/>
              </w:rPr>
              <w:t xml:space="preserve"> </w:t>
            </w:r>
            <w:r w:rsidR="00E310C8">
              <w:rPr>
                <w:sz w:val="16"/>
                <w:szCs w:val="16"/>
                <w:lang w:val="en-GB"/>
              </w:rPr>
              <w:t>20</w:t>
            </w:r>
            <w:r w:rsidRPr="007A75EC">
              <w:rPr>
                <w:sz w:val="16"/>
                <w:szCs w:val="16"/>
                <w:lang w:val="en-GB"/>
              </w:rPr>
              <w:t>); LGAs</w:t>
            </w:r>
            <w:r w:rsidR="00E310C8">
              <w:rPr>
                <w:sz w:val="16"/>
                <w:szCs w:val="16"/>
                <w:lang w:val="en-GB"/>
              </w:rPr>
              <w:t>: 30%</w:t>
            </w:r>
          </w:p>
          <w:p w:rsidR="00DA078E" w:rsidRPr="007A75EC" w:rsidRDefault="00DA078E" w:rsidP="00B953AE">
            <w:pPr>
              <w:ind w:left="275" w:hanging="270"/>
              <w:rPr>
                <w:sz w:val="16"/>
                <w:szCs w:val="16"/>
                <w:lang w:val="en-GB"/>
              </w:rPr>
            </w:pPr>
          </w:p>
          <w:p w:rsidR="000C235B" w:rsidRPr="007A75EC" w:rsidRDefault="000C235B" w:rsidP="000C235B">
            <w:pPr>
              <w:rPr>
                <w:sz w:val="16"/>
                <w:szCs w:val="16"/>
                <w:lang w:val="en-GB"/>
              </w:rPr>
            </w:pPr>
          </w:p>
          <w:p w:rsidR="00110722" w:rsidRPr="00CA06FC" w:rsidRDefault="00110722" w:rsidP="00795AEF">
            <w:pPr>
              <w:rPr>
                <w:bCs/>
                <w:sz w:val="16"/>
                <w:szCs w:val="16"/>
                <w:lang w:val="en-GB"/>
              </w:rPr>
            </w:pPr>
          </w:p>
        </w:tc>
        <w:tc>
          <w:tcPr>
            <w:tcW w:w="655" w:type="pct"/>
            <w:vMerge w:val="restart"/>
            <w:tcBorders>
              <w:top w:val="single" w:sz="4" w:space="0" w:color="auto"/>
              <w:bottom w:val="single" w:sz="4" w:space="0" w:color="auto"/>
            </w:tcBorders>
          </w:tcPr>
          <w:p w:rsidR="00F66347" w:rsidRPr="00CA06FC" w:rsidRDefault="00FA40D4" w:rsidP="00FA40D4">
            <w:pPr>
              <w:rPr>
                <w:sz w:val="16"/>
                <w:szCs w:val="16"/>
                <w:lang w:val="en-GB"/>
              </w:rPr>
            </w:pPr>
            <w:r w:rsidRPr="00971930">
              <w:rPr>
                <w:b/>
                <w:sz w:val="16"/>
                <w:szCs w:val="16"/>
                <w:lang w:val="en-GB"/>
              </w:rPr>
              <w:lastRenderedPageBreak/>
              <w:t>Data source</w:t>
            </w:r>
          </w:p>
          <w:p w:rsidR="00F66347" w:rsidRPr="00522402" w:rsidRDefault="00F66347" w:rsidP="00FA40D4">
            <w:pPr>
              <w:rPr>
                <w:sz w:val="16"/>
                <w:szCs w:val="16"/>
                <w:lang w:val="en-GB"/>
              </w:rPr>
            </w:pPr>
          </w:p>
          <w:p w:rsidR="00FA40D4" w:rsidRPr="00971930" w:rsidRDefault="00FA40D4" w:rsidP="00FA40D4">
            <w:pPr>
              <w:rPr>
                <w:sz w:val="16"/>
                <w:szCs w:val="16"/>
                <w:lang w:val="en-GB"/>
              </w:rPr>
            </w:pPr>
            <w:r w:rsidRPr="00971930">
              <w:rPr>
                <w:sz w:val="16"/>
                <w:szCs w:val="16"/>
                <w:lang w:val="en-GB"/>
              </w:rPr>
              <w:t>Ibrahim Index on African Governance</w:t>
            </w:r>
          </w:p>
          <w:p w:rsidR="00FA40D4" w:rsidRPr="00971930" w:rsidRDefault="00FA40D4" w:rsidP="00FA40D4">
            <w:pPr>
              <w:rPr>
                <w:sz w:val="16"/>
                <w:szCs w:val="16"/>
                <w:lang w:val="en-GB"/>
              </w:rPr>
            </w:pPr>
            <w:r w:rsidRPr="00971930">
              <w:rPr>
                <w:sz w:val="16"/>
                <w:szCs w:val="16"/>
                <w:lang w:val="en-GB"/>
              </w:rPr>
              <w:t>Frequency: annual</w:t>
            </w:r>
          </w:p>
          <w:p w:rsidR="000C235B" w:rsidRPr="00971930" w:rsidRDefault="000C235B" w:rsidP="000C235B">
            <w:pPr>
              <w:rPr>
                <w:sz w:val="16"/>
                <w:szCs w:val="16"/>
                <w:lang w:val="en-GB"/>
              </w:rPr>
            </w:pPr>
          </w:p>
          <w:p w:rsidR="00B31E68" w:rsidRPr="00971930" w:rsidRDefault="00B31E68" w:rsidP="000C235B">
            <w:pPr>
              <w:rPr>
                <w:sz w:val="16"/>
                <w:szCs w:val="16"/>
                <w:lang w:val="en-GB"/>
              </w:rPr>
            </w:pPr>
          </w:p>
          <w:p w:rsidR="00B31E68" w:rsidRPr="00971930" w:rsidRDefault="00B31E68" w:rsidP="000C235B">
            <w:pPr>
              <w:rPr>
                <w:sz w:val="16"/>
                <w:szCs w:val="16"/>
                <w:lang w:val="en-GB"/>
              </w:rPr>
            </w:pPr>
          </w:p>
          <w:p w:rsidR="00FA40D4" w:rsidRPr="007A75EC" w:rsidRDefault="00FA40D4" w:rsidP="00FA40D4">
            <w:pPr>
              <w:rPr>
                <w:sz w:val="16"/>
                <w:szCs w:val="16"/>
                <w:lang w:val="en-GB"/>
              </w:rPr>
            </w:pPr>
            <w:r w:rsidRPr="007A75EC">
              <w:rPr>
                <w:sz w:val="16"/>
                <w:szCs w:val="16"/>
                <w:lang w:val="en-GB"/>
              </w:rPr>
              <w:t>Universal Periodic review</w:t>
            </w:r>
          </w:p>
          <w:p w:rsidR="00FA40D4" w:rsidRPr="007A75EC" w:rsidRDefault="00FA40D4" w:rsidP="00FA40D4">
            <w:pPr>
              <w:rPr>
                <w:sz w:val="16"/>
                <w:szCs w:val="16"/>
                <w:lang w:val="en-GB"/>
              </w:rPr>
            </w:pPr>
            <w:r w:rsidRPr="007A75EC">
              <w:rPr>
                <w:sz w:val="16"/>
                <w:szCs w:val="16"/>
                <w:lang w:val="en-GB"/>
              </w:rPr>
              <w:t xml:space="preserve">Frequency: </w:t>
            </w:r>
            <w:r w:rsidR="001404CD" w:rsidRPr="00CA06FC">
              <w:rPr>
                <w:sz w:val="16"/>
                <w:szCs w:val="16"/>
                <w:lang w:val="en-GB"/>
              </w:rPr>
              <w:t>a</w:t>
            </w:r>
            <w:r w:rsidRPr="007A75EC">
              <w:rPr>
                <w:sz w:val="16"/>
                <w:szCs w:val="16"/>
                <w:lang w:val="en-GB"/>
              </w:rPr>
              <w:t>nnual</w:t>
            </w:r>
          </w:p>
          <w:p w:rsidR="00DA078E" w:rsidRPr="007A75EC" w:rsidRDefault="00DA078E" w:rsidP="000C235B">
            <w:pPr>
              <w:rPr>
                <w:sz w:val="16"/>
                <w:szCs w:val="16"/>
                <w:lang w:val="en-GB"/>
              </w:rPr>
            </w:pPr>
          </w:p>
          <w:p w:rsidR="00FA40D4" w:rsidRPr="007A75EC" w:rsidRDefault="00B31E68" w:rsidP="00FA40D4">
            <w:pPr>
              <w:rPr>
                <w:sz w:val="16"/>
                <w:szCs w:val="16"/>
                <w:lang w:val="en-GB"/>
              </w:rPr>
            </w:pPr>
            <w:r w:rsidRPr="007A75EC">
              <w:rPr>
                <w:sz w:val="16"/>
                <w:szCs w:val="16"/>
                <w:lang w:val="en-GB"/>
              </w:rPr>
              <w:t xml:space="preserve">Voter </w:t>
            </w:r>
            <w:r w:rsidR="00286837" w:rsidRPr="00CA06FC">
              <w:rPr>
                <w:sz w:val="16"/>
                <w:szCs w:val="16"/>
                <w:lang w:val="en-GB"/>
              </w:rPr>
              <w:t>r</w:t>
            </w:r>
            <w:r w:rsidRPr="007A75EC">
              <w:rPr>
                <w:sz w:val="16"/>
                <w:szCs w:val="16"/>
                <w:lang w:val="en-GB"/>
              </w:rPr>
              <w:t xml:space="preserve">egistration </w:t>
            </w:r>
            <w:r w:rsidR="00286837" w:rsidRPr="00CA06FC">
              <w:rPr>
                <w:sz w:val="16"/>
                <w:szCs w:val="16"/>
                <w:lang w:val="en-GB"/>
              </w:rPr>
              <w:t>d</w:t>
            </w:r>
            <w:r w:rsidRPr="007A75EC">
              <w:rPr>
                <w:sz w:val="16"/>
                <w:szCs w:val="16"/>
                <w:lang w:val="en-GB"/>
              </w:rPr>
              <w:t xml:space="preserve">atabase and </w:t>
            </w:r>
            <w:r w:rsidR="00286837" w:rsidRPr="00CA06FC">
              <w:rPr>
                <w:sz w:val="16"/>
                <w:szCs w:val="16"/>
                <w:lang w:val="en-GB"/>
              </w:rPr>
              <w:t>e</w:t>
            </w:r>
            <w:r w:rsidRPr="007A75EC">
              <w:rPr>
                <w:sz w:val="16"/>
                <w:szCs w:val="16"/>
                <w:lang w:val="en-GB"/>
              </w:rPr>
              <w:t>lection results</w:t>
            </w:r>
            <w:r w:rsidR="00010BB9" w:rsidRPr="007A75EC">
              <w:rPr>
                <w:sz w:val="16"/>
                <w:szCs w:val="16"/>
                <w:lang w:val="en-GB"/>
              </w:rPr>
              <w:t xml:space="preserve"> </w:t>
            </w:r>
            <w:r w:rsidRPr="007A75EC">
              <w:rPr>
                <w:sz w:val="16"/>
                <w:szCs w:val="16"/>
                <w:lang w:val="en-GB"/>
              </w:rPr>
              <w:t>(Independent Electoral Commission)</w:t>
            </w:r>
          </w:p>
          <w:p w:rsidR="00FA40D4" w:rsidRPr="007A75EC" w:rsidRDefault="00FA40D4" w:rsidP="00FA40D4">
            <w:pPr>
              <w:rPr>
                <w:sz w:val="16"/>
                <w:szCs w:val="16"/>
                <w:lang w:val="en-GB"/>
              </w:rPr>
            </w:pPr>
          </w:p>
          <w:p w:rsidR="00FA40D4" w:rsidRPr="007A75EC" w:rsidRDefault="00FA40D4" w:rsidP="00FA40D4">
            <w:pPr>
              <w:rPr>
                <w:sz w:val="16"/>
                <w:szCs w:val="16"/>
                <w:lang w:val="en-GB"/>
              </w:rPr>
            </w:pPr>
          </w:p>
          <w:p w:rsidR="00FA40D4" w:rsidRPr="007A75EC" w:rsidRDefault="00FA40D4" w:rsidP="00FA40D4">
            <w:pPr>
              <w:rPr>
                <w:sz w:val="16"/>
                <w:szCs w:val="16"/>
                <w:lang w:val="en-GB"/>
              </w:rPr>
            </w:pPr>
          </w:p>
          <w:p w:rsidR="00DA078E" w:rsidRPr="007A75EC" w:rsidRDefault="00DA078E" w:rsidP="000C235B">
            <w:pPr>
              <w:rPr>
                <w:sz w:val="16"/>
                <w:szCs w:val="16"/>
                <w:lang w:val="en-GB"/>
              </w:rPr>
            </w:pPr>
          </w:p>
          <w:p w:rsidR="00DA078E" w:rsidRPr="007A75EC" w:rsidRDefault="00DA078E" w:rsidP="000C235B">
            <w:pPr>
              <w:rPr>
                <w:sz w:val="16"/>
                <w:szCs w:val="16"/>
                <w:lang w:val="en-GB"/>
              </w:rPr>
            </w:pPr>
          </w:p>
          <w:p w:rsidR="00B953AE" w:rsidRPr="007A75EC" w:rsidRDefault="00B953AE" w:rsidP="000C235B">
            <w:pPr>
              <w:rPr>
                <w:sz w:val="16"/>
                <w:szCs w:val="16"/>
                <w:lang w:val="en-GB"/>
              </w:rPr>
            </w:pPr>
          </w:p>
          <w:p w:rsidR="00DA078E" w:rsidRPr="007A75EC" w:rsidRDefault="00DA078E" w:rsidP="000C235B">
            <w:pPr>
              <w:rPr>
                <w:sz w:val="16"/>
                <w:szCs w:val="16"/>
                <w:lang w:val="en-GB"/>
              </w:rPr>
            </w:pPr>
          </w:p>
          <w:p w:rsidR="00DA078E" w:rsidRPr="007A75EC" w:rsidRDefault="00DA078E" w:rsidP="000C235B">
            <w:pPr>
              <w:rPr>
                <w:sz w:val="16"/>
                <w:szCs w:val="16"/>
                <w:lang w:val="en-GB"/>
              </w:rPr>
            </w:pPr>
          </w:p>
          <w:p w:rsidR="00286837" w:rsidRPr="00CA06FC" w:rsidRDefault="00FA40D4" w:rsidP="00FA40D4">
            <w:pPr>
              <w:rPr>
                <w:sz w:val="16"/>
                <w:szCs w:val="16"/>
                <w:lang w:val="en-GB"/>
              </w:rPr>
            </w:pPr>
            <w:r w:rsidRPr="007A75EC">
              <w:rPr>
                <w:b/>
                <w:sz w:val="16"/>
                <w:szCs w:val="16"/>
                <w:lang w:val="en-GB"/>
              </w:rPr>
              <w:t>Data source</w:t>
            </w:r>
            <w:r w:rsidRPr="007A75EC">
              <w:rPr>
                <w:sz w:val="16"/>
                <w:szCs w:val="16"/>
                <w:lang w:val="en-GB"/>
              </w:rPr>
              <w:t xml:space="preserve"> </w:t>
            </w:r>
          </w:p>
          <w:p w:rsidR="00286837" w:rsidRPr="00522402" w:rsidRDefault="00286837" w:rsidP="00FA40D4">
            <w:pPr>
              <w:rPr>
                <w:sz w:val="16"/>
                <w:szCs w:val="16"/>
                <w:lang w:val="en-GB"/>
              </w:rPr>
            </w:pPr>
          </w:p>
          <w:p w:rsidR="00286837" w:rsidRPr="00CA06FC" w:rsidRDefault="00DA078E" w:rsidP="00FA40D4">
            <w:pPr>
              <w:rPr>
                <w:sz w:val="16"/>
                <w:szCs w:val="16"/>
                <w:lang w:val="en-GB"/>
              </w:rPr>
            </w:pPr>
            <w:r w:rsidRPr="007A75EC">
              <w:rPr>
                <w:sz w:val="16"/>
                <w:szCs w:val="16"/>
                <w:lang w:val="en-GB"/>
              </w:rPr>
              <w:t>Reports by Women</w:t>
            </w:r>
            <w:r w:rsidR="00286837" w:rsidRPr="00CA06FC">
              <w:rPr>
                <w:sz w:val="16"/>
                <w:szCs w:val="16"/>
                <w:lang w:val="en-GB"/>
              </w:rPr>
              <w:t>’s</w:t>
            </w:r>
            <w:r w:rsidRPr="007A75EC">
              <w:rPr>
                <w:sz w:val="16"/>
                <w:szCs w:val="16"/>
                <w:lang w:val="en-GB"/>
              </w:rPr>
              <w:t xml:space="preserve"> Bureau </w:t>
            </w:r>
          </w:p>
          <w:p w:rsidR="00286837" w:rsidRPr="00CA06FC" w:rsidRDefault="00DA078E" w:rsidP="00FA40D4">
            <w:pPr>
              <w:rPr>
                <w:sz w:val="16"/>
                <w:szCs w:val="16"/>
                <w:lang w:val="en-GB"/>
              </w:rPr>
            </w:pPr>
            <w:r w:rsidRPr="007A75EC">
              <w:rPr>
                <w:sz w:val="16"/>
                <w:szCs w:val="16"/>
                <w:lang w:val="en-GB"/>
              </w:rPr>
              <w:t xml:space="preserve">Annual report of </w:t>
            </w:r>
            <w:r w:rsidR="00286837" w:rsidRPr="00CA06FC">
              <w:rPr>
                <w:sz w:val="16"/>
                <w:szCs w:val="16"/>
                <w:lang w:val="en-GB"/>
              </w:rPr>
              <w:t xml:space="preserve">the </w:t>
            </w:r>
            <w:r w:rsidRPr="007A75EC">
              <w:rPr>
                <w:sz w:val="16"/>
                <w:szCs w:val="16"/>
                <w:lang w:val="en-GB"/>
              </w:rPr>
              <w:t>National Assembly</w:t>
            </w:r>
            <w:r w:rsidR="00FA40D4" w:rsidRPr="007A75EC">
              <w:rPr>
                <w:sz w:val="16"/>
                <w:szCs w:val="16"/>
                <w:lang w:val="en-GB"/>
              </w:rPr>
              <w:t xml:space="preserve"> Ministry of Justice </w:t>
            </w:r>
            <w:r w:rsidR="00286837" w:rsidRPr="00CA06FC">
              <w:rPr>
                <w:sz w:val="16"/>
                <w:szCs w:val="16"/>
                <w:lang w:val="en-GB"/>
              </w:rPr>
              <w:t>report</w:t>
            </w:r>
          </w:p>
          <w:p w:rsidR="00FA40D4" w:rsidRPr="007A75EC" w:rsidRDefault="00FA40D4" w:rsidP="00FA40D4">
            <w:pPr>
              <w:rPr>
                <w:sz w:val="16"/>
                <w:szCs w:val="16"/>
                <w:lang w:val="en-GB"/>
              </w:rPr>
            </w:pPr>
            <w:r w:rsidRPr="007A75EC">
              <w:rPr>
                <w:sz w:val="16"/>
                <w:szCs w:val="16"/>
                <w:lang w:val="en-GB"/>
              </w:rPr>
              <w:t xml:space="preserve">Annual </w:t>
            </w:r>
            <w:r w:rsidR="00286837" w:rsidRPr="00CA06FC">
              <w:rPr>
                <w:sz w:val="16"/>
                <w:szCs w:val="16"/>
                <w:lang w:val="en-GB"/>
              </w:rPr>
              <w:t>r</w:t>
            </w:r>
            <w:r w:rsidRPr="007A75EC">
              <w:rPr>
                <w:sz w:val="16"/>
                <w:szCs w:val="16"/>
                <w:lang w:val="en-GB"/>
              </w:rPr>
              <w:t xml:space="preserve">eport of </w:t>
            </w:r>
            <w:r w:rsidR="00286837" w:rsidRPr="00CA06FC">
              <w:rPr>
                <w:sz w:val="16"/>
                <w:szCs w:val="16"/>
                <w:lang w:val="en-GB"/>
              </w:rPr>
              <w:t xml:space="preserve">the </w:t>
            </w:r>
            <w:r w:rsidRPr="007A75EC">
              <w:rPr>
                <w:sz w:val="16"/>
                <w:szCs w:val="16"/>
                <w:lang w:val="en-GB"/>
              </w:rPr>
              <w:t>National Assembly</w:t>
            </w:r>
          </w:p>
          <w:p w:rsidR="00FA40D4" w:rsidRPr="007A75EC" w:rsidRDefault="00FA40D4" w:rsidP="00FA40D4">
            <w:pPr>
              <w:rPr>
                <w:sz w:val="16"/>
                <w:szCs w:val="16"/>
                <w:lang w:val="en-GB"/>
              </w:rPr>
            </w:pPr>
          </w:p>
          <w:p w:rsidR="00110722" w:rsidRPr="00CA06FC" w:rsidRDefault="00110722">
            <w:pPr>
              <w:rPr>
                <w:b/>
                <w:bCs/>
                <w:sz w:val="16"/>
                <w:szCs w:val="16"/>
                <w:lang w:val="en-GB"/>
              </w:rPr>
            </w:pPr>
          </w:p>
        </w:tc>
        <w:tc>
          <w:tcPr>
            <w:tcW w:w="1768" w:type="pct"/>
            <w:vMerge w:val="restart"/>
            <w:tcBorders>
              <w:top w:val="single" w:sz="4" w:space="0" w:color="auto"/>
              <w:bottom w:val="single" w:sz="4" w:space="0" w:color="auto"/>
            </w:tcBorders>
            <w:tcMar>
              <w:top w:w="72" w:type="dxa"/>
              <w:left w:w="144" w:type="dxa"/>
              <w:bottom w:w="72" w:type="dxa"/>
              <w:right w:w="144" w:type="dxa"/>
            </w:tcMar>
          </w:tcPr>
          <w:p w:rsidR="00433170" w:rsidRPr="00971930" w:rsidRDefault="00433170" w:rsidP="001F2ABB">
            <w:pPr>
              <w:contextualSpacing/>
              <w:jc w:val="both"/>
              <w:rPr>
                <w:sz w:val="16"/>
                <w:szCs w:val="16"/>
                <w:lang w:val="en-GB"/>
              </w:rPr>
            </w:pPr>
            <w:r w:rsidRPr="00971930">
              <w:rPr>
                <w:b/>
                <w:sz w:val="16"/>
                <w:szCs w:val="16"/>
                <w:lang w:val="en-GB"/>
              </w:rPr>
              <w:lastRenderedPageBreak/>
              <w:t>Output 2.1. Electoral institutions enabled to perform core functions for improved accountability, participation and representation, including for peaceful transitions</w:t>
            </w:r>
            <w:r w:rsidR="001F2ABB" w:rsidRPr="00971930">
              <w:rPr>
                <w:b/>
                <w:sz w:val="16"/>
                <w:szCs w:val="16"/>
                <w:lang w:val="en-GB"/>
              </w:rPr>
              <w:t>.</w:t>
            </w:r>
          </w:p>
          <w:p w:rsidR="0020273C" w:rsidRPr="00971930" w:rsidRDefault="0020273C" w:rsidP="001F2ABB">
            <w:pPr>
              <w:contextualSpacing/>
              <w:jc w:val="both"/>
              <w:rPr>
                <w:b/>
                <w:sz w:val="16"/>
                <w:szCs w:val="16"/>
                <w:lang w:val="en-GB"/>
              </w:rPr>
            </w:pPr>
          </w:p>
          <w:p w:rsidR="00433170" w:rsidRPr="00971930" w:rsidRDefault="00433170" w:rsidP="001F2ABB">
            <w:pPr>
              <w:contextualSpacing/>
              <w:jc w:val="both"/>
              <w:rPr>
                <w:b/>
                <w:bCs/>
                <w:kern w:val="24"/>
                <w:sz w:val="16"/>
                <w:szCs w:val="16"/>
                <w:lang w:val="en-GB"/>
              </w:rPr>
            </w:pPr>
            <w:r w:rsidRPr="00971930">
              <w:rPr>
                <w:b/>
                <w:sz w:val="16"/>
                <w:szCs w:val="16"/>
                <w:lang w:val="en-GB"/>
              </w:rPr>
              <w:t>Indicator 2.1.</w:t>
            </w:r>
            <w:r w:rsidR="00FB3644" w:rsidRPr="00971930">
              <w:rPr>
                <w:b/>
                <w:sz w:val="16"/>
                <w:szCs w:val="16"/>
                <w:lang w:val="en-GB"/>
              </w:rPr>
              <w:t>1</w:t>
            </w:r>
            <w:r w:rsidR="001569BA">
              <w:rPr>
                <w:b/>
                <w:sz w:val="16"/>
                <w:szCs w:val="16"/>
                <w:lang w:val="en-GB"/>
              </w:rPr>
              <w:t>.</w:t>
            </w:r>
            <w:r w:rsidRPr="00971930">
              <w:rPr>
                <w:sz w:val="16"/>
                <w:szCs w:val="16"/>
                <w:lang w:val="en-GB"/>
              </w:rPr>
              <w:t xml:space="preserve"> Proportion of eligible </w:t>
            </w:r>
            <w:r w:rsidR="008642A1" w:rsidRPr="00971930">
              <w:rPr>
                <w:sz w:val="16"/>
                <w:szCs w:val="16"/>
                <w:lang w:val="en-GB"/>
              </w:rPr>
              <w:t>registered voters</w:t>
            </w:r>
            <w:r w:rsidRPr="00971930">
              <w:rPr>
                <w:sz w:val="16"/>
                <w:szCs w:val="16"/>
                <w:lang w:val="en-GB"/>
              </w:rPr>
              <w:t>, disaggregated by sex</w:t>
            </w:r>
            <w:r w:rsidR="002012BB" w:rsidRPr="00971930">
              <w:rPr>
                <w:b/>
                <w:bCs/>
                <w:kern w:val="24"/>
                <w:sz w:val="16"/>
                <w:szCs w:val="16"/>
                <w:lang w:val="en-GB"/>
              </w:rPr>
              <w:t>.</w:t>
            </w:r>
          </w:p>
          <w:p w:rsidR="00433170" w:rsidRPr="00971930" w:rsidRDefault="00433170" w:rsidP="001F2ABB">
            <w:pPr>
              <w:jc w:val="both"/>
              <w:rPr>
                <w:i/>
                <w:sz w:val="16"/>
                <w:szCs w:val="16"/>
                <w:lang w:val="en-GB"/>
              </w:rPr>
            </w:pPr>
            <w:r w:rsidRPr="00971930">
              <w:rPr>
                <w:b/>
                <w:i/>
                <w:sz w:val="16"/>
                <w:szCs w:val="16"/>
                <w:lang w:val="en-GB"/>
              </w:rPr>
              <w:t>Baseline</w:t>
            </w:r>
            <w:r w:rsidR="002507FB" w:rsidRPr="00971930">
              <w:rPr>
                <w:b/>
                <w:i/>
                <w:sz w:val="16"/>
                <w:szCs w:val="16"/>
                <w:lang w:val="en-GB"/>
              </w:rPr>
              <w:t>:</w:t>
            </w:r>
            <w:r w:rsidRPr="00971930">
              <w:rPr>
                <w:b/>
                <w:i/>
                <w:sz w:val="16"/>
                <w:szCs w:val="16"/>
                <w:lang w:val="en-GB"/>
              </w:rPr>
              <w:t xml:space="preserve"> </w:t>
            </w:r>
            <w:r w:rsidRPr="00971930">
              <w:rPr>
                <w:sz w:val="16"/>
                <w:szCs w:val="16"/>
                <w:lang w:val="en-GB"/>
              </w:rPr>
              <w:t>Presidential elections</w:t>
            </w:r>
            <w:r w:rsidR="001404CD" w:rsidRPr="00CA06FC">
              <w:rPr>
                <w:sz w:val="16"/>
                <w:szCs w:val="16"/>
                <w:lang w:val="en-GB"/>
              </w:rPr>
              <w:t xml:space="preserve">, </w:t>
            </w:r>
            <w:r w:rsidRPr="00971930">
              <w:rPr>
                <w:sz w:val="16"/>
                <w:szCs w:val="16"/>
                <w:lang w:val="en-GB"/>
              </w:rPr>
              <w:t>82%; National Assembly</w:t>
            </w:r>
            <w:r w:rsidR="001404CD" w:rsidRPr="00CA06FC">
              <w:rPr>
                <w:sz w:val="16"/>
                <w:szCs w:val="16"/>
                <w:lang w:val="en-GB"/>
              </w:rPr>
              <w:t xml:space="preserve">, </w:t>
            </w:r>
            <w:r w:rsidRPr="00971930">
              <w:rPr>
                <w:sz w:val="16"/>
                <w:szCs w:val="16"/>
                <w:lang w:val="en-GB"/>
              </w:rPr>
              <w:t>50%;</w:t>
            </w:r>
            <w:r w:rsidR="002F4094" w:rsidRPr="00971930">
              <w:rPr>
                <w:sz w:val="16"/>
                <w:szCs w:val="16"/>
                <w:lang w:val="en-GB"/>
              </w:rPr>
              <w:t xml:space="preserve"> </w:t>
            </w:r>
            <w:r w:rsidR="001404CD" w:rsidRPr="00CA06FC">
              <w:rPr>
                <w:sz w:val="16"/>
                <w:szCs w:val="16"/>
                <w:lang w:val="en-GB"/>
              </w:rPr>
              <w:t>l</w:t>
            </w:r>
            <w:r w:rsidRPr="00971930">
              <w:rPr>
                <w:sz w:val="16"/>
                <w:szCs w:val="16"/>
                <w:lang w:val="en-GB"/>
              </w:rPr>
              <w:t xml:space="preserve">ocal </w:t>
            </w:r>
            <w:r w:rsidR="001404CD" w:rsidRPr="00CA06FC">
              <w:rPr>
                <w:sz w:val="16"/>
                <w:szCs w:val="16"/>
                <w:lang w:val="en-GB"/>
              </w:rPr>
              <w:t>g</w:t>
            </w:r>
            <w:r w:rsidRPr="00971930">
              <w:rPr>
                <w:sz w:val="16"/>
                <w:szCs w:val="16"/>
                <w:lang w:val="en-GB"/>
              </w:rPr>
              <w:t>overnment</w:t>
            </w:r>
            <w:r w:rsidR="001404CD" w:rsidRPr="00CA06FC">
              <w:rPr>
                <w:sz w:val="16"/>
                <w:szCs w:val="16"/>
                <w:lang w:val="en-GB"/>
              </w:rPr>
              <w:t xml:space="preserve">, </w:t>
            </w:r>
            <w:r w:rsidRPr="00971930">
              <w:rPr>
                <w:sz w:val="16"/>
                <w:szCs w:val="16"/>
                <w:lang w:val="en-GB"/>
              </w:rPr>
              <w:t>12% (2011-2013)</w:t>
            </w:r>
            <w:r w:rsidR="0094722C" w:rsidRPr="00971930">
              <w:rPr>
                <w:rStyle w:val="FootnoteReference"/>
                <w:sz w:val="16"/>
                <w:szCs w:val="16"/>
                <w:lang w:val="en-GB"/>
              </w:rPr>
              <w:footnoteReference w:id="55"/>
            </w:r>
          </w:p>
          <w:p w:rsidR="00433170" w:rsidRPr="007A75EC" w:rsidRDefault="00433170" w:rsidP="001F2ABB">
            <w:pPr>
              <w:jc w:val="both"/>
              <w:rPr>
                <w:sz w:val="16"/>
                <w:szCs w:val="16"/>
                <w:lang w:val="en-GB"/>
              </w:rPr>
            </w:pPr>
            <w:r w:rsidRPr="007A75EC">
              <w:rPr>
                <w:b/>
                <w:i/>
                <w:sz w:val="16"/>
                <w:szCs w:val="16"/>
                <w:lang w:val="en-GB"/>
              </w:rPr>
              <w:t>Target</w:t>
            </w:r>
            <w:r w:rsidR="002012BB" w:rsidRPr="007A75EC">
              <w:rPr>
                <w:b/>
                <w:i/>
                <w:sz w:val="16"/>
                <w:szCs w:val="16"/>
                <w:lang w:val="en-GB"/>
              </w:rPr>
              <w:t>:</w:t>
            </w:r>
            <w:r w:rsidRPr="007A75EC">
              <w:rPr>
                <w:b/>
                <w:i/>
                <w:sz w:val="16"/>
                <w:szCs w:val="16"/>
                <w:lang w:val="en-GB"/>
              </w:rPr>
              <w:t xml:space="preserve"> </w:t>
            </w:r>
            <w:r w:rsidRPr="007A75EC">
              <w:rPr>
                <w:sz w:val="16"/>
                <w:szCs w:val="16"/>
                <w:lang w:val="en-GB"/>
              </w:rPr>
              <w:t>Presidential</w:t>
            </w:r>
            <w:r w:rsidR="001404CD" w:rsidRPr="00CA06FC">
              <w:rPr>
                <w:sz w:val="16"/>
                <w:szCs w:val="16"/>
                <w:lang w:val="en-GB"/>
              </w:rPr>
              <w:t xml:space="preserve">, </w:t>
            </w:r>
            <w:r w:rsidRPr="007A75EC">
              <w:rPr>
                <w:sz w:val="16"/>
                <w:szCs w:val="16"/>
                <w:lang w:val="en-GB"/>
              </w:rPr>
              <w:t>88%;</w:t>
            </w:r>
            <w:r w:rsidR="002507FB" w:rsidRPr="007A75EC">
              <w:rPr>
                <w:sz w:val="16"/>
                <w:szCs w:val="16"/>
                <w:lang w:val="en-GB"/>
              </w:rPr>
              <w:t xml:space="preserve"> </w:t>
            </w:r>
            <w:r w:rsidRPr="007A75EC">
              <w:rPr>
                <w:sz w:val="16"/>
                <w:szCs w:val="16"/>
                <w:lang w:val="en-GB"/>
              </w:rPr>
              <w:t>National Assembly</w:t>
            </w:r>
            <w:r w:rsidR="001404CD" w:rsidRPr="00CA06FC">
              <w:rPr>
                <w:sz w:val="16"/>
                <w:szCs w:val="16"/>
                <w:lang w:val="en-GB"/>
              </w:rPr>
              <w:t xml:space="preserve">, </w:t>
            </w:r>
            <w:r w:rsidRPr="007A75EC">
              <w:rPr>
                <w:sz w:val="16"/>
                <w:szCs w:val="16"/>
                <w:lang w:val="en-GB"/>
              </w:rPr>
              <w:t>65%;</w:t>
            </w:r>
            <w:r w:rsidR="002507FB" w:rsidRPr="007A75EC">
              <w:rPr>
                <w:sz w:val="16"/>
                <w:szCs w:val="16"/>
                <w:lang w:val="en-GB"/>
              </w:rPr>
              <w:t xml:space="preserve"> </w:t>
            </w:r>
            <w:r w:rsidR="001404CD" w:rsidRPr="00CA06FC">
              <w:rPr>
                <w:sz w:val="16"/>
                <w:szCs w:val="16"/>
                <w:lang w:val="en-GB"/>
              </w:rPr>
              <w:t>l</w:t>
            </w:r>
            <w:r w:rsidRPr="007A75EC">
              <w:rPr>
                <w:sz w:val="16"/>
                <w:szCs w:val="16"/>
                <w:lang w:val="en-GB"/>
              </w:rPr>
              <w:t xml:space="preserve">ocal </w:t>
            </w:r>
            <w:r w:rsidR="001404CD" w:rsidRPr="00CA06FC">
              <w:rPr>
                <w:sz w:val="16"/>
                <w:szCs w:val="16"/>
                <w:lang w:val="en-GB"/>
              </w:rPr>
              <w:t>g</w:t>
            </w:r>
            <w:r w:rsidRPr="007A75EC">
              <w:rPr>
                <w:sz w:val="16"/>
                <w:szCs w:val="16"/>
                <w:lang w:val="en-GB"/>
              </w:rPr>
              <w:t>overnment</w:t>
            </w:r>
            <w:r w:rsidR="001404CD" w:rsidRPr="00CA06FC">
              <w:rPr>
                <w:sz w:val="16"/>
                <w:szCs w:val="16"/>
                <w:lang w:val="en-GB"/>
              </w:rPr>
              <w:t xml:space="preserve">, </w:t>
            </w:r>
            <w:r w:rsidRPr="007A75EC">
              <w:rPr>
                <w:sz w:val="16"/>
                <w:szCs w:val="16"/>
                <w:lang w:val="en-GB"/>
              </w:rPr>
              <w:t>40% (2016-2018)</w:t>
            </w:r>
          </w:p>
          <w:p w:rsidR="002012BB" w:rsidRPr="007A75EC" w:rsidRDefault="002012BB" w:rsidP="001F2ABB">
            <w:pPr>
              <w:jc w:val="both"/>
              <w:rPr>
                <w:b/>
                <w:i/>
                <w:sz w:val="16"/>
                <w:szCs w:val="16"/>
                <w:lang w:val="en-GB"/>
              </w:rPr>
            </w:pPr>
          </w:p>
          <w:p w:rsidR="00433170" w:rsidRPr="007A75EC" w:rsidRDefault="00433170" w:rsidP="001F2ABB">
            <w:pPr>
              <w:contextualSpacing/>
              <w:jc w:val="both"/>
              <w:rPr>
                <w:sz w:val="16"/>
                <w:szCs w:val="16"/>
                <w:lang w:val="en-GB"/>
              </w:rPr>
            </w:pPr>
            <w:r w:rsidRPr="007A75EC">
              <w:rPr>
                <w:b/>
                <w:sz w:val="16"/>
                <w:szCs w:val="16"/>
                <w:lang w:val="en-GB"/>
              </w:rPr>
              <w:t>Indicator 2.1.</w:t>
            </w:r>
            <w:r w:rsidR="00FB3644" w:rsidRPr="007A75EC">
              <w:rPr>
                <w:b/>
                <w:sz w:val="16"/>
                <w:szCs w:val="16"/>
                <w:lang w:val="en-GB"/>
              </w:rPr>
              <w:t>2</w:t>
            </w:r>
            <w:r w:rsidR="001569BA">
              <w:rPr>
                <w:b/>
                <w:sz w:val="16"/>
                <w:szCs w:val="16"/>
                <w:lang w:val="en-GB"/>
              </w:rPr>
              <w:t>.</w:t>
            </w:r>
            <w:r w:rsidRPr="007A75EC">
              <w:rPr>
                <w:sz w:val="16"/>
                <w:szCs w:val="16"/>
                <w:lang w:val="en-GB"/>
              </w:rPr>
              <w:t xml:space="preserve"> </w:t>
            </w:r>
            <w:r w:rsidR="00FB3644" w:rsidRPr="007A75EC">
              <w:rPr>
                <w:sz w:val="16"/>
                <w:szCs w:val="16"/>
                <w:lang w:val="en-GB"/>
              </w:rPr>
              <w:t xml:space="preserve"> </w:t>
            </w:r>
            <w:r w:rsidR="002F0401" w:rsidRPr="007A75EC">
              <w:rPr>
                <w:sz w:val="16"/>
                <w:szCs w:val="16"/>
                <w:lang w:val="en-GB"/>
              </w:rPr>
              <w:t>N</w:t>
            </w:r>
            <w:r w:rsidR="00B31E68" w:rsidRPr="007A75EC">
              <w:rPr>
                <w:sz w:val="16"/>
                <w:szCs w:val="16"/>
                <w:lang w:val="en-GB"/>
              </w:rPr>
              <w:t xml:space="preserve">umber </w:t>
            </w:r>
            <w:r w:rsidR="00B953AE" w:rsidRPr="007A75EC">
              <w:rPr>
                <w:sz w:val="16"/>
                <w:szCs w:val="16"/>
                <w:lang w:val="en-GB"/>
              </w:rPr>
              <w:t>of women</w:t>
            </w:r>
            <w:r w:rsidRPr="007A75EC">
              <w:rPr>
                <w:sz w:val="16"/>
                <w:szCs w:val="16"/>
                <w:lang w:val="en-GB"/>
              </w:rPr>
              <w:t xml:space="preserve"> participating as candidates in local and national elections</w:t>
            </w:r>
            <w:r w:rsidR="00B31E68" w:rsidRPr="007A75EC">
              <w:rPr>
                <w:sz w:val="16"/>
                <w:szCs w:val="16"/>
                <w:lang w:val="en-GB"/>
              </w:rPr>
              <w:t>.</w:t>
            </w:r>
          </w:p>
          <w:p w:rsidR="00433170" w:rsidRPr="007A75EC" w:rsidRDefault="00433170" w:rsidP="001F2ABB">
            <w:pPr>
              <w:jc w:val="both"/>
              <w:rPr>
                <w:sz w:val="16"/>
                <w:szCs w:val="16"/>
                <w:lang w:val="en-GB"/>
              </w:rPr>
            </w:pPr>
            <w:r w:rsidRPr="007A75EC">
              <w:rPr>
                <w:b/>
                <w:i/>
                <w:sz w:val="16"/>
                <w:szCs w:val="16"/>
                <w:lang w:val="en-GB"/>
              </w:rPr>
              <w:t>Baseline</w:t>
            </w:r>
            <w:r w:rsidR="002012BB" w:rsidRPr="007A75EC">
              <w:rPr>
                <w:b/>
                <w:i/>
                <w:sz w:val="16"/>
                <w:szCs w:val="16"/>
                <w:lang w:val="en-GB"/>
              </w:rPr>
              <w:t>:</w:t>
            </w:r>
            <w:r w:rsidRPr="007A75EC">
              <w:rPr>
                <w:b/>
                <w:sz w:val="16"/>
                <w:szCs w:val="16"/>
                <w:lang w:val="en-GB"/>
              </w:rPr>
              <w:t xml:space="preserve"> </w:t>
            </w:r>
            <w:r w:rsidR="00FB3644" w:rsidRPr="007A75EC">
              <w:rPr>
                <w:sz w:val="16"/>
                <w:szCs w:val="16"/>
                <w:lang w:val="en-GB"/>
              </w:rPr>
              <w:t>20</w:t>
            </w:r>
            <w:r w:rsidR="00F01AB7" w:rsidRPr="007A75EC">
              <w:rPr>
                <w:sz w:val="16"/>
                <w:szCs w:val="16"/>
                <w:lang w:val="en-GB"/>
              </w:rPr>
              <w:t>/114 for local government, 4/</w:t>
            </w:r>
            <w:r w:rsidR="00FB3644" w:rsidRPr="007A75EC">
              <w:rPr>
                <w:sz w:val="16"/>
                <w:szCs w:val="16"/>
                <w:lang w:val="en-GB"/>
              </w:rPr>
              <w:t>48 for national assembly</w:t>
            </w:r>
            <w:r w:rsidR="0094722C" w:rsidRPr="007A75EC">
              <w:rPr>
                <w:rStyle w:val="FootnoteReference"/>
                <w:sz w:val="16"/>
                <w:szCs w:val="16"/>
                <w:lang w:val="en-GB"/>
              </w:rPr>
              <w:footnoteReference w:id="56"/>
            </w:r>
            <w:r w:rsidR="00FB3644" w:rsidRPr="007A75EC">
              <w:rPr>
                <w:sz w:val="16"/>
                <w:szCs w:val="16"/>
                <w:lang w:val="en-GB"/>
              </w:rPr>
              <w:t xml:space="preserve"> </w:t>
            </w:r>
          </w:p>
          <w:p w:rsidR="009908A8" w:rsidRPr="007A75EC" w:rsidRDefault="00FB3644" w:rsidP="001F2ABB">
            <w:pPr>
              <w:jc w:val="both"/>
              <w:rPr>
                <w:sz w:val="16"/>
                <w:szCs w:val="16"/>
                <w:lang w:val="en-GB"/>
              </w:rPr>
            </w:pPr>
            <w:r w:rsidRPr="007A75EC">
              <w:rPr>
                <w:b/>
                <w:i/>
                <w:sz w:val="16"/>
                <w:szCs w:val="16"/>
                <w:lang w:val="en-GB"/>
              </w:rPr>
              <w:t>Target:</w:t>
            </w:r>
            <w:r w:rsidRPr="007A75EC">
              <w:rPr>
                <w:sz w:val="16"/>
                <w:szCs w:val="16"/>
                <w:lang w:val="en-GB"/>
              </w:rPr>
              <w:t xml:space="preserve"> </w:t>
            </w:r>
            <w:r w:rsidR="001404CD" w:rsidRPr="00CA06FC">
              <w:rPr>
                <w:sz w:val="16"/>
                <w:szCs w:val="16"/>
                <w:lang w:val="en-GB"/>
              </w:rPr>
              <w:t xml:space="preserve"> </w:t>
            </w:r>
            <w:r w:rsidRPr="007A75EC">
              <w:rPr>
                <w:sz w:val="16"/>
                <w:szCs w:val="16"/>
                <w:lang w:val="en-GB"/>
              </w:rPr>
              <w:t>40</w:t>
            </w:r>
            <w:r w:rsidR="00F01AB7" w:rsidRPr="007A75EC">
              <w:rPr>
                <w:sz w:val="16"/>
                <w:szCs w:val="16"/>
                <w:lang w:val="en-GB"/>
              </w:rPr>
              <w:t>/</w:t>
            </w:r>
            <w:r w:rsidRPr="007A75EC">
              <w:rPr>
                <w:sz w:val="16"/>
                <w:szCs w:val="16"/>
                <w:lang w:val="en-GB"/>
              </w:rPr>
              <w:t>1</w:t>
            </w:r>
            <w:r w:rsidR="00F01AB7" w:rsidRPr="007A75EC">
              <w:rPr>
                <w:sz w:val="16"/>
                <w:szCs w:val="16"/>
                <w:lang w:val="en-GB"/>
              </w:rPr>
              <w:t>14 for local government</w:t>
            </w:r>
            <w:r w:rsidRPr="007A75EC">
              <w:rPr>
                <w:sz w:val="16"/>
                <w:szCs w:val="16"/>
                <w:lang w:val="en-GB"/>
              </w:rPr>
              <w:t>; 15</w:t>
            </w:r>
            <w:r w:rsidR="00F01AB7" w:rsidRPr="007A75EC">
              <w:rPr>
                <w:sz w:val="16"/>
                <w:szCs w:val="16"/>
                <w:lang w:val="en-GB"/>
              </w:rPr>
              <w:t>/</w:t>
            </w:r>
            <w:r w:rsidRPr="007A75EC">
              <w:rPr>
                <w:sz w:val="16"/>
                <w:szCs w:val="16"/>
                <w:lang w:val="en-GB"/>
              </w:rPr>
              <w:t>5</w:t>
            </w:r>
            <w:r w:rsidR="00F01AB7" w:rsidRPr="007A75EC">
              <w:rPr>
                <w:sz w:val="16"/>
                <w:szCs w:val="16"/>
                <w:lang w:val="en-GB"/>
              </w:rPr>
              <w:t>5 for national assembly</w:t>
            </w:r>
            <w:r w:rsidRPr="007A75EC">
              <w:rPr>
                <w:sz w:val="16"/>
                <w:szCs w:val="16"/>
                <w:lang w:val="en-GB"/>
              </w:rPr>
              <w:t xml:space="preserve">.  </w:t>
            </w:r>
          </w:p>
          <w:p w:rsidR="00433170" w:rsidRPr="007A75EC" w:rsidRDefault="00433170" w:rsidP="001F2ABB">
            <w:pPr>
              <w:contextualSpacing/>
              <w:jc w:val="both"/>
              <w:rPr>
                <w:sz w:val="16"/>
                <w:szCs w:val="16"/>
                <w:lang w:val="en-GB"/>
              </w:rPr>
            </w:pPr>
          </w:p>
          <w:p w:rsidR="001404CD" w:rsidRPr="00CA06FC" w:rsidRDefault="001404CD" w:rsidP="0014109E">
            <w:pPr>
              <w:pStyle w:val="CommentText"/>
              <w:rPr>
                <w:b/>
                <w:sz w:val="16"/>
                <w:szCs w:val="16"/>
                <w:lang w:val="en-GB"/>
              </w:rPr>
            </w:pPr>
          </w:p>
          <w:p w:rsidR="001404CD" w:rsidRPr="00522402" w:rsidRDefault="001404CD" w:rsidP="0014109E">
            <w:pPr>
              <w:pStyle w:val="CommentText"/>
              <w:rPr>
                <w:b/>
                <w:sz w:val="16"/>
                <w:szCs w:val="16"/>
                <w:lang w:val="en-GB"/>
              </w:rPr>
            </w:pPr>
          </w:p>
          <w:p w:rsidR="001404CD" w:rsidRPr="002921ED" w:rsidRDefault="001404CD" w:rsidP="0014109E">
            <w:pPr>
              <w:pStyle w:val="CommentText"/>
              <w:rPr>
                <w:b/>
                <w:sz w:val="16"/>
                <w:szCs w:val="16"/>
                <w:lang w:val="en-GB"/>
              </w:rPr>
            </w:pPr>
          </w:p>
          <w:p w:rsidR="00180959" w:rsidRDefault="00180959" w:rsidP="0014109E">
            <w:pPr>
              <w:pStyle w:val="CommentText"/>
              <w:rPr>
                <w:b/>
                <w:sz w:val="16"/>
                <w:szCs w:val="16"/>
                <w:lang w:val="en-GB"/>
              </w:rPr>
            </w:pPr>
          </w:p>
          <w:p w:rsidR="00710E70" w:rsidRPr="002921ED" w:rsidRDefault="00710E70" w:rsidP="0014109E">
            <w:pPr>
              <w:pStyle w:val="CommentText"/>
              <w:rPr>
                <w:b/>
                <w:sz w:val="16"/>
                <w:szCs w:val="16"/>
                <w:lang w:val="en-GB"/>
              </w:rPr>
            </w:pPr>
          </w:p>
          <w:p w:rsidR="0014109E" w:rsidRPr="007A75EC" w:rsidRDefault="00433170" w:rsidP="0014109E">
            <w:pPr>
              <w:pStyle w:val="CommentText"/>
              <w:rPr>
                <w:b/>
                <w:sz w:val="16"/>
                <w:szCs w:val="16"/>
                <w:lang w:val="en-GB"/>
              </w:rPr>
            </w:pPr>
            <w:r w:rsidRPr="007A75EC">
              <w:rPr>
                <w:b/>
                <w:sz w:val="16"/>
                <w:szCs w:val="16"/>
                <w:lang w:val="en-GB"/>
              </w:rPr>
              <w:lastRenderedPageBreak/>
              <w:t>Output 2.</w:t>
            </w:r>
            <w:r w:rsidR="005228C1" w:rsidRPr="007A75EC">
              <w:rPr>
                <w:b/>
                <w:sz w:val="16"/>
                <w:szCs w:val="16"/>
                <w:lang w:val="en-GB"/>
              </w:rPr>
              <w:t>2</w:t>
            </w:r>
            <w:r w:rsidR="001569BA">
              <w:rPr>
                <w:b/>
                <w:sz w:val="16"/>
                <w:szCs w:val="16"/>
                <w:lang w:val="en-GB"/>
              </w:rPr>
              <w:t>.</w:t>
            </w:r>
            <w:r w:rsidRPr="007A75EC">
              <w:rPr>
                <w:b/>
                <w:sz w:val="16"/>
                <w:szCs w:val="16"/>
                <w:lang w:val="en-GB"/>
              </w:rPr>
              <w:t xml:space="preserve"> </w:t>
            </w:r>
            <w:r w:rsidR="0014109E" w:rsidRPr="007A75EC">
              <w:rPr>
                <w:b/>
                <w:sz w:val="16"/>
                <w:szCs w:val="16"/>
                <w:lang w:val="en-GB"/>
              </w:rPr>
              <w:t>Enhanced institutional capacity of the justice system to deliver accessible, efficient and accountable justice to all, especially women and vulnerable groups.</w:t>
            </w:r>
          </w:p>
          <w:p w:rsidR="00433170" w:rsidRPr="007A75EC" w:rsidRDefault="008E3FDA" w:rsidP="001F2ABB">
            <w:pPr>
              <w:jc w:val="both"/>
              <w:rPr>
                <w:sz w:val="16"/>
                <w:szCs w:val="16"/>
                <w:lang w:val="en-GB"/>
              </w:rPr>
            </w:pPr>
            <w:r w:rsidRPr="007A75EC">
              <w:rPr>
                <w:sz w:val="16"/>
                <w:szCs w:val="16"/>
                <w:lang w:val="en-GB"/>
              </w:rPr>
              <w:t xml:space="preserve"> </w:t>
            </w:r>
          </w:p>
          <w:p w:rsidR="0014109E" w:rsidRPr="007A75EC" w:rsidRDefault="0014109E" w:rsidP="0014109E">
            <w:pPr>
              <w:pStyle w:val="CommentText"/>
              <w:rPr>
                <w:sz w:val="16"/>
                <w:szCs w:val="16"/>
                <w:lang w:val="en-GB"/>
              </w:rPr>
            </w:pPr>
            <w:r w:rsidRPr="007A75EC">
              <w:rPr>
                <w:b/>
                <w:sz w:val="16"/>
                <w:szCs w:val="16"/>
                <w:lang w:val="en-GB"/>
              </w:rPr>
              <w:t xml:space="preserve">Indicator </w:t>
            </w:r>
            <w:r w:rsidR="00526120" w:rsidRPr="007A75EC">
              <w:rPr>
                <w:b/>
                <w:sz w:val="16"/>
                <w:szCs w:val="16"/>
                <w:lang w:val="en-GB"/>
              </w:rPr>
              <w:t>2.</w:t>
            </w:r>
            <w:r w:rsidR="001569BA">
              <w:rPr>
                <w:b/>
                <w:sz w:val="16"/>
                <w:szCs w:val="16"/>
                <w:lang w:val="en-GB"/>
              </w:rPr>
              <w:t>2</w:t>
            </w:r>
            <w:r w:rsidR="00526120" w:rsidRPr="007A75EC">
              <w:rPr>
                <w:b/>
                <w:sz w:val="16"/>
                <w:szCs w:val="16"/>
                <w:lang w:val="en-GB"/>
              </w:rPr>
              <w:t>.</w:t>
            </w:r>
            <w:r w:rsidRPr="007A75EC">
              <w:rPr>
                <w:b/>
                <w:sz w:val="16"/>
                <w:szCs w:val="16"/>
                <w:lang w:val="en-GB"/>
              </w:rPr>
              <w:t>1</w:t>
            </w:r>
            <w:r w:rsidR="001569BA">
              <w:rPr>
                <w:b/>
                <w:sz w:val="16"/>
                <w:szCs w:val="16"/>
                <w:lang w:val="en-GB"/>
              </w:rPr>
              <w:t>.</w:t>
            </w:r>
            <w:r w:rsidRPr="007A75EC">
              <w:rPr>
                <w:sz w:val="16"/>
                <w:szCs w:val="16"/>
                <w:lang w:val="en-GB"/>
              </w:rPr>
              <w:t xml:space="preserve"> Number of legal aid </w:t>
            </w:r>
            <w:r w:rsidR="001E2DCF" w:rsidRPr="007A75EC">
              <w:rPr>
                <w:sz w:val="16"/>
                <w:szCs w:val="16"/>
                <w:lang w:val="en-GB"/>
              </w:rPr>
              <w:t>cent</w:t>
            </w:r>
            <w:r w:rsidR="001404CD" w:rsidRPr="00CA06FC">
              <w:rPr>
                <w:sz w:val="16"/>
                <w:szCs w:val="16"/>
                <w:lang w:val="en-GB"/>
              </w:rPr>
              <w:t>re</w:t>
            </w:r>
            <w:r w:rsidR="001E2DCF" w:rsidRPr="007A75EC">
              <w:rPr>
                <w:sz w:val="16"/>
                <w:szCs w:val="16"/>
                <w:lang w:val="en-GB"/>
              </w:rPr>
              <w:t>s</w:t>
            </w:r>
            <w:r w:rsidRPr="007A75EC">
              <w:rPr>
                <w:sz w:val="16"/>
                <w:szCs w:val="16"/>
                <w:lang w:val="en-GB"/>
              </w:rPr>
              <w:t xml:space="preserve"> established.</w:t>
            </w:r>
          </w:p>
          <w:p w:rsidR="0014109E" w:rsidRPr="007A75EC" w:rsidRDefault="0014109E" w:rsidP="0014109E">
            <w:pPr>
              <w:pStyle w:val="CommentText"/>
              <w:rPr>
                <w:sz w:val="16"/>
                <w:szCs w:val="16"/>
                <w:lang w:val="en-GB"/>
              </w:rPr>
            </w:pPr>
            <w:r w:rsidRPr="007A75EC">
              <w:rPr>
                <w:b/>
                <w:i/>
                <w:sz w:val="16"/>
                <w:szCs w:val="16"/>
                <w:lang w:val="en-GB"/>
              </w:rPr>
              <w:t>Baseline:</w:t>
            </w:r>
            <w:r w:rsidRPr="007A75EC">
              <w:rPr>
                <w:sz w:val="16"/>
                <w:szCs w:val="16"/>
                <w:lang w:val="en-GB"/>
              </w:rPr>
              <w:t xml:space="preserve"> 3 </w:t>
            </w:r>
          </w:p>
          <w:p w:rsidR="0014109E" w:rsidRPr="007A75EC" w:rsidRDefault="0014109E" w:rsidP="0014109E">
            <w:pPr>
              <w:pStyle w:val="CommentText"/>
              <w:rPr>
                <w:sz w:val="16"/>
                <w:szCs w:val="16"/>
                <w:lang w:val="en-GB"/>
              </w:rPr>
            </w:pPr>
            <w:r w:rsidRPr="007A75EC">
              <w:rPr>
                <w:b/>
                <w:i/>
                <w:sz w:val="16"/>
                <w:szCs w:val="16"/>
                <w:lang w:val="en-GB"/>
              </w:rPr>
              <w:t>Target:</w:t>
            </w:r>
            <w:r w:rsidRPr="007A75EC">
              <w:rPr>
                <w:sz w:val="16"/>
                <w:szCs w:val="16"/>
                <w:lang w:val="en-GB"/>
              </w:rPr>
              <w:t xml:space="preserve"> 5</w:t>
            </w:r>
          </w:p>
          <w:p w:rsidR="0014109E" w:rsidRPr="007A75EC" w:rsidRDefault="0014109E" w:rsidP="0014109E">
            <w:pPr>
              <w:pStyle w:val="CommentText"/>
              <w:rPr>
                <w:sz w:val="16"/>
                <w:szCs w:val="16"/>
                <w:lang w:val="en-GB"/>
              </w:rPr>
            </w:pPr>
          </w:p>
          <w:p w:rsidR="0014109E" w:rsidRPr="007A75EC" w:rsidRDefault="0014109E" w:rsidP="0014109E">
            <w:pPr>
              <w:pStyle w:val="CommentText"/>
              <w:rPr>
                <w:sz w:val="16"/>
                <w:szCs w:val="16"/>
                <w:lang w:val="en-GB"/>
              </w:rPr>
            </w:pPr>
            <w:r w:rsidRPr="007A75EC">
              <w:rPr>
                <w:b/>
                <w:sz w:val="16"/>
                <w:szCs w:val="16"/>
                <w:lang w:val="en-GB"/>
              </w:rPr>
              <w:t xml:space="preserve">Indicator </w:t>
            </w:r>
            <w:r w:rsidR="00526120" w:rsidRPr="007A75EC">
              <w:rPr>
                <w:b/>
                <w:sz w:val="16"/>
                <w:szCs w:val="16"/>
                <w:lang w:val="en-GB"/>
              </w:rPr>
              <w:t>2.2.</w:t>
            </w:r>
            <w:r w:rsidRPr="007A75EC">
              <w:rPr>
                <w:b/>
                <w:sz w:val="16"/>
                <w:szCs w:val="16"/>
                <w:lang w:val="en-GB"/>
              </w:rPr>
              <w:t>2</w:t>
            </w:r>
            <w:r w:rsidR="001569BA">
              <w:rPr>
                <w:b/>
                <w:sz w:val="16"/>
                <w:szCs w:val="16"/>
                <w:lang w:val="en-GB"/>
              </w:rPr>
              <w:t>.</w:t>
            </w:r>
            <w:r w:rsidRPr="007A75EC">
              <w:rPr>
                <w:sz w:val="16"/>
                <w:szCs w:val="16"/>
                <w:lang w:val="en-GB"/>
              </w:rPr>
              <w:t xml:space="preserve"> Number of beneficiaries, particularly women and vulnerable groups, using legal aid </w:t>
            </w:r>
            <w:r w:rsidR="001E2DCF" w:rsidRPr="007A75EC">
              <w:rPr>
                <w:sz w:val="16"/>
                <w:szCs w:val="16"/>
                <w:lang w:val="en-GB"/>
              </w:rPr>
              <w:t>cent</w:t>
            </w:r>
            <w:r w:rsidR="001404CD" w:rsidRPr="00CA06FC">
              <w:rPr>
                <w:sz w:val="16"/>
                <w:szCs w:val="16"/>
                <w:lang w:val="en-GB"/>
              </w:rPr>
              <w:t>re</w:t>
            </w:r>
            <w:r w:rsidR="001E2DCF" w:rsidRPr="007A75EC">
              <w:rPr>
                <w:sz w:val="16"/>
                <w:szCs w:val="16"/>
                <w:lang w:val="en-GB"/>
              </w:rPr>
              <w:t>s</w:t>
            </w:r>
            <w:r w:rsidRPr="007A75EC">
              <w:rPr>
                <w:sz w:val="16"/>
                <w:szCs w:val="16"/>
                <w:lang w:val="en-GB"/>
              </w:rPr>
              <w:t>, disaggregated by sex</w:t>
            </w:r>
            <w:r w:rsidR="00E315B8" w:rsidRPr="007A75EC">
              <w:rPr>
                <w:sz w:val="16"/>
                <w:szCs w:val="16"/>
                <w:lang w:val="en-GB"/>
              </w:rPr>
              <w:t xml:space="preserve">. </w:t>
            </w:r>
          </w:p>
          <w:p w:rsidR="0014109E" w:rsidRPr="007A75EC" w:rsidRDefault="0014109E" w:rsidP="0014109E">
            <w:pPr>
              <w:pStyle w:val="CommentText"/>
              <w:rPr>
                <w:sz w:val="16"/>
                <w:szCs w:val="16"/>
                <w:lang w:val="en-GB"/>
              </w:rPr>
            </w:pPr>
            <w:r w:rsidRPr="007A75EC">
              <w:rPr>
                <w:b/>
                <w:i/>
                <w:sz w:val="16"/>
                <w:szCs w:val="16"/>
                <w:lang w:val="en-GB"/>
              </w:rPr>
              <w:t>Baseline</w:t>
            </w:r>
            <w:r w:rsidR="0095175F" w:rsidRPr="007A75EC">
              <w:rPr>
                <w:b/>
                <w:i/>
                <w:sz w:val="16"/>
                <w:szCs w:val="16"/>
                <w:lang w:val="en-GB"/>
              </w:rPr>
              <w:t>:</w:t>
            </w:r>
            <w:r w:rsidR="0095175F" w:rsidRPr="007A75EC">
              <w:rPr>
                <w:sz w:val="16"/>
                <w:szCs w:val="16"/>
                <w:lang w:val="en-GB"/>
              </w:rPr>
              <w:t xml:space="preserve"> 672</w:t>
            </w:r>
            <w:r w:rsidRPr="007A75EC">
              <w:rPr>
                <w:sz w:val="16"/>
                <w:szCs w:val="16"/>
                <w:lang w:val="en-GB"/>
              </w:rPr>
              <w:t xml:space="preserve"> </w:t>
            </w:r>
            <w:r w:rsidR="0095175F" w:rsidRPr="007A75EC">
              <w:rPr>
                <w:sz w:val="16"/>
                <w:szCs w:val="16"/>
                <w:lang w:val="en-GB"/>
              </w:rPr>
              <w:t>cases</w:t>
            </w:r>
            <w:r w:rsidR="008B14CF" w:rsidRPr="007A75EC">
              <w:rPr>
                <w:sz w:val="16"/>
                <w:szCs w:val="16"/>
                <w:lang w:val="en-GB"/>
              </w:rPr>
              <w:t>,</w:t>
            </w:r>
            <w:r w:rsidR="0095175F" w:rsidRPr="007A75EC">
              <w:rPr>
                <w:sz w:val="16"/>
                <w:szCs w:val="16"/>
                <w:lang w:val="en-GB"/>
              </w:rPr>
              <w:t xml:space="preserve"> </w:t>
            </w:r>
            <w:r w:rsidR="00510D4E" w:rsidRPr="007A75EC">
              <w:rPr>
                <w:sz w:val="16"/>
                <w:szCs w:val="16"/>
                <w:lang w:val="en-GB"/>
              </w:rPr>
              <w:t>40%</w:t>
            </w:r>
            <w:r w:rsidR="00C36512" w:rsidRPr="007A75EC">
              <w:rPr>
                <w:sz w:val="16"/>
                <w:szCs w:val="16"/>
                <w:lang w:val="en-GB"/>
              </w:rPr>
              <w:t xml:space="preserve"> w</w:t>
            </w:r>
            <w:r w:rsidR="00E315B8" w:rsidRPr="007A75EC">
              <w:rPr>
                <w:sz w:val="16"/>
                <w:szCs w:val="16"/>
                <w:lang w:val="en-GB"/>
              </w:rPr>
              <w:t>omen</w:t>
            </w:r>
          </w:p>
          <w:p w:rsidR="0014109E" w:rsidRPr="007A75EC" w:rsidRDefault="0014109E" w:rsidP="0014109E">
            <w:pPr>
              <w:pStyle w:val="CommentText"/>
              <w:rPr>
                <w:sz w:val="16"/>
                <w:szCs w:val="16"/>
                <w:lang w:val="en-GB"/>
              </w:rPr>
            </w:pPr>
            <w:r w:rsidRPr="007A75EC">
              <w:rPr>
                <w:b/>
                <w:i/>
                <w:sz w:val="16"/>
                <w:szCs w:val="16"/>
                <w:lang w:val="en-GB"/>
              </w:rPr>
              <w:t>Target</w:t>
            </w:r>
            <w:r w:rsidR="0095175F" w:rsidRPr="007A75EC">
              <w:rPr>
                <w:b/>
                <w:i/>
                <w:sz w:val="16"/>
                <w:szCs w:val="16"/>
                <w:lang w:val="en-GB"/>
              </w:rPr>
              <w:t>:</w:t>
            </w:r>
            <w:r w:rsidR="0095175F" w:rsidRPr="007A75EC">
              <w:rPr>
                <w:sz w:val="16"/>
                <w:szCs w:val="16"/>
                <w:lang w:val="en-GB"/>
              </w:rPr>
              <w:t xml:space="preserve"> 3</w:t>
            </w:r>
            <w:r w:rsidR="00E140B9" w:rsidRPr="007A75EC">
              <w:rPr>
                <w:sz w:val="16"/>
                <w:szCs w:val="16"/>
                <w:lang w:val="en-GB"/>
              </w:rPr>
              <w:t>,</w:t>
            </w:r>
            <w:r w:rsidR="0095175F" w:rsidRPr="007A75EC">
              <w:rPr>
                <w:sz w:val="16"/>
                <w:szCs w:val="16"/>
                <w:lang w:val="en-GB"/>
              </w:rPr>
              <w:t>000 cases</w:t>
            </w:r>
            <w:r w:rsidR="008B14CF" w:rsidRPr="007A75EC">
              <w:rPr>
                <w:sz w:val="16"/>
                <w:szCs w:val="16"/>
                <w:lang w:val="en-GB"/>
              </w:rPr>
              <w:t>,</w:t>
            </w:r>
            <w:r w:rsidRPr="007A75EC">
              <w:rPr>
                <w:sz w:val="16"/>
                <w:szCs w:val="16"/>
                <w:lang w:val="en-GB"/>
              </w:rPr>
              <w:t xml:space="preserve"> </w:t>
            </w:r>
            <w:r w:rsidR="003F3C85" w:rsidRPr="007A75EC">
              <w:rPr>
                <w:sz w:val="16"/>
                <w:szCs w:val="16"/>
                <w:lang w:val="en-GB"/>
              </w:rPr>
              <w:t>6</w:t>
            </w:r>
            <w:r w:rsidR="00510D4E" w:rsidRPr="007A75EC">
              <w:rPr>
                <w:sz w:val="16"/>
                <w:szCs w:val="16"/>
                <w:lang w:val="en-GB"/>
              </w:rPr>
              <w:t>0%</w:t>
            </w:r>
            <w:r w:rsidR="003F3C85" w:rsidRPr="007A75EC">
              <w:rPr>
                <w:sz w:val="16"/>
                <w:szCs w:val="16"/>
                <w:lang w:val="en-GB"/>
              </w:rPr>
              <w:t xml:space="preserve"> </w:t>
            </w:r>
            <w:r w:rsidR="00E315B8" w:rsidRPr="007A75EC">
              <w:rPr>
                <w:sz w:val="16"/>
                <w:szCs w:val="16"/>
                <w:lang w:val="en-GB"/>
              </w:rPr>
              <w:t xml:space="preserve">women </w:t>
            </w:r>
          </w:p>
          <w:p w:rsidR="001B734F" w:rsidRPr="007A75EC" w:rsidRDefault="00433170" w:rsidP="001F2ABB">
            <w:pPr>
              <w:jc w:val="both"/>
              <w:rPr>
                <w:rFonts w:eastAsiaTheme="minorHAnsi"/>
                <w:b/>
                <w:sz w:val="16"/>
                <w:szCs w:val="16"/>
                <w:lang w:val="en-GB"/>
              </w:rPr>
            </w:pPr>
            <w:r w:rsidRPr="007A75EC">
              <w:rPr>
                <w:rFonts w:eastAsiaTheme="minorHAnsi"/>
                <w:b/>
                <w:sz w:val="16"/>
                <w:szCs w:val="16"/>
                <w:lang w:val="en-GB"/>
              </w:rPr>
              <w:t xml:space="preserve">                                                       </w:t>
            </w:r>
          </w:p>
          <w:p w:rsidR="00845B2D" w:rsidRPr="007A75EC" w:rsidRDefault="00433170" w:rsidP="00710E70">
            <w:pPr>
              <w:spacing w:after="120"/>
              <w:jc w:val="both"/>
              <w:rPr>
                <w:b/>
                <w:sz w:val="16"/>
                <w:szCs w:val="16"/>
                <w:lang w:val="en-GB"/>
              </w:rPr>
            </w:pPr>
            <w:r w:rsidRPr="007A75EC">
              <w:rPr>
                <w:b/>
                <w:sz w:val="16"/>
                <w:szCs w:val="16"/>
                <w:lang w:val="en-GB"/>
              </w:rPr>
              <w:t>Output 2.</w:t>
            </w:r>
            <w:r w:rsidR="005228C1" w:rsidRPr="007A75EC">
              <w:rPr>
                <w:b/>
                <w:sz w:val="16"/>
                <w:szCs w:val="16"/>
                <w:lang w:val="en-GB"/>
              </w:rPr>
              <w:t>3</w:t>
            </w:r>
            <w:r w:rsidRPr="007A75EC">
              <w:rPr>
                <w:b/>
                <w:sz w:val="16"/>
                <w:szCs w:val="16"/>
                <w:lang w:val="en-GB"/>
              </w:rPr>
              <w:t xml:space="preserve">. Frameworks </w:t>
            </w:r>
            <w:r w:rsidR="00612119" w:rsidRPr="007A75EC">
              <w:rPr>
                <w:b/>
                <w:sz w:val="16"/>
                <w:szCs w:val="16"/>
                <w:lang w:val="en-GB"/>
              </w:rPr>
              <w:t>developed</w:t>
            </w:r>
            <w:r w:rsidRPr="007A75EC">
              <w:rPr>
                <w:b/>
                <w:sz w:val="16"/>
                <w:szCs w:val="16"/>
                <w:lang w:val="en-GB"/>
              </w:rPr>
              <w:t xml:space="preserve"> for effective and transparent engagement of civil society</w:t>
            </w:r>
            <w:r w:rsidR="00854457" w:rsidRPr="007A75EC">
              <w:rPr>
                <w:b/>
                <w:sz w:val="16"/>
                <w:szCs w:val="16"/>
                <w:lang w:val="en-GB"/>
              </w:rPr>
              <w:t xml:space="preserve">, including women’s </w:t>
            </w:r>
            <w:r w:rsidR="002F0401" w:rsidRPr="007A75EC">
              <w:rPr>
                <w:b/>
                <w:sz w:val="16"/>
                <w:szCs w:val="16"/>
                <w:lang w:val="en-GB"/>
              </w:rPr>
              <w:t>organizations</w:t>
            </w:r>
            <w:r w:rsidR="00854457" w:rsidRPr="007A75EC">
              <w:rPr>
                <w:b/>
                <w:sz w:val="16"/>
                <w:szCs w:val="16"/>
                <w:lang w:val="en-GB"/>
              </w:rPr>
              <w:t>,</w:t>
            </w:r>
            <w:r w:rsidRPr="007A75EC">
              <w:rPr>
                <w:b/>
                <w:sz w:val="16"/>
                <w:szCs w:val="16"/>
                <w:lang w:val="en-GB"/>
              </w:rPr>
              <w:t xml:space="preserve"> in national development</w:t>
            </w:r>
            <w:r w:rsidR="00E315B8" w:rsidRPr="007A75EC">
              <w:rPr>
                <w:b/>
                <w:sz w:val="16"/>
                <w:szCs w:val="16"/>
                <w:lang w:val="en-GB"/>
              </w:rPr>
              <w:t>.</w:t>
            </w:r>
          </w:p>
          <w:p w:rsidR="00433170" w:rsidRPr="007A75EC" w:rsidRDefault="00433170" w:rsidP="001F2ABB">
            <w:pPr>
              <w:jc w:val="both"/>
              <w:rPr>
                <w:sz w:val="16"/>
                <w:szCs w:val="16"/>
                <w:lang w:val="en-GB"/>
              </w:rPr>
            </w:pPr>
            <w:r w:rsidRPr="007A75EC">
              <w:rPr>
                <w:b/>
                <w:sz w:val="16"/>
                <w:szCs w:val="16"/>
                <w:lang w:val="en-GB"/>
              </w:rPr>
              <w:t>Indicator 2.</w:t>
            </w:r>
            <w:r w:rsidR="005228C1" w:rsidRPr="007A75EC">
              <w:rPr>
                <w:b/>
                <w:sz w:val="16"/>
                <w:szCs w:val="16"/>
                <w:lang w:val="en-GB"/>
              </w:rPr>
              <w:t>3</w:t>
            </w:r>
            <w:r w:rsidRPr="007A75EC">
              <w:rPr>
                <w:b/>
                <w:sz w:val="16"/>
                <w:szCs w:val="16"/>
                <w:lang w:val="en-GB"/>
              </w:rPr>
              <w:t>.1</w:t>
            </w:r>
            <w:r w:rsidR="007D2E35" w:rsidRPr="00CA06FC">
              <w:rPr>
                <w:b/>
                <w:sz w:val="16"/>
                <w:szCs w:val="16"/>
                <w:lang w:val="en-GB"/>
              </w:rPr>
              <w:t>.</w:t>
            </w:r>
            <w:r w:rsidR="001B734F" w:rsidRPr="007A75EC">
              <w:rPr>
                <w:b/>
                <w:sz w:val="16"/>
                <w:szCs w:val="16"/>
                <w:lang w:val="en-GB"/>
              </w:rPr>
              <w:t xml:space="preserve"> </w:t>
            </w:r>
            <w:r w:rsidR="00E315B8" w:rsidRPr="007A75EC">
              <w:rPr>
                <w:sz w:val="16"/>
                <w:szCs w:val="16"/>
                <w:lang w:val="en-GB"/>
              </w:rPr>
              <w:t>N</w:t>
            </w:r>
            <w:r w:rsidR="005E4B6F" w:rsidRPr="007A75EC">
              <w:rPr>
                <w:sz w:val="16"/>
                <w:szCs w:val="16"/>
                <w:lang w:val="en-GB"/>
              </w:rPr>
              <w:t xml:space="preserve">umber of </w:t>
            </w:r>
            <w:r w:rsidR="007D2E35" w:rsidRPr="00CA06FC">
              <w:rPr>
                <w:sz w:val="16"/>
                <w:szCs w:val="16"/>
                <w:lang w:val="en-GB"/>
              </w:rPr>
              <w:t>civil society organizations</w:t>
            </w:r>
            <w:r w:rsidR="001E2DCF" w:rsidRPr="007A75EC">
              <w:rPr>
                <w:sz w:val="16"/>
                <w:szCs w:val="16"/>
                <w:lang w:val="en-GB"/>
              </w:rPr>
              <w:t>,</w:t>
            </w:r>
            <w:r w:rsidR="005E4B6F" w:rsidRPr="007A75EC">
              <w:rPr>
                <w:sz w:val="16"/>
                <w:szCs w:val="16"/>
                <w:lang w:val="en-GB"/>
              </w:rPr>
              <w:t xml:space="preserve"> </w:t>
            </w:r>
            <w:r w:rsidR="00E320E2" w:rsidRPr="007A75EC">
              <w:rPr>
                <w:sz w:val="16"/>
                <w:szCs w:val="16"/>
                <w:lang w:val="en-GB"/>
              </w:rPr>
              <w:t>including</w:t>
            </w:r>
            <w:r w:rsidR="002F0401" w:rsidRPr="007A75EC">
              <w:rPr>
                <w:sz w:val="16"/>
                <w:szCs w:val="16"/>
                <w:lang w:val="en-GB"/>
              </w:rPr>
              <w:t xml:space="preserve"> women’s organizations</w:t>
            </w:r>
            <w:r w:rsidR="001E2DCF" w:rsidRPr="007A75EC">
              <w:rPr>
                <w:sz w:val="16"/>
                <w:szCs w:val="16"/>
                <w:lang w:val="en-GB"/>
              </w:rPr>
              <w:t>,</w:t>
            </w:r>
            <w:r w:rsidR="002F0401" w:rsidRPr="007A75EC">
              <w:rPr>
                <w:sz w:val="16"/>
                <w:szCs w:val="16"/>
                <w:lang w:val="en-GB"/>
              </w:rPr>
              <w:t xml:space="preserve"> </w:t>
            </w:r>
            <w:r w:rsidR="005E4B6F" w:rsidRPr="007A75EC">
              <w:rPr>
                <w:sz w:val="16"/>
                <w:szCs w:val="16"/>
                <w:lang w:val="en-GB"/>
              </w:rPr>
              <w:t xml:space="preserve">using open platforms and networks to </w:t>
            </w:r>
            <w:r w:rsidR="00AA0DFC" w:rsidRPr="007A75EC">
              <w:rPr>
                <w:sz w:val="16"/>
                <w:szCs w:val="16"/>
                <w:lang w:val="en-GB"/>
              </w:rPr>
              <w:t>engage</w:t>
            </w:r>
            <w:r w:rsidR="005E4B6F" w:rsidRPr="007A75EC">
              <w:rPr>
                <w:sz w:val="16"/>
                <w:szCs w:val="16"/>
                <w:lang w:val="en-GB"/>
              </w:rPr>
              <w:t xml:space="preserve"> in national and local governance and decision</w:t>
            </w:r>
            <w:r w:rsidR="007D2E35" w:rsidRPr="00CA06FC">
              <w:rPr>
                <w:sz w:val="16"/>
                <w:szCs w:val="16"/>
                <w:lang w:val="en-GB"/>
              </w:rPr>
              <w:t>-</w:t>
            </w:r>
            <w:r w:rsidR="005E4B6F" w:rsidRPr="007A75EC">
              <w:rPr>
                <w:sz w:val="16"/>
                <w:szCs w:val="16"/>
                <w:lang w:val="en-GB"/>
              </w:rPr>
              <w:t>making processes.</w:t>
            </w:r>
          </w:p>
          <w:p w:rsidR="00433170" w:rsidRPr="007A75EC" w:rsidRDefault="00433170" w:rsidP="001F2ABB">
            <w:pPr>
              <w:jc w:val="both"/>
              <w:rPr>
                <w:sz w:val="16"/>
                <w:szCs w:val="16"/>
                <w:lang w:val="en-GB"/>
              </w:rPr>
            </w:pPr>
            <w:r w:rsidRPr="007A75EC">
              <w:rPr>
                <w:b/>
                <w:i/>
                <w:sz w:val="16"/>
                <w:szCs w:val="16"/>
                <w:lang w:val="en-GB"/>
              </w:rPr>
              <w:t>Baseline</w:t>
            </w:r>
            <w:r w:rsidR="001F2ABB" w:rsidRPr="007A75EC">
              <w:rPr>
                <w:b/>
                <w:i/>
                <w:sz w:val="16"/>
                <w:szCs w:val="16"/>
                <w:lang w:val="en-GB"/>
              </w:rPr>
              <w:t>:</w:t>
            </w:r>
            <w:r w:rsidR="001B734F" w:rsidRPr="007A75EC">
              <w:rPr>
                <w:b/>
                <w:sz w:val="16"/>
                <w:szCs w:val="16"/>
                <w:lang w:val="en-GB"/>
              </w:rPr>
              <w:t xml:space="preserve"> </w:t>
            </w:r>
            <w:r w:rsidRPr="007A75EC">
              <w:rPr>
                <w:sz w:val="16"/>
                <w:szCs w:val="16"/>
                <w:lang w:val="en-GB"/>
              </w:rPr>
              <w:t>2</w:t>
            </w:r>
            <w:r w:rsidR="00845B2D" w:rsidRPr="007A75EC">
              <w:rPr>
                <w:rStyle w:val="FootnoteReference"/>
                <w:sz w:val="16"/>
                <w:szCs w:val="16"/>
                <w:lang w:val="en-GB"/>
              </w:rPr>
              <w:footnoteReference w:id="57"/>
            </w:r>
            <w:r w:rsidRPr="007A75EC">
              <w:rPr>
                <w:sz w:val="16"/>
                <w:szCs w:val="16"/>
                <w:lang w:val="en-GB"/>
              </w:rPr>
              <w:t xml:space="preserve"> </w:t>
            </w:r>
          </w:p>
          <w:p w:rsidR="00710E70" w:rsidRPr="007A75EC" w:rsidRDefault="00433170" w:rsidP="00710E70">
            <w:pPr>
              <w:spacing w:after="120"/>
              <w:jc w:val="both"/>
              <w:rPr>
                <w:b/>
                <w:sz w:val="16"/>
                <w:szCs w:val="16"/>
                <w:lang w:val="en-GB"/>
              </w:rPr>
            </w:pPr>
            <w:r w:rsidRPr="007A75EC">
              <w:rPr>
                <w:b/>
                <w:i/>
                <w:sz w:val="16"/>
                <w:szCs w:val="16"/>
                <w:lang w:val="en-GB"/>
              </w:rPr>
              <w:t>Target</w:t>
            </w:r>
            <w:r w:rsidR="001F2ABB" w:rsidRPr="007A75EC">
              <w:rPr>
                <w:b/>
                <w:i/>
                <w:sz w:val="16"/>
                <w:szCs w:val="16"/>
                <w:lang w:val="en-GB"/>
              </w:rPr>
              <w:t>:</w:t>
            </w:r>
            <w:r w:rsidRPr="007A75EC">
              <w:rPr>
                <w:b/>
                <w:sz w:val="16"/>
                <w:szCs w:val="16"/>
                <w:lang w:val="en-GB"/>
              </w:rPr>
              <w:t xml:space="preserve">  </w:t>
            </w:r>
            <w:r w:rsidR="001F2ABB" w:rsidRPr="007A75EC">
              <w:rPr>
                <w:sz w:val="16"/>
                <w:szCs w:val="16"/>
                <w:lang w:val="en-GB"/>
              </w:rPr>
              <w:t>5</w:t>
            </w:r>
          </w:p>
          <w:p w:rsidR="00710E70" w:rsidRPr="007A75EC" w:rsidRDefault="002F0401" w:rsidP="00710E70">
            <w:pPr>
              <w:spacing w:after="120"/>
              <w:jc w:val="both"/>
              <w:rPr>
                <w:b/>
                <w:sz w:val="16"/>
                <w:szCs w:val="16"/>
                <w:lang w:val="en-GB"/>
              </w:rPr>
            </w:pPr>
            <w:r w:rsidRPr="007A75EC">
              <w:rPr>
                <w:b/>
                <w:sz w:val="16"/>
                <w:szCs w:val="16"/>
                <w:lang w:val="en-GB"/>
              </w:rPr>
              <w:t>Output 2.4</w:t>
            </w:r>
            <w:r w:rsidR="007D2E35" w:rsidRPr="00CA06FC">
              <w:rPr>
                <w:b/>
                <w:sz w:val="16"/>
                <w:szCs w:val="16"/>
                <w:lang w:val="en-GB"/>
              </w:rPr>
              <w:t>.</w:t>
            </w:r>
            <w:r w:rsidRPr="007A75EC">
              <w:rPr>
                <w:b/>
                <w:sz w:val="16"/>
                <w:szCs w:val="16"/>
                <w:lang w:val="en-GB"/>
              </w:rPr>
              <w:t xml:space="preserve"> </w:t>
            </w:r>
            <w:r w:rsidR="006D6F20" w:rsidRPr="007A75EC">
              <w:rPr>
                <w:b/>
                <w:sz w:val="16"/>
                <w:szCs w:val="16"/>
                <w:lang w:val="en-GB"/>
              </w:rPr>
              <w:t>S</w:t>
            </w:r>
            <w:r w:rsidR="00E320E2" w:rsidRPr="007A75EC">
              <w:rPr>
                <w:b/>
                <w:sz w:val="16"/>
                <w:szCs w:val="16"/>
                <w:lang w:val="en-GB"/>
              </w:rPr>
              <w:t xml:space="preserve">trengthened operational capacities of </w:t>
            </w:r>
            <w:r w:rsidR="007D2E35" w:rsidRPr="00CA06FC">
              <w:rPr>
                <w:b/>
                <w:sz w:val="16"/>
                <w:szCs w:val="16"/>
                <w:lang w:val="en-GB"/>
              </w:rPr>
              <w:t>o</w:t>
            </w:r>
            <w:r w:rsidR="009A1ABD" w:rsidRPr="007A75EC">
              <w:rPr>
                <w:b/>
                <w:sz w:val="16"/>
                <w:szCs w:val="16"/>
                <w:lang w:val="en-GB"/>
              </w:rPr>
              <w:t>versight and accountability institutions actively engage</w:t>
            </w:r>
            <w:r w:rsidR="001E2DCF" w:rsidRPr="007A75EC">
              <w:rPr>
                <w:b/>
                <w:sz w:val="16"/>
                <w:szCs w:val="16"/>
                <w:lang w:val="en-GB"/>
              </w:rPr>
              <w:t>d</w:t>
            </w:r>
            <w:r w:rsidR="009A1ABD" w:rsidRPr="007A75EC">
              <w:rPr>
                <w:b/>
                <w:sz w:val="16"/>
                <w:szCs w:val="16"/>
                <w:lang w:val="en-GB"/>
              </w:rPr>
              <w:t xml:space="preserve"> in the public sphere</w:t>
            </w:r>
            <w:r w:rsidR="005B0DEB" w:rsidRPr="007A75EC">
              <w:rPr>
                <w:b/>
                <w:sz w:val="16"/>
                <w:szCs w:val="16"/>
                <w:lang w:val="en-GB"/>
              </w:rPr>
              <w:t>.</w:t>
            </w:r>
            <w:r w:rsidR="00710E70" w:rsidRPr="007A75EC">
              <w:rPr>
                <w:b/>
                <w:sz w:val="16"/>
                <w:szCs w:val="16"/>
                <w:lang w:val="en-GB"/>
              </w:rPr>
              <w:t xml:space="preserve"> </w:t>
            </w:r>
          </w:p>
          <w:p w:rsidR="002F0401" w:rsidRPr="007A75EC" w:rsidRDefault="0041399E" w:rsidP="001F2ABB">
            <w:pPr>
              <w:jc w:val="both"/>
              <w:rPr>
                <w:b/>
                <w:sz w:val="16"/>
                <w:szCs w:val="16"/>
                <w:lang w:val="en-GB"/>
              </w:rPr>
            </w:pPr>
            <w:r w:rsidRPr="007A75EC">
              <w:rPr>
                <w:b/>
                <w:sz w:val="16"/>
                <w:szCs w:val="16"/>
                <w:lang w:val="en-GB"/>
              </w:rPr>
              <w:t>Indicator 2.4.1</w:t>
            </w:r>
            <w:r w:rsidR="007D2E35" w:rsidRPr="00CA06FC">
              <w:rPr>
                <w:b/>
                <w:sz w:val="16"/>
                <w:szCs w:val="16"/>
                <w:lang w:val="en-GB"/>
              </w:rPr>
              <w:t>.</w:t>
            </w:r>
            <w:r w:rsidRPr="007A75EC">
              <w:rPr>
                <w:b/>
                <w:sz w:val="16"/>
                <w:szCs w:val="16"/>
                <w:lang w:val="en-GB"/>
              </w:rPr>
              <w:t xml:space="preserve"> </w:t>
            </w:r>
            <w:r w:rsidR="00EC75C2" w:rsidRPr="007A75EC">
              <w:rPr>
                <w:sz w:val="16"/>
                <w:szCs w:val="16"/>
                <w:lang w:val="en-GB"/>
              </w:rPr>
              <w:t>Number of backlog</w:t>
            </w:r>
            <w:r w:rsidR="001404CD" w:rsidRPr="00CA06FC">
              <w:rPr>
                <w:sz w:val="16"/>
                <w:szCs w:val="16"/>
                <w:lang w:val="en-GB"/>
              </w:rPr>
              <w:t>ged</w:t>
            </w:r>
            <w:r w:rsidR="00EC75C2" w:rsidRPr="007A75EC">
              <w:rPr>
                <w:sz w:val="16"/>
                <w:szCs w:val="16"/>
                <w:lang w:val="en-GB"/>
              </w:rPr>
              <w:t xml:space="preserve"> audit reports and performance reports </w:t>
            </w:r>
            <w:r w:rsidR="00475554" w:rsidRPr="007A75EC">
              <w:rPr>
                <w:sz w:val="16"/>
                <w:szCs w:val="16"/>
                <w:lang w:val="en-GB"/>
              </w:rPr>
              <w:t>produced</w:t>
            </w:r>
            <w:r w:rsidR="00EC75C2" w:rsidRPr="007A75EC">
              <w:rPr>
                <w:sz w:val="16"/>
                <w:szCs w:val="16"/>
                <w:lang w:val="en-GB"/>
              </w:rPr>
              <w:t xml:space="preserve"> by N</w:t>
            </w:r>
            <w:r w:rsidR="001404CD" w:rsidRPr="00CA06FC">
              <w:rPr>
                <w:sz w:val="16"/>
                <w:szCs w:val="16"/>
                <w:lang w:val="en-GB"/>
              </w:rPr>
              <w:t>ational Audit Office</w:t>
            </w:r>
          </w:p>
          <w:p w:rsidR="009A1ABD" w:rsidRPr="00971930" w:rsidRDefault="009A1ABD" w:rsidP="001F2ABB">
            <w:pPr>
              <w:jc w:val="both"/>
              <w:rPr>
                <w:b/>
                <w:sz w:val="16"/>
                <w:szCs w:val="16"/>
                <w:lang w:val="en-GB"/>
              </w:rPr>
            </w:pPr>
            <w:r w:rsidRPr="00971930">
              <w:rPr>
                <w:b/>
                <w:i/>
                <w:sz w:val="16"/>
                <w:szCs w:val="16"/>
                <w:lang w:val="en-GB"/>
              </w:rPr>
              <w:t>Baseline</w:t>
            </w:r>
            <w:r w:rsidR="006D6F20" w:rsidRPr="00971930">
              <w:rPr>
                <w:b/>
                <w:i/>
                <w:sz w:val="16"/>
                <w:szCs w:val="16"/>
                <w:lang w:val="en-GB"/>
              </w:rPr>
              <w:t>:</w:t>
            </w:r>
            <w:r w:rsidR="006D6F20" w:rsidRPr="00971930">
              <w:rPr>
                <w:b/>
                <w:sz w:val="16"/>
                <w:szCs w:val="16"/>
                <w:lang w:val="en-GB"/>
              </w:rPr>
              <w:t xml:space="preserve"> </w:t>
            </w:r>
            <w:r w:rsidR="008B14CF" w:rsidRPr="00971930">
              <w:rPr>
                <w:sz w:val="16"/>
                <w:szCs w:val="16"/>
                <w:lang w:val="en-GB"/>
              </w:rPr>
              <w:t>0</w:t>
            </w:r>
            <w:r w:rsidR="008B14CF" w:rsidRPr="00971930">
              <w:rPr>
                <w:b/>
                <w:sz w:val="16"/>
                <w:szCs w:val="16"/>
                <w:lang w:val="en-GB"/>
              </w:rPr>
              <w:t xml:space="preserve"> </w:t>
            </w:r>
            <w:r w:rsidR="00E320E2" w:rsidRPr="00971930">
              <w:rPr>
                <w:sz w:val="16"/>
                <w:szCs w:val="16"/>
                <w:lang w:val="en-GB"/>
              </w:rPr>
              <w:t>audit reports</w:t>
            </w:r>
            <w:r w:rsidR="00947C78" w:rsidRPr="00971930">
              <w:rPr>
                <w:sz w:val="16"/>
                <w:szCs w:val="16"/>
                <w:lang w:val="en-GB"/>
              </w:rPr>
              <w:t>;</w:t>
            </w:r>
            <w:r w:rsidR="00E320E2" w:rsidRPr="00971930">
              <w:rPr>
                <w:sz w:val="16"/>
                <w:szCs w:val="16"/>
                <w:lang w:val="en-GB"/>
              </w:rPr>
              <w:t xml:space="preserve"> </w:t>
            </w:r>
            <w:r w:rsidR="008B14CF" w:rsidRPr="00971930">
              <w:rPr>
                <w:sz w:val="16"/>
                <w:szCs w:val="16"/>
                <w:lang w:val="en-GB"/>
              </w:rPr>
              <w:t xml:space="preserve">40 </w:t>
            </w:r>
            <w:r w:rsidR="00E320E2" w:rsidRPr="00971930">
              <w:rPr>
                <w:sz w:val="16"/>
                <w:szCs w:val="16"/>
                <w:lang w:val="en-GB"/>
              </w:rPr>
              <w:t>performance reports</w:t>
            </w:r>
          </w:p>
          <w:p w:rsidR="00C8308D" w:rsidRPr="00971930" w:rsidRDefault="009A1ABD" w:rsidP="008B14CF">
            <w:pPr>
              <w:jc w:val="both"/>
              <w:rPr>
                <w:b/>
                <w:sz w:val="16"/>
                <w:szCs w:val="16"/>
                <w:lang w:val="en-GB"/>
              </w:rPr>
            </w:pPr>
            <w:r w:rsidRPr="00971930">
              <w:rPr>
                <w:b/>
                <w:i/>
                <w:sz w:val="16"/>
                <w:szCs w:val="16"/>
                <w:lang w:val="en-GB"/>
              </w:rPr>
              <w:t>Target</w:t>
            </w:r>
            <w:r w:rsidR="006D6F20" w:rsidRPr="00971930">
              <w:rPr>
                <w:b/>
                <w:i/>
                <w:sz w:val="16"/>
                <w:szCs w:val="16"/>
                <w:lang w:val="en-GB"/>
              </w:rPr>
              <w:t>:</w:t>
            </w:r>
            <w:r w:rsidR="00E320E2" w:rsidRPr="00971930">
              <w:rPr>
                <w:b/>
                <w:sz w:val="16"/>
                <w:szCs w:val="16"/>
                <w:lang w:val="en-GB"/>
              </w:rPr>
              <w:t xml:space="preserve"> </w:t>
            </w:r>
            <w:r w:rsidR="008B14CF" w:rsidRPr="00971930">
              <w:rPr>
                <w:sz w:val="16"/>
                <w:szCs w:val="16"/>
                <w:lang w:val="en-GB"/>
              </w:rPr>
              <w:t>0</w:t>
            </w:r>
            <w:r w:rsidR="00E320E2" w:rsidRPr="00971930">
              <w:rPr>
                <w:sz w:val="16"/>
                <w:szCs w:val="16"/>
                <w:lang w:val="en-GB"/>
              </w:rPr>
              <w:t xml:space="preserve"> audit reports</w:t>
            </w:r>
            <w:r w:rsidR="008B14CF" w:rsidRPr="00971930">
              <w:rPr>
                <w:sz w:val="16"/>
                <w:szCs w:val="16"/>
                <w:lang w:val="en-GB"/>
              </w:rPr>
              <w:t>;</w:t>
            </w:r>
            <w:r w:rsidR="00E320E2" w:rsidRPr="00971930">
              <w:rPr>
                <w:sz w:val="16"/>
                <w:szCs w:val="16"/>
                <w:lang w:val="en-GB"/>
              </w:rPr>
              <w:t xml:space="preserve"> </w:t>
            </w:r>
            <w:r w:rsidR="00947C78" w:rsidRPr="00971930">
              <w:rPr>
                <w:sz w:val="16"/>
                <w:szCs w:val="16"/>
                <w:lang w:val="en-GB"/>
              </w:rPr>
              <w:t>0</w:t>
            </w:r>
            <w:r w:rsidR="00E320E2" w:rsidRPr="00971930">
              <w:rPr>
                <w:sz w:val="16"/>
                <w:szCs w:val="16"/>
                <w:lang w:val="en-GB"/>
              </w:rPr>
              <w:t xml:space="preserve"> performance reports</w:t>
            </w:r>
          </w:p>
        </w:tc>
        <w:tc>
          <w:tcPr>
            <w:tcW w:w="881" w:type="pct"/>
            <w:vMerge w:val="restart"/>
            <w:tcBorders>
              <w:top w:val="single" w:sz="4" w:space="0" w:color="auto"/>
              <w:bottom w:val="single" w:sz="4" w:space="0" w:color="auto"/>
            </w:tcBorders>
          </w:tcPr>
          <w:p w:rsidR="009908A8" w:rsidRPr="00971930" w:rsidRDefault="00181491" w:rsidP="00110722">
            <w:pPr>
              <w:rPr>
                <w:sz w:val="16"/>
                <w:szCs w:val="16"/>
                <w:lang w:val="en-GB"/>
              </w:rPr>
            </w:pPr>
            <w:r w:rsidRPr="00971930">
              <w:rPr>
                <w:sz w:val="16"/>
                <w:szCs w:val="16"/>
                <w:lang w:val="en-GB"/>
              </w:rPr>
              <w:lastRenderedPageBreak/>
              <w:t>Ministry of</w:t>
            </w:r>
            <w:r w:rsidR="009908A8" w:rsidRPr="00971930">
              <w:rPr>
                <w:sz w:val="16"/>
                <w:szCs w:val="16"/>
                <w:lang w:val="en-GB"/>
              </w:rPr>
              <w:t xml:space="preserve"> Justice</w:t>
            </w:r>
          </w:p>
          <w:p w:rsidR="009908A8" w:rsidRPr="00971930" w:rsidRDefault="009908A8" w:rsidP="00110722">
            <w:pPr>
              <w:rPr>
                <w:sz w:val="16"/>
                <w:szCs w:val="16"/>
                <w:lang w:val="en-GB"/>
              </w:rPr>
            </w:pPr>
            <w:r w:rsidRPr="00971930">
              <w:rPr>
                <w:sz w:val="16"/>
                <w:szCs w:val="16"/>
                <w:lang w:val="en-GB"/>
              </w:rPr>
              <w:t>Gambia Press Union</w:t>
            </w:r>
          </w:p>
          <w:p w:rsidR="00181491" w:rsidRPr="00971930" w:rsidRDefault="009908A8" w:rsidP="00110722">
            <w:pPr>
              <w:rPr>
                <w:sz w:val="16"/>
                <w:szCs w:val="16"/>
                <w:lang w:val="en-GB"/>
              </w:rPr>
            </w:pPr>
            <w:r w:rsidRPr="00971930">
              <w:rPr>
                <w:sz w:val="16"/>
                <w:szCs w:val="16"/>
                <w:lang w:val="en-GB"/>
              </w:rPr>
              <w:t xml:space="preserve">National Council </w:t>
            </w:r>
            <w:r w:rsidR="00286837" w:rsidRPr="00CA06FC">
              <w:rPr>
                <w:sz w:val="16"/>
                <w:szCs w:val="16"/>
                <w:lang w:val="en-GB"/>
              </w:rPr>
              <w:t xml:space="preserve">for </w:t>
            </w:r>
            <w:r w:rsidRPr="00971930">
              <w:rPr>
                <w:sz w:val="16"/>
                <w:szCs w:val="16"/>
                <w:lang w:val="en-GB"/>
              </w:rPr>
              <w:t>Civic Education</w:t>
            </w:r>
            <w:r w:rsidR="00181491" w:rsidRPr="00971930">
              <w:rPr>
                <w:sz w:val="16"/>
                <w:szCs w:val="16"/>
                <w:lang w:val="en-GB"/>
              </w:rPr>
              <w:t xml:space="preserve"> </w:t>
            </w:r>
          </w:p>
          <w:p w:rsidR="00181491" w:rsidRPr="00971930" w:rsidRDefault="009908A8" w:rsidP="00110722">
            <w:pPr>
              <w:rPr>
                <w:sz w:val="16"/>
                <w:szCs w:val="16"/>
                <w:lang w:val="en-GB"/>
              </w:rPr>
            </w:pPr>
            <w:r w:rsidRPr="00971930">
              <w:rPr>
                <w:sz w:val="16"/>
                <w:szCs w:val="16"/>
                <w:lang w:val="en-GB"/>
              </w:rPr>
              <w:t>Coalition on Elections</w:t>
            </w:r>
          </w:p>
          <w:p w:rsidR="00181491" w:rsidRPr="00971930" w:rsidRDefault="00181491" w:rsidP="00110722">
            <w:pPr>
              <w:rPr>
                <w:sz w:val="16"/>
                <w:szCs w:val="16"/>
                <w:lang w:val="en-GB"/>
              </w:rPr>
            </w:pPr>
            <w:r w:rsidRPr="00971930">
              <w:rPr>
                <w:sz w:val="16"/>
                <w:szCs w:val="16"/>
                <w:lang w:val="en-GB"/>
              </w:rPr>
              <w:t xml:space="preserve">Development </w:t>
            </w:r>
            <w:r w:rsidR="00286837" w:rsidRPr="00CA06FC">
              <w:rPr>
                <w:sz w:val="16"/>
                <w:szCs w:val="16"/>
                <w:lang w:val="en-GB"/>
              </w:rPr>
              <w:t>p</w:t>
            </w:r>
            <w:r w:rsidRPr="00971930">
              <w:rPr>
                <w:sz w:val="16"/>
                <w:szCs w:val="16"/>
                <w:lang w:val="en-GB"/>
              </w:rPr>
              <w:t>artners</w:t>
            </w:r>
          </w:p>
          <w:p w:rsidR="00110722" w:rsidRPr="00971930" w:rsidRDefault="00181491" w:rsidP="00181491">
            <w:pPr>
              <w:rPr>
                <w:sz w:val="16"/>
                <w:szCs w:val="16"/>
                <w:lang w:val="en-GB"/>
              </w:rPr>
            </w:pPr>
            <w:r w:rsidRPr="00971930">
              <w:rPr>
                <w:sz w:val="16"/>
                <w:szCs w:val="16"/>
                <w:lang w:val="en-GB"/>
              </w:rPr>
              <w:t>I</w:t>
            </w:r>
            <w:r w:rsidR="009908A8" w:rsidRPr="00971930">
              <w:rPr>
                <w:sz w:val="16"/>
                <w:szCs w:val="16"/>
                <w:lang w:val="en-GB"/>
              </w:rPr>
              <w:t xml:space="preserve">ndependent </w:t>
            </w:r>
            <w:r w:rsidRPr="00971930">
              <w:rPr>
                <w:sz w:val="16"/>
                <w:szCs w:val="16"/>
                <w:lang w:val="en-GB"/>
              </w:rPr>
              <w:t>E</w:t>
            </w:r>
            <w:r w:rsidR="009908A8" w:rsidRPr="00971930">
              <w:rPr>
                <w:sz w:val="16"/>
                <w:szCs w:val="16"/>
                <w:lang w:val="en-GB"/>
              </w:rPr>
              <w:t xml:space="preserve">lectoral </w:t>
            </w:r>
            <w:r w:rsidRPr="00971930">
              <w:rPr>
                <w:sz w:val="16"/>
                <w:szCs w:val="16"/>
                <w:lang w:val="en-GB"/>
              </w:rPr>
              <w:t>C</w:t>
            </w:r>
            <w:r w:rsidR="009908A8" w:rsidRPr="00971930">
              <w:rPr>
                <w:sz w:val="16"/>
                <w:szCs w:val="16"/>
                <w:lang w:val="en-GB"/>
              </w:rPr>
              <w:t>ommission</w:t>
            </w:r>
          </w:p>
          <w:p w:rsidR="005F54B5" w:rsidRPr="00971930" w:rsidRDefault="009908A8" w:rsidP="00181491">
            <w:pPr>
              <w:rPr>
                <w:sz w:val="16"/>
                <w:szCs w:val="16"/>
                <w:lang w:val="en-GB"/>
              </w:rPr>
            </w:pPr>
            <w:r w:rsidRPr="00971930">
              <w:rPr>
                <w:sz w:val="16"/>
                <w:szCs w:val="16"/>
                <w:lang w:val="en-GB"/>
              </w:rPr>
              <w:t>Inter</w:t>
            </w:r>
            <w:r w:rsidR="00286837" w:rsidRPr="00CA06FC">
              <w:rPr>
                <w:sz w:val="16"/>
                <w:szCs w:val="16"/>
                <w:lang w:val="en-GB"/>
              </w:rPr>
              <w:t>-p</w:t>
            </w:r>
            <w:r w:rsidRPr="00971930">
              <w:rPr>
                <w:sz w:val="16"/>
                <w:szCs w:val="16"/>
                <w:lang w:val="en-GB"/>
              </w:rPr>
              <w:t>arty Advisory Committee</w:t>
            </w:r>
          </w:p>
          <w:p w:rsidR="009908A8" w:rsidRPr="00971930" w:rsidRDefault="009908A8" w:rsidP="00181491">
            <w:pPr>
              <w:rPr>
                <w:sz w:val="16"/>
                <w:szCs w:val="16"/>
                <w:lang w:val="en-GB"/>
              </w:rPr>
            </w:pPr>
            <w:r w:rsidRPr="00971930">
              <w:rPr>
                <w:sz w:val="16"/>
                <w:szCs w:val="16"/>
                <w:lang w:val="en-GB"/>
              </w:rPr>
              <w:t>National Assembly</w:t>
            </w:r>
          </w:p>
          <w:p w:rsidR="009A1ABD" w:rsidRPr="007A75EC" w:rsidRDefault="00286837" w:rsidP="00181491">
            <w:pPr>
              <w:rPr>
                <w:sz w:val="16"/>
                <w:szCs w:val="16"/>
                <w:lang w:val="en-GB"/>
              </w:rPr>
            </w:pPr>
            <w:r w:rsidRPr="007A75EC">
              <w:rPr>
                <w:sz w:val="16"/>
                <w:szCs w:val="16"/>
                <w:lang w:val="en-GB"/>
              </w:rPr>
              <w:t xml:space="preserve">Association of Non-Governmental Organizations </w:t>
            </w:r>
            <w:r w:rsidRPr="00CA06FC">
              <w:rPr>
                <w:sz w:val="16"/>
                <w:szCs w:val="16"/>
                <w:lang w:val="en-GB"/>
              </w:rPr>
              <w:t>(</w:t>
            </w:r>
            <w:r w:rsidR="009908A8" w:rsidRPr="007A75EC">
              <w:rPr>
                <w:sz w:val="16"/>
                <w:szCs w:val="16"/>
                <w:lang w:val="en-GB"/>
              </w:rPr>
              <w:t>TANGO</w:t>
            </w:r>
            <w:r w:rsidRPr="00CA06FC">
              <w:rPr>
                <w:sz w:val="16"/>
                <w:szCs w:val="16"/>
                <w:lang w:val="en-GB"/>
              </w:rPr>
              <w:t>)</w:t>
            </w:r>
          </w:p>
          <w:p w:rsidR="00286837" w:rsidRPr="00CA06FC" w:rsidRDefault="00EC75C2" w:rsidP="00181491">
            <w:pPr>
              <w:rPr>
                <w:sz w:val="16"/>
                <w:szCs w:val="16"/>
                <w:lang w:val="en-GB"/>
              </w:rPr>
            </w:pPr>
            <w:r w:rsidRPr="007A75EC">
              <w:rPr>
                <w:sz w:val="16"/>
                <w:szCs w:val="16"/>
                <w:lang w:val="en-GB"/>
              </w:rPr>
              <w:t>Joint Public Accounts Committee</w:t>
            </w:r>
          </w:p>
          <w:p w:rsidR="009908A8" w:rsidRPr="00971930" w:rsidRDefault="00EC75C2" w:rsidP="00181491">
            <w:pPr>
              <w:rPr>
                <w:sz w:val="16"/>
                <w:lang w:val="en-GB"/>
              </w:rPr>
            </w:pPr>
            <w:r w:rsidRPr="007A75EC">
              <w:rPr>
                <w:sz w:val="16"/>
                <w:szCs w:val="16"/>
                <w:lang w:val="en-GB"/>
              </w:rPr>
              <w:t xml:space="preserve">Public Enterprise </w:t>
            </w:r>
            <w:r w:rsidRPr="00971930">
              <w:rPr>
                <w:sz w:val="16"/>
                <w:szCs w:val="16"/>
                <w:lang w:val="en-GB"/>
              </w:rPr>
              <w:t>Committee</w:t>
            </w:r>
          </w:p>
        </w:tc>
        <w:tc>
          <w:tcPr>
            <w:tcW w:w="599" w:type="pct"/>
            <w:tcBorders>
              <w:top w:val="single" w:sz="4" w:space="0" w:color="auto"/>
              <w:bottom w:val="nil"/>
              <w:right w:val="single" w:sz="4" w:space="0" w:color="auto"/>
            </w:tcBorders>
            <w:tcMar>
              <w:top w:w="15" w:type="dxa"/>
              <w:left w:w="108" w:type="dxa"/>
              <w:bottom w:w="0" w:type="dxa"/>
              <w:right w:w="108" w:type="dxa"/>
            </w:tcMar>
          </w:tcPr>
          <w:p w:rsidR="00B577B5" w:rsidRPr="00CA06FC" w:rsidRDefault="00110722" w:rsidP="00110722">
            <w:pPr>
              <w:rPr>
                <w:b/>
                <w:sz w:val="16"/>
                <w:szCs w:val="16"/>
                <w:lang w:val="en-GB"/>
              </w:rPr>
            </w:pPr>
            <w:r w:rsidRPr="00971930">
              <w:rPr>
                <w:b/>
                <w:sz w:val="16"/>
                <w:szCs w:val="16"/>
                <w:lang w:val="en-GB"/>
              </w:rPr>
              <w:t>Regular</w:t>
            </w:r>
            <w:r w:rsidR="007603E6" w:rsidRPr="00971930">
              <w:rPr>
                <w:b/>
                <w:sz w:val="16"/>
                <w:szCs w:val="16"/>
                <w:lang w:val="en-GB"/>
              </w:rPr>
              <w:t xml:space="preserve"> </w:t>
            </w:r>
          </w:p>
          <w:p w:rsidR="00795AEF" w:rsidRPr="00971930" w:rsidRDefault="007603E6" w:rsidP="00110722">
            <w:pPr>
              <w:rPr>
                <w:b/>
                <w:sz w:val="16"/>
                <w:szCs w:val="16"/>
                <w:lang w:val="en-GB"/>
              </w:rPr>
            </w:pPr>
            <w:r w:rsidRPr="00971930">
              <w:rPr>
                <w:b/>
                <w:sz w:val="16"/>
                <w:szCs w:val="16"/>
                <w:lang w:val="en-GB"/>
              </w:rPr>
              <w:t>$5,500</w:t>
            </w:r>
          </w:p>
          <w:p w:rsidR="00795AEF" w:rsidRPr="00CA06FC" w:rsidRDefault="00795AEF" w:rsidP="00795AEF">
            <w:pPr>
              <w:rPr>
                <w:sz w:val="16"/>
                <w:szCs w:val="16"/>
                <w:lang w:val="en-GB"/>
              </w:rPr>
            </w:pPr>
          </w:p>
          <w:p w:rsidR="00B577B5" w:rsidRPr="00522402" w:rsidRDefault="00B577B5" w:rsidP="00795AEF">
            <w:pPr>
              <w:rPr>
                <w:sz w:val="16"/>
                <w:szCs w:val="16"/>
                <w:lang w:val="en-GB"/>
              </w:rPr>
            </w:pPr>
          </w:p>
          <w:p w:rsidR="00B577B5" w:rsidRPr="00971930" w:rsidRDefault="00B577B5" w:rsidP="00795AEF">
            <w:pPr>
              <w:rPr>
                <w:sz w:val="16"/>
                <w:szCs w:val="16"/>
                <w:lang w:val="en-GB"/>
              </w:rPr>
            </w:pPr>
          </w:p>
          <w:p w:rsidR="00B577B5" w:rsidRPr="00CA06FC" w:rsidRDefault="00B577B5" w:rsidP="00795AEF">
            <w:pPr>
              <w:rPr>
                <w:b/>
                <w:sz w:val="16"/>
                <w:szCs w:val="16"/>
                <w:lang w:val="en-GB"/>
              </w:rPr>
            </w:pPr>
            <w:r w:rsidRPr="00CA06FC">
              <w:rPr>
                <w:b/>
                <w:sz w:val="16"/>
                <w:szCs w:val="16"/>
                <w:lang w:val="en-GB"/>
              </w:rPr>
              <w:t>Other</w:t>
            </w:r>
          </w:p>
          <w:p w:rsidR="00110722" w:rsidRPr="00971930" w:rsidRDefault="00B577B5">
            <w:pPr>
              <w:rPr>
                <w:sz w:val="16"/>
                <w:szCs w:val="16"/>
                <w:lang w:val="en-GB"/>
              </w:rPr>
            </w:pPr>
            <w:r w:rsidRPr="00522402">
              <w:rPr>
                <w:b/>
                <w:sz w:val="16"/>
                <w:szCs w:val="16"/>
                <w:lang w:val="en-GB"/>
              </w:rPr>
              <w:t>$4,000</w:t>
            </w:r>
          </w:p>
        </w:tc>
      </w:tr>
      <w:tr w:rsidR="007F0A58" w:rsidRPr="00E92C03" w:rsidTr="00452DC3">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rsidR="007F0A58" w:rsidRPr="00971930" w:rsidRDefault="007F0A58" w:rsidP="00852A6B">
            <w:pPr>
              <w:rPr>
                <w:b/>
                <w:sz w:val="16"/>
                <w:szCs w:val="16"/>
                <w:lang w:val="en-GB"/>
              </w:rPr>
            </w:pPr>
          </w:p>
        </w:tc>
        <w:tc>
          <w:tcPr>
            <w:tcW w:w="655" w:type="pct"/>
            <w:vMerge/>
            <w:tcBorders>
              <w:top w:val="single" w:sz="4" w:space="0" w:color="auto"/>
              <w:bottom w:val="single" w:sz="4" w:space="0" w:color="auto"/>
            </w:tcBorders>
          </w:tcPr>
          <w:p w:rsidR="007F0A58" w:rsidRPr="00971930" w:rsidRDefault="007F0A58" w:rsidP="00852A6B">
            <w:pPr>
              <w:rPr>
                <w:sz w:val="16"/>
                <w:szCs w:val="16"/>
                <w:lang w:val="en-GB"/>
              </w:rPr>
            </w:pPr>
          </w:p>
        </w:tc>
        <w:tc>
          <w:tcPr>
            <w:tcW w:w="1768" w:type="pct"/>
            <w:vMerge/>
            <w:tcBorders>
              <w:top w:val="single" w:sz="4" w:space="0" w:color="auto"/>
              <w:bottom w:val="single" w:sz="4" w:space="0" w:color="auto"/>
            </w:tcBorders>
            <w:tcMar>
              <w:top w:w="72" w:type="dxa"/>
              <w:left w:w="144" w:type="dxa"/>
              <w:bottom w:w="72" w:type="dxa"/>
              <w:right w:w="144" w:type="dxa"/>
            </w:tcMar>
          </w:tcPr>
          <w:p w:rsidR="007F0A58" w:rsidRPr="00971930" w:rsidRDefault="007F0A58" w:rsidP="00AE3FF2">
            <w:pPr>
              <w:pStyle w:val="ListParagraph"/>
              <w:numPr>
                <w:ilvl w:val="0"/>
                <w:numId w:val="1"/>
              </w:numPr>
              <w:contextualSpacing/>
              <w:rPr>
                <w:b/>
                <w:bCs/>
                <w:kern w:val="24"/>
                <w:sz w:val="16"/>
                <w:szCs w:val="16"/>
                <w:lang w:val="en-GB"/>
              </w:rPr>
            </w:pPr>
          </w:p>
        </w:tc>
        <w:tc>
          <w:tcPr>
            <w:tcW w:w="881" w:type="pct"/>
            <w:vMerge/>
            <w:tcBorders>
              <w:top w:val="single" w:sz="4" w:space="0" w:color="auto"/>
              <w:bottom w:val="single" w:sz="4" w:space="0" w:color="auto"/>
            </w:tcBorders>
          </w:tcPr>
          <w:p w:rsidR="007F0A58" w:rsidRPr="002921ED" w:rsidRDefault="007F0A58" w:rsidP="00110722">
            <w:pPr>
              <w:rPr>
                <w:iCs/>
                <w:sz w:val="16"/>
                <w:szCs w:val="16"/>
                <w:lang w:val="en-GB"/>
              </w:rPr>
            </w:pPr>
          </w:p>
        </w:tc>
        <w:tc>
          <w:tcPr>
            <w:tcW w:w="599" w:type="pct"/>
            <w:tcBorders>
              <w:top w:val="nil"/>
              <w:bottom w:val="nil"/>
              <w:right w:val="single" w:sz="4" w:space="0" w:color="auto"/>
            </w:tcBorders>
            <w:tcMar>
              <w:top w:w="15" w:type="dxa"/>
              <w:left w:w="108" w:type="dxa"/>
              <w:bottom w:w="0" w:type="dxa"/>
              <w:right w:w="108" w:type="dxa"/>
            </w:tcMar>
          </w:tcPr>
          <w:p w:rsidR="007F0A58" w:rsidRPr="00971930" w:rsidRDefault="007F0A58" w:rsidP="00110722">
            <w:pPr>
              <w:rPr>
                <w:b/>
                <w:sz w:val="16"/>
                <w:szCs w:val="16"/>
                <w:lang w:val="en-GB"/>
              </w:rPr>
            </w:pPr>
          </w:p>
        </w:tc>
      </w:tr>
      <w:tr w:rsidR="00600124" w:rsidRPr="00E92C03" w:rsidTr="00452DC3">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rsidR="00110722" w:rsidRPr="002921ED" w:rsidRDefault="00110722" w:rsidP="00110722">
            <w:pPr>
              <w:rPr>
                <w:iCs/>
                <w:sz w:val="16"/>
                <w:szCs w:val="16"/>
                <w:lang w:val="en-GB"/>
              </w:rPr>
            </w:pPr>
          </w:p>
        </w:tc>
        <w:tc>
          <w:tcPr>
            <w:tcW w:w="655" w:type="pct"/>
            <w:vMerge/>
            <w:tcBorders>
              <w:top w:val="single" w:sz="4" w:space="0" w:color="auto"/>
              <w:bottom w:val="single" w:sz="4" w:space="0" w:color="auto"/>
            </w:tcBorders>
          </w:tcPr>
          <w:p w:rsidR="00110722" w:rsidRPr="002921ED" w:rsidRDefault="00110722" w:rsidP="00110722">
            <w:pPr>
              <w:rPr>
                <w:iCs/>
                <w:sz w:val="16"/>
                <w:szCs w:val="16"/>
                <w:lang w:val="en-GB"/>
              </w:rPr>
            </w:pPr>
          </w:p>
        </w:tc>
        <w:tc>
          <w:tcPr>
            <w:tcW w:w="1768" w:type="pct"/>
            <w:vMerge/>
            <w:tcBorders>
              <w:top w:val="single" w:sz="4" w:space="0" w:color="auto"/>
              <w:bottom w:val="single" w:sz="4" w:space="0" w:color="auto"/>
            </w:tcBorders>
            <w:tcMar>
              <w:top w:w="72" w:type="dxa"/>
              <w:left w:w="144" w:type="dxa"/>
              <w:bottom w:w="72" w:type="dxa"/>
              <w:right w:w="144" w:type="dxa"/>
            </w:tcMar>
          </w:tcPr>
          <w:p w:rsidR="00110722" w:rsidRPr="002921ED" w:rsidRDefault="00110722" w:rsidP="00110722">
            <w:pPr>
              <w:rPr>
                <w:iCs/>
                <w:sz w:val="16"/>
                <w:szCs w:val="16"/>
                <w:lang w:val="en-GB"/>
              </w:rPr>
            </w:pPr>
          </w:p>
        </w:tc>
        <w:tc>
          <w:tcPr>
            <w:tcW w:w="881" w:type="pct"/>
            <w:vMerge/>
            <w:tcBorders>
              <w:top w:val="single" w:sz="4" w:space="0" w:color="auto"/>
              <w:bottom w:val="single" w:sz="4" w:space="0" w:color="auto"/>
            </w:tcBorders>
          </w:tcPr>
          <w:p w:rsidR="00110722" w:rsidRPr="002921ED" w:rsidRDefault="00110722" w:rsidP="00110722">
            <w:pPr>
              <w:rPr>
                <w:iCs/>
                <w:sz w:val="16"/>
                <w:szCs w:val="16"/>
                <w:lang w:val="en-GB"/>
              </w:rPr>
            </w:pPr>
          </w:p>
        </w:tc>
        <w:tc>
          <w:tcPr>
            <w:tcW w:w="599" w:type="pct"/>
            <w:tcBorders>
              <w:top w:val="nil"/>
              <w:bottom w:val="single" w:sz="4" w:space="0" w:color="auto"/>
              <w:right w:val="single" w:sz="4" w:space="0" w:color="auto"/>
            </w:tcBorders>
            <w:tcMar>
              <w:top w:w="15" w:type="dxa"/>
              <w:left w:w="108" w:type="dxa"/>
              <w:bottom w:w="0" w:type="dxa"/>
              <w:right w:w="108" w:type="dxa"/>
            </w:tcMar>
          </w:tcPr>
          <w:p w:rsidR="00110722" w:rsidRPr="00971930" w:rsidRDefault="00110722" w:rsidP="00C21D7B">
            <w:pPr>
              <w:rPr>
                <w:b/>
                <w:sz w:val="16"/>
                <w:szCs w:val="16"/>
                <w:lang w:val="en-GB"/>
              </w:rPr>
            </w:pPr>
          </w:p>
        </w:tc>
      </w:tr>
      <w:tr w:rsidR="00600124"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971930" w:rsidRDefault="00286837" w:rsidP="00110722">
            <w:pPr>
              <w:rPr>
                <w:sz w:val="16"/>
                <w:szCs w:val="16"/>
                <w:lang w:val="en-GB"/>
              </w:rPr>
            </w:pPr>
            <w:r w:rsidRPr="00CA06FC">
              <w:rPr>
                <w:b/>
                <w:bCs/>
                <w:sz w:val="16"/>
                <w:szCs w:val="16"/>
                <w:lang w:val="en-GB"/>
              </w:rPr>
              <w:t xml:space="preserve">National priority or goal: </w:t>
            </w:r>
            <w:r w:rsidRPr="00522402">
              <w:rPr>
                <w:rFonts w:eastAsiaTheme="minorHAnsi"/>
                <w:b/>
                <w:bCs/>
                <w:sz w:val="16"/>
                <w:szCs w:val="16"/>
                <w:lang w:val="en-GB"/>
              </w:rPr>
              <w:t>A</w:t>
            </w:r>
            <w:r w:rsidRPr="002921ED">
              <w:rPr>
                <w:rFonts w:eastAsiaTheme="minorHAnsi"/>
                <w:b/>
                <w:bCs/>
                <w:sz w:val="16"/>
                <w:szCs w:val="16"/>
                <w:lang w:val="en-GB"/>
              </w:rPr>
              <w:t>ccelerating and sustaining economic growth</w:t>
            </w:r>
          </w:p>
        </w:tc>
      </w:tr>
      <w:tr w:rsidR="00600124" w:rsidRPr="00E92C03" w:rsidTr="004A028E">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971930" w:rsidRDefault="00110722" w:rsidP="000D1E4B">
            <w:pPr>
              <w:jc w:val="both"/>
              <w:rPr>
                <w:b/>
                <w:sz w:val="16"/>
                <w:szCs w:val="16"/>
                <w:lang w:val="en-GB"/>
              </w:rPr>
            </w:pPr>
            <w:r w:rsidRPr="00CA06FC">
              <w:rPr>
                <w:b/>
                <w:bCs/>
                <w:sz w:val="16"/>
                <w:szCs w:val="16"/>
                <w:lang w:val="en-GB"/>
              </w:rPr>
              <w:t xml:space="preserve">UNDAF </w:t>
            </w:r>
            <w:r w:rsidR="00286837" w:rsidRPr="00522402">
              <w:rPr>
                <w:b/>
                <w:bCs/>
                <w:sz w:val="16"/>
                <w:szCs w:val="16"/>
                <w:lang w:val="en-GB"/>
              </w:rPr>
              <w:t>outcome</w:t>
            </w:r>
            <w:r w:rsidRPr="00522402">
              <w:rPr>
                <w:b/>
                <w:bCs/>
                <w:sz w:val="16"/>
                <w:szCs w:val="16"/>
                <w:lang w:val="en-GB"/>
              </w:rPr>
              <w:t xml:space="preserve"> </w:t>
            </w:r>
            <w:r w:rsidR="003D3159" w:rsidRPr="002921ED">
              <w:rPr>
                <w:b/>
                <w:bCs/>
                <w:sz w:val="16"/>
                <w:szCs w:val="16"/>
                <w:lang w:val="en-GB"/>
              </w:rPr>
              <w:t>3</w:t>
            </w:r>
            <w:r w:rsidRPr="002921ED">
              <w:rPr>
                <w:b/>
                <w:bCs/>
                <w:sz w:val="16"/>
                <w:szCs w:val="16"/>
                <w:lang w:val="en-GB"/>
              </w:rPr>
              <w:t>.</w:t>
            </w:r>
            <w:r w:rsidR="007E3D54" w:rsidRPr="002921ED">
              <w:rPr>
                <w:b/>
                <w:bCs/>
                <w:sz w:val="16"/>
                <w:szCs w:val="16"/>
                <w:lang w:val="en-GB"/>
              </w:rPr>
              <w:t>3</w:t>
            </w:r>
            <w:r w:rsidR="00286837" w:rsidRPr="002921ED">
              <w:rPr>
                <w:b/>
                <w:bCs/>
                <w:sz w:val="16"/>
                <w:szCs w:val="16"/>
                <w:lang w:val="en-GB"/>
              </w:rPr>
              <w:t>.</w:t>
            </w:r>
            <w:r w:rsidRPr="002921ED">
              <w:rPr>
                <w:sz w:val="16"/>
                <w:szCs w:val="16"/>
                <w:lang w:val="en-GB"/>
              </w:rPr>
              <w:t xml:space="preserve"> </w:t>
            </w:r>
            <w:r w:rsidRPr="007A75EC">
              <w:rPr>
                <w:b/>
                <w:sz w:val="16"/>
                <w:szCs w:val="16"/>
                <w:lang w:val="en-GB"/>
              </w:rPr>
              <w:t xml:space="preserve">By 2021, </w:t>
            </w:r>
            <w:r w:rsidR="000D1E4B" w:rsidRPr="007A75EC">
              <w:rPr>
                <w:b/>
                <w:sz w:val="16"/>
                <w:szCs w:val="16"/>
                <w:lang w:val="en-GB"/>
              </w:rPr>
              <w:t>N</w:t>
            </w:r>
            <w:r w:rsidRPr="007A75EC">
              <w:rPr>
                <w:b/>
                <w:sz w:val="16"/>
                <w:szCs w:val="16"/>
                <w:lang w:val="en-GB"/>
              </w:rPr>
              <w:t>ational institutions and community capacities are strengthened for effective disaster risk management</w:t>
            </w:r>
            <w:r w:rsidR="000D1E4B" w:rsidRPr="007A75EC">
              <w:rPr>
                <w:b/>
                <w:sz w:val="16"/>
                <w:szCs w:val="16"/>
                <w:lang w:val="en-GB"/>
              </w:rPr>
              <w:t>,</w:t>
            </w:r>
            <w:r w:rsidRPr="007A75EC">
              <w:rPr>
                <w:b/>
                <w:sz w:val="16"/>
                <w:szCs w:val="16"/>
                <w:lang w:val="en-GB"/>
              </w:rPr>
              <w:t xml:space="preserve"> </w:t>
            </w:r>
            <w:r w:rsidR="00286837" w:rsidRPr="00CA06FC">
              <w:rPr>
                <w:b/>
                <w:sz w:val="16"/>
                <w:szCs w:val="16"/>
                <w:lang w:val="en-GB"/>
              </w:rPr>
              <w:t>climate change response actions and resilienc</w:t>
            </w:r>
            <w:r w:rsidR="00286837" w:rsidRPr="00522402">
              <w:rPr>
                <w:b/>
                <w:sz w:val="16"/>
                <w:szCs w:val="16"/>
                <w:lang w:val="en-GB"/>
              </w:rPr>
              <w:t>e</w:t>
            </w:r>
            <w:r w:rsidRPr="00971930">
              <w:rPr>
                <w:b/>
                <w:sz w:val="16"/>
                <w:szCs w:val="16"/>
                <w:lang w:val="en-GB"/>
              </w:rPr>
              <w:t>.</w:t>
            </w:r>
          </w:p>
        </w:tc>
      </w:tr>
      <w:tr w:rsidR="00600124" w:rsidRPr="00E92C03" w:rsidTr="00B20ED9">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110722" w:rsidRPr="002921ED" w:rsidRDefault="00110722">
            <w:pPr>
              <w:rPr>
                <w:b/>
                <w:bCs/>
                <w:sz w:val="16"/>
                <w:szCs w:val="16"/>
                <w:lang w:val="en-GB"/>
              </w:rPr>
            </w:pPr>
            <w:r w:rsidRPr="00CA06FC">
              <w:rPr>
                <w:b/>
                <w:bCs/>
                <w:sz w:val="16"/>
                <w:szCs w:val="16"/>
                <w:lang w:val="en-GB"/>
              </w:rPr>
              <w:t>R</w:t>
            </w:r>
            <w:r w:rsidR="00286837" w:rsidRPr="00522402">
              <w:rPr>
                <w:b/>
                <w:bCs/>
                <w:sz w:val="16"/>
                <w:szCs w:val="16"/>
                <w:lang w:val="en-GB"/>
              </w:rPr>
              <w:t xml:space="preserve">elated strategic plan outcome </w:t>
            </w:r>
            <w:r w:rsidRPr="00522402">
              <w:rPr>
                <w:b/>
                <w:bCs/>
                <w:sz w:val="16"/>
                <w:szCs w:val="16"/>
                <w:lang w:val="en-GB"/>
              </w:rPr>
              <w:t>5</w:t>
            </w:r>
            <w:r w:rsidR="00286837" w:rsidRPr="002921ED">
              <w:rPr>
                <w:b/>
                <w:bCs/>
                <w:sz w:val="16"/>
                <w:szCs w:val="16"/>
                <w:lang w:val="en-GB"/>
              </w:rPr>
              <w:t>.</w:t>
            </w:r>
            <w:r w:rsidRPr="002921ED">
              <w:rPr>
                <w:b/>
                <w:bCs/>
                <w:sz w:val="16"/>
                <w:szCs w:val="16"/>
                <w:lang w:val="en-GB"/>
              </w:rPr>
              <w:t xml:space="preserve"> </w:t>
            </w:r>
            <w:r w:rsidRPr="002921ED">
              <w:rPr>
                <w:b/>
                <w:sz w:val="16"/>
                <w:szCs w:val="16"/>
                <w:lang w:val="en-GB"/>
              </w:rPr>
              <w:t>Countries are able to reduce the likelihood of conflict, and lower the risk of natural disasters, including from climate change</w:t>
            </w:r>
            <w:r w:rsidRPr="002921ED">
              <w:rPr>
                <w:b/>
                <w:bCs/>
                <w:sz w:val="16"/>
                <w:szCs w:val="16"/>
                <w:lang w:val="en-GB"/>
              </w:rPr>
              <w:t xml:space="preserve"> </w:t>
            </w:r>
          </w:p>
        </w:tc>
      </w:tr>
      <w:tr w:rsidR="00600124" w:rsidRPr="00E92C03" w:rsidTr="00B20ED9">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rsidR="00614998" w:rsidRPr="007A75EC" w:rsidRDefault="00AD6EC2" w:rsidP="00AD6EC2">
            <w:pPr>
              <w:contextualSpacing/>
              <w:rPr>
                <w:sz w:val="16"/>
                <w:szCs w:val="16"/>
                <w:lang w:val="en-GB"/>
              </w:rPr>
            </w:pPr>
            <w:r w:rsidRPr="00971930">
              <w:rPr>
                <w:b/>
                <w:sz w:val="16"/>
                <w:szCs w:val="16"/>
                <w:lang w:val="en-GB"/>
              </w:rPr>
              <w:t xml:space="preserve">Indicator </w:t>
            </w:r>
            <w:r w:rsidRPr="007A75EC">
              <w:rPr>
                <w:b/>
                <w:sz w:val="16"/>
                <w:szCs w:val="16"/>
                <w:lang w:val="en-GB"/>
              </w:rPr>
              <w:t>4.1.1</w:t>
            </w:r>
            <w:r w:rsidR="007D2E35" w:rsidRPr="00CA06FC">
              <w:rPr>
                <w:b/>
                <w:sz w:val="16"/>
                <w:szCs w:val="16"/>
                <w:lang w:val="en-GB"/>
              </w:rPr>
              <w:t>.</w:t>
            </w:r>
            <w:r w:rsidRPr="007A75EC">
              <w:rPr>
                <w:b/>
                <w:sz w:val="16"/>
                <w:szCs w:val="16"/>
                <w:lang w:val="en-GB"/>
              </w:rPr>
              <w:t xml:space="preserve"> </w:t>
            </w:r>
            <w:r w:rsidR="00614998" w:rsidRPr="007A75EC">
              <w:rPr>
                <w:sz w:val="16"/>
                <w:szCs w:val="16"/>
                <w:lang w:val="en-GB"/>
              </w:rPr>
              <w:t>Numb</w:t>
            </w:r>
            <w:r w:rsidRPr="007A75EC">
              <w:rPr>
                <w:sz w:val="16"/>
                <w:szCs w:val="16"/>
                <w:lang w:val="en-GB"/>
              </w:rPr>
              <w:t xml:space="preserve">er of institutions responsible </w:t>
            </w:r>
            <w:r w:rsidR="00614998" w:rsidRPr="007A75EC">
              <w:rPr>
                <w:sz w:val="16"/>
                <w:szCs w:val="16"/>
                <w:lang w:val="en-GB"/>
              </w:rPr>
              <w:t>for disaster risk management supported with human resource capacity</w:t>
            </w:r>
            <w:r w:rsidR="007D2E35" w:rsidRPr="00CA06FC">
              <w:rPr>
                <w:sz w:val="16"/>
                <w:szCs w:val="16"/>
                <w:lang w:val="en-GB"/>
              </w:rPr>
              <w:t>-</w:t>
            </w:r>
            <w:r w:rsidR="00614998" w:rsidRPr="007A75EC">
              <w:rPr>
                <w:sz w:val="16"/>
                <w:szCs w:val="16"/>
                <w:lang w:val="en-GB"/>
              </w:rPr>
              <w:t>building</w:t>
            </w:r>
            <w:r w:rsidRPr="007A75EC">
              <w:rPr>
                <w:sz w:val="16"/>
                <w:szCs w:val="16"/>
                <w:lang w:val="en-GB"/>
              </w:rPr>
              <w:t>.</w:t>
            </w:r>
          </w:p>
          <w:p w:rsidR="00614998" w:rsidRPr="007A75EC" w:rsidRDefault="00614998" w:rsidP="00614998">
            <w:pPr>
              <w:rPr>
                <w:b/>
                <w:i/>
                <w:sz w:val="16"/>
                <w:szCs w:val="16"/>
                <w:lang w:val="en-GB"/>
              </w:rPr>
            </w:pPr>
            <w:r w:rsidRPr="007A75EC">
              <w:rPr>
                <w:b/>
                <w:i/>
                <w:sz w:val="16"/>
                <w:szCs w:val="16"/>
                <w:lang w:val="en-GB"/>
              </w:rPr>
              <w:t>Baseline:</w:t>
            </w:r>
            <w:r w:rsidRPr="007A75EC">
              <w:rPr>
                <w:sz w:val="16"/>
                <w:szCs w:val="16"/>
                <w:lang w:val="en-GB"/>
              </w:rPr>
              <w:t xml:space="preserve"> 0</w:t>
            </w:r>
          </w:p>
          <w:p w:rsidR="00614998" w:rsidRPr="007A75EC" w:rsidRDefault="00614998" w:rsidP="00614998">
            <w:pPr>
              <w:rPr>
                <w:b/>
                <w:i/>
                <w:sz w:val="16"/>
                <w:szCs w:val="16"/>
                <w:lang w:val="en-GB"/>
              </w:rPr>
            </w:pPr>
            <w:r w:rsidRPr="007A75EC">
              <w:rPr>
                <w:b/>
                <w:i/>
                <w:sz w:val="16"/>
                <w:szCs w:val="16"/>
                <w:lang w:val="en-GB"/>
              </w:rPr>
              <w:t>Target:</w:t>
            </w:r>
            <w:r w:rsidRPr="007A75EC">
              <w:rPr>
                <w:sz w:val="16"/>
                <w:szCs w:val="16"/>
                <w:lang w:val="en-GB"/>
              </w:rPr>
              <w:t xml:space="preserve"> 8</w:t>
            </w:r>
          </w:p>
          <w:p w:rsidR="00614998" w:rsidRPr="007A75EC" w:rsidRDefault="00614998" w:rsidP="00614998">
            <w:pPr>
              <w:rPr>
                <w:sz w:val="16"/>
                <w:szCs w:val="16"/>
                <w:lang w:val="en-GB"/>
              </w:rPr>
            </w:pPr>
          </w:p>
          <w:p w:rsidR="00614998" w:rsidRPr="007A75EC" w:rsidRDefault="00614998" w:rsidP="00614998">
            <w:pPr>
              <w:pStyle w:val="ListParagraph"/>
              <w:ind w:left="360"/>
              <w:rPr>
                <w:sz w:val="16"/>
                <w:szCs w:val="16"/>
                <w:lang w:val="en-GB"/>
              </w:rPr>
            </w:pPr>
          </w:p>
          <w:p w:rsidR="00614998" w:rsidRPr="007A75EC" w:rsidRDefault="00614998" w:rsidP="00614998">
            <w:pPr>
              <w:rPr>
                <w:b/>
                <w:i/>
                <w:sz w:val="16"/>
                <w:szCs w:val="16"/>
                <w:lang w:val="en-GB"/>
              </w:rPr>
            </w:pPr>
          </w:p>
          <w:p w:rsidR="0010754B" w:rsidRPr="007A75EC" w:rsidRDefault="0010754B" w:rsidP="0010754B">
            <w:pPr>
              <w:rPr>
                <w:sz w:val="16"/>
                <w:szCs w:val="16"/>
                <w:lang w:val="en-GB"/>
              </w:rPr>
            </w:pPr>
          </w:p>
          <w:p w:rsidR="0010754B" w:rsidRPr="007A75EC" w:rsidRDefault="0010754B" w:rsidP="0010754B">
            <w:pPr>
              <w:rPr>
                <w:b/>
                <w:sz w:val="16"/>
                <w:szCs w:val="16"/>
                <w:lang w:val="en-GB"/>
              </w:rPr>
            </w:pPr>
          </w:p>
          <w:p w:rsidR="0010754B" w:rsidRPr="007A75EC" w:rsidRDefault="00EB2E19" w:rsidP="0010754B">
            <w:pPr>
              <w:rPr>
                <w:sz w:val="16"/>
                <w:szCs w:val="16"/>
                <w:lang w:val="en-GB"/>
              </w:rPr>
            </w:pPr>
            <w:r w:rsidRPr="007A75EC">
              <w:rPr>
                <w:b/>
                <w:sz w:val="16"/>
                <w:szCs w:val="16"/>
                <w:lang w:val="en-GB"/>
              </w:rPr>
              <w:t>Indicator 4.1.</w:t>
            </w:r>
            <w:r w:rsidR="0045034F" w:rsidRPr="007A75EC">
              <w:rPr>
                <w:b/>
                <w:sz w:val="16"/>
                <w:szCs w:val="16"/>
                <w:lang w:val="en-GB"/>
              </w:rPr>
              <w:t>2</w:t>
            </w:r>
            <w:r w:rsidR="007D2E35" w:rsidRPr="00CA06FC">
              <w:rPr>
                <w:b/>
                <w:sz w:val="16"/>
                <w:szCs w:val="16"/>
                <w:lang w:val="en-GB"/>
              </w:rPr>
              <w:t>.</w:t>
            </w:r>
            <w:r w:rsidRPr="007A75EC">
              <w:rPr>
                <w:sz w:val="16"/>
                <w:szCs w:val="16"/>
                <w:lang w:val="en-GB"/>
              </w:rPr>
              <w:t xml:space="preserve"> </w:t>
            </w:r>
            <w:r w:rsidR="0010754B" w:rsidRPr="007A75EC">
              <w:rPr>
                <w:sz w:val="16"/>
                <w:szCs w:val="16"/>
                <w:lang w:val="en-GB"/>
              </w:rPr>
              <w:t>Per</w:t>
            </w:r>
            <w:r w:rsidR="007D2E35" w:rsidRPr="00CA06FC">
              <w:rPr>
                <w:sz w:val="16"/>
                <w:szCs w:val="16"/>
                <w:lang w:val="en-GB"/>
              </w:rPr>
              <w:t>-</w:t>
            </w:r>
            <w:r w:rsidR="0010754B" w:rsidRPr="007A75EC">
              <w:rPr>
                <w:sz w:val="16"/>
                <w:szCs w:val="16"/>
                <w:lang w:val="en-GB"/>
              </w:rPr>
              <w:t xml:space="preserve">capita </w:t>
            </w:r>
            <w:r w:rsidR="007D2E35" w:rsidRPr="00CA06FC">
              <w:rPr>
                <w:sz w:val="16"/>
                <w:szCs w:val="16"/>
                <w:lang w:val="en-GB"/>
              </w:rPr>
              <w:t>carbon dioxide</w:t>
            </w:r>
            <w:r w:rsidR="007D2E35" w:rsidRPr="007A75EC">
              <w:rPr>
                <w:sz w:val="16"/>
                <w:szCs w:val="16"/>
                <w:lang w:val="en-GB"/>
              </w:rPr>
              <w:t xml:space="preserve"> </w:t>
            </w:r>
            <w:r w:rsidR="0010754B" w:rsidRPr="007A75EC">
              <w:rPr>
                <w:sz w:val="16"/>
                <w:szCs w:val="16"/>
                <w:lang w:val="en-GB"/>
              </w:rPr>
              <w:t>emission (metric tons)</w:t>
            </w:r>
            <w:r w:rsidR="008C5D6A" w:rsidRPr="007A75EC">
              <w:rPr>
                <w:sz w:val="16"/>
                <w:szCs w:val="16"/>
                <w:lang w:val="en-GB"/>
              </w:rPr>
              <w:t xml:space="preserve"> </w:t>
            </w:r>
          </w:p>
          <w:p w:rsidR="0010754B" w:rsidRPr="007A75EC" w:rsidRDefault="0010754B" w:rsidP="0010754B">
            <w:pPr>
              <w:rPr>
                <w:b/>
                <w:sz w:val="16"/>
                <w:szCs w:val="16"/>
                <w:lang w:val="en-GB"/>
              </w:rPr>
            </w:pPr>
            <w:r w:rsidRPr="007A75EC">
              <w:rPr>
                <w:b/>
                <w:i/>
                <w:sz w:val="16"/>
                <w:szCs w:val="16"/>
                <w:lang w:val="en-GB"/>
              </w:rPr>
              <w:t>Baseline</w:t>
            </w:r>
            <w:r w:rsidR="00C8308D" w:rsidRPr="007A75EC">
              <w:rPr>
                <w:b/>
                <w:i/>
                <w:sz w:val="16"/>
                <w:szCs w:val="16"/>
                <w:lang w:val="en-GB"/>
              </w:rPr>
              <w:t>:</w:t>
            </w:r>
            <w:r w:rsidR="00C8308D" w:rsidRPr="007A75EC">
              <w:rPr>
                <w:b/>
                <w:sz w:val="16"/>
                <w:szCs w:val="16"/>
                <w:lang w:val="en-GB"/>
              </w:rPr>
              <w:t xml:space="preserve"> </w:t>
            </w:r>
            <w:r w:rsidRPr="007A75EC">
              <w:rPr>
                <w:b/>
                <w:sz w:val="16"/>
                <w:szCs w:val="16"/>
                <w:lang w:val="en-GB"/>
              </w:rPr>
              <w:t xml:space="preserve"> 0.3</w:t>
            </w:r>
          </w:p>
          <w:p w:rsidR="00110722" w:rsidRPr="00CA06FC" w:rsidRDefault="0010754B" w:rsidP="001278EA">
            <w:pPr>
              <w:rPr>
                <w:bCs/>
                <w:sz w:val="16"/>
                <w:szCs w:val="16"/>
                <w:lang w:val="en-GB"/>
              </w:rPr>
            </w:pPr>
            <w:r w:rsidRPr="007A75EC">
              <w:rPr>
                <w:b/>
                <w:i/>
                <w:sz w:val="16"/>
                <w:szCs w:val="16"/>
                <w:lang w:val="en-GB"/>
              </w:rPr>
              <w:t>Target</w:t>
            </w:r>
            <w:r w:rsidR="00C8308D" w:rsidRPr="007A75EC">
              <w:rPr>
                <w:b/>
                <w:i/>
                <w:sz w:val="16"/>
                <w:szCs w:val="16"/>
                <w:lang w:val="en-GB"/>
              </w:rPr>
              <w:t>:</w:t>
            </w:r>
            <w:r w:rsidR="00C8308D" w:rsidRPr="007A75EC">
              <w:rPr>
                <w:b/>
                <w:sz w:val="16"/>
                <w:szCs w:val="16"/>
                <w:lang w:val="en-GB"/>
              </w:rPr>
              <w:t xml:space="preserve"> </w:t>
            </w:r>
            <w:r w:rsidR="001278EA" w:rsidRPr="007A75EC">
              <w:rPr>
                <w:b/>
                <w:sz w:val="16"/>
                <w:szCs w:val="16"/>
                <w:lang w:val="en-GB"/>
              </w:rPr>
              <w:t>0.</w:t>
            </w:r>
            <w:r w:rsidR="008C5D6A" w:rsidRPr="007A75EC">
              <w:rPr>
                <w:b/>
                <w:sz w:val="16"/>
                <w:szCs w:val="16"/>
                <w:lang w:val="en-GB"/>
              </w:rPr>
              <w:t>01</w:t>
            </w:r>
          </w:p>
        </w:tc>
        <w:tc>
          <w:tcPr>
            <w:tcW w:w="655" w:type="pct"/>
            <w:vMerge w:val="restart"/>
            <w:tcBorders>
              <w:top w:val="single" w:sz="4" w:space="0" w:color="auto"/>
              <w:bottom w:val="single" w:sz="4" w:space="0" w:color="auto"/>
            </w:tcBorders>
          </w:tcPr>
          <w:p w:rsidR="00854457" w:rsidRPr="00522402" w:rsidRDefault="00854457" w:rsidP="001679A7">
            <w:pPr>
              <w:pStyle w:val="ListParagraph"/>
              <w:ind w:left="360"/>
              <w:rPr>
                <w:iCs/>
                <w:sz w:val="16"/>
                <w:szCs w:val="16"/>
                <w:lang w:val="en-GB"/>
              </w:rPr>
            </w:pPr>
          </w:p>
          <w:p w:rsidR="00695F55" w:rsidRPr="007A75EC" w:rsidRDefault="00286837" w:rsidP="007A75EC">
            <w:pPr>
              <w:rPr>
                <w:iCs/>
                <w:sz w:val="16"/>
                <w:szCs w:val="16"/>
                <w:lang w:val="en-GB"/>
              </w:rPr>
            </w:pPr>
            <w:r w:rsidRPr="007A75EC">
              <w:rPr>
                <w:iCs/>
                <w:sz w:val="16"/>
                <w:szCs w:val="16"/>
                <w:lang w:val="en-GB"/>
              </w:rPr>
              <w:t>National Disaster Management Agency</w:t>
            </w:r>
            <w:r w:rsidR="00695F55" w:rsidRPr="007A75EC">
              <w:rPr>
                <w:iCs/>
                <w:sz w:val="16"/>
                <w:szCs w:val="16"/>
                <w:lang w:val="en-GB"/>
              </w:rPr>
              <w:t xml:space="preserve"> </w:t>
            </w:r>
            <w:r w:rsidR="00180959" w:rsidRPr="00CA06FC">
              <w:rPr>
                <w:iCs/>
                <w:sz w:val="16"/>
                <w:szCs w:val="16"/>
                <w:lang w:val="en-GB"/>
              </w:rPr>
              <w:t>(</w:t>
            </w:r>
            <w:r w:rsidR="00180959" w:rsidRPr="00522402">
              <w:rPr>
                <w:iCs/>
                <w:sz w:val="16"/>
                <w:szCs w:val="16"/>
                <w:lang w:val="en-GB"/>
              </w:rPr>
              <w:t xml:space="preserve">NDMA) </w:t>
            </w:r>
            <w:r w:rsidR="00695F55" w:rsidRPr="007A75EC">
              <w:rPr>
                <w:iCs/>
                <w:sz w:val="16"/>
                <w:szCs w:val="16"/>
                <w:lang w:val="en-GB"/>
              </w:rPr>
              <w:t>yearly progress reports to Government</w:t>
            </w:r>
          </w:p>
          <w:p w:rsidR="00286837" w:rsidRPr="00CA06FC" w:rsidRDefault="00286837" w:rsidP="007A75EC">
            <w:pPr>
              <w:rPr>
                <w:iCs/>
                <w:sz w:val="16"/>
                <w:szCs w:val="16"/>
                <w:lang w:val="en-GB"/>
              </w:rPr>
            </w:pPr>
          </w:p>
          <w:p w:rsidR="00695F55" w:rsidRPr="007A75EC" w:rsidRDefault="00695F55" w:rsidP="007A75EC">
            <w:pPr>
              <w:rPr>
                <w:iCs/>
                <w:sz w:val="16"/>
                <w:szCs w:val="16"/>
                <w:lang w:val="en-GB"/>
              </w:rPr>
            </w:pPr>
            <w:r w:rsidRPr="007A75EC">
              <w:rPr>
                <w:iCs/>
                <w:sz w:val="16"/>
                <w:szCs w:val="16"/>
                <w:lang w:val="en-GB"/>
              </w:rPr>
              <w:lastRenderedPageBreak/>
              <w:t>Gambia progress report to the UNFCCC</w:t>
            </w:r>
            <w:r w:rsidR="007D2E35" w:rsidRPr="00CA06FC">
              <w:rPr>
                <w:iCs/>
                <w:sz w:val="16"/>
                <w:szCs w:val="16"/>
                <w:lang w:val="en-GB"/>
              </w:rPr>
              <w:t>;</w:t>
            </w:r>
            <w:r w:rsidRPr="007A75EC">
              <w:rPr>
                <w:iCs/>
                <w:sz w:val="16"/>
                <w:szCs w:val="16"/>
                <w:lang w:val="en-GB"/>
              </w:rPr>
              <w:t xml:space="preserve"> INDC report</w:t>
            </w:r>
          </w:p>
          <w:p w:rsidR="00286837" w:rsidRPr="00CA06FC" w:rsidRDefault="00286837" w:rsidP="007A75EC">
            <w:pPr>
              <w:rPr>
                <w:iCs/>
                <w:sz w:val="16"/>
                <w:szCs w:val="16"/>
                <w:lang w:val="en-GB"/>
              </w:rPr>
            </w:pPr>
          </w:p>
          <w:p w:rsidR="00695F55" w:rsidRPr="007A75EC" w:rsidRDefault="00695F55" w:rsidP="007A75EC">
            <w:pPr>
              <w:rPr>
                <w:iCs/>
                <w:sz w:val="16"/>
                <w:szCs w:val="16"/>
                <w:lang w:val="en-GB"/>
              </w:rPr>
            </w:pPr>
            <w:r w:rsidRPr="007A75EC">
              <w:rPr>
                <w:iCs/>
                <w:sz w:val="16"/>
                <w:szCs w:val="16"/>
                <w:lang w:val="en-GB"/>
              </w:rPr>
              <w:t xml:space="preserve">Reports from </w:t>
            </w:r>
            <w:r w:rsidR="007D2E35" w:rsidRPr="00CA06FC">
              <w:rPr>
                <w:iCs/>
                <w:sz w:val="16"/>
                <w:szCs w:val="16"/>
                <w:lang w:val="en-GB"/>
              </w:rPr>
              <w:t xml:space="preserve">the </w:t>
            </w:r>
            <w:r w:rsidR="007D2E35" w:rsidRPr="007A75EC">
              <w:rPr>
                <w:iCs/>
                <w:sz w:val="16"/>
                <w:szCs w:val="16"/>
                <w:lang w:val="en-GB"/>
              </w:rPr>
              <w:t>Ministry of Environment, Climate Change, Forestry, Water and Wildlife</w:t>
            </w:r>
          </w:p>
          <w:p w:rsidR="00110722" w:rsidRPr="00CA06FC" w:rsidRDefault="00110722" w:rsidP="00110722">
            <w:pPr>
              <w:rPr>
                <w:b/>
                <w:bCs/>
                <w:sz w:val="16"/>
                <w:szCs w:val="16"/>
                <w:lang w:val="en-GB"/>
              </w:rPr>
            </w:pPr>
          </w:p>
        </w:tc>
        <w:tc>
          <w:tcPr>
            <w:tcW w:w="1768" w:type="pct"/>
            <w:vMerge w:val="restart"/>
            <w:tcBorders>
              <w:top w:val="single" w:sz="4" w:space="0" w:color="auto"/>
              <w:bottom w:val="single" w:sz="4" w:space="0" w:color="auto"/>
            </w:tcBorders>
            <w:tcMar>
              <w:top w:w="72" w:type="dxa"/>
              <w:left w:w="144" w:type="dxa"/>
              <w:bottom w:w="72" w:type="dxa"/>
              <w:right w:w="144" w:type="dxa"/>
            </w:tcMar>
          </w:tcPr>
          <w:p w:rsidR="00866E89" w:rsidRPr="007A75EC" w:rsidRDefault="00866E89" w:rsidP="007A75EC">
            <w:pPr>
              <w:spacing w:after="120"/>
              <w:rPr>
                <w:rFonts w:eastAsia="Calibri"/>
                <w:b/>
                <w:sz w:val="16"/>
                <w:szCs w:val="16"/>
                <w:lang w:val="en-GB"/>
              </w:rPr>
            </w:pPr>
            <w:r w:rsidRPr="00971930">
              <w:rPr>
                <w:rFonts w:eastAsia="Calibri"/>
                <w:b/>
                <w:sz w:val="16"/>
                <w:szCs w:val="16"/>
                <w:lang w:val="en-GB"/>
              </w:rPr>
              <w:lastRenderedPageBreak/>
              <w:t xml:space="preserve">Output </w:t>
            </w:r>
            <w:r w:rsidR="005228C1" w:rsidRPr="00971930">
              <w:rPr>
                <w:rFonts w:eastAsia="Calibri"/>
                <w:b/>
                <w:sz w:val="16"/>
                <w:szCs w:val="16"/>
                <w:lang w:val="en-GB"/>
              </w:rPr>
              <w:t>3.1</w:t>
            </w:r>
            <w:r w:rsidRPr="00971930">
              <w:rPr>
                <w:rFonts w:eastAsia="Calibri"/>
                <w:b/>
                <w:sz w:val="16"/>
                <w:szCs w:val="16"/>
                <w:lang w:val="en-GB"/>
              </w:rPr>
              <w:t xml:space="preserve">. </w:t>
            </w:r>
            <w:r w:rsidR="00CB75AB" w:rsidRPr="00971930">
              <w:rPr>
                <w:rFonts w:eastAsia="Calibri"/>
                <w:b/>
                <w:sz w:val="16"/>
                <w:szCs w:val="16"/>
                <w:lang w:val="en-GB"/>
              </w:rPr>
              <w:t>Preparedness systems</w:t>
            </w:r>
            <w:r w:rsidRPr="00971930">
              <w:rPr>
                <w:rFonts w:eastAsia="Calibri"/>
                <w:b/>
                <w:sz w:val="16"/>
                <w:szCs w:val="16"/>
                <w:lang w:val="en-GB"/>
              </w:rPr>
              <w:t xml:space="preserve"> to effectively address the consequences </w:t>
            </w:r>
            <w:r w:rsidRPr="007A75EC">
              <w:rPr>
                <w:rFonts w:eastAsia="Calibri"/>
                <w:b/>
                <w:sz w:val="16"/>
                <w:szCs w:val="16"/>
                <w:lang w:val="en-GB"/>
              </w:rPr>
              <w:t>of and response to natural hazards</w:t>
            </w:r>
            <w:r w:rsidR="00CB75AB" w:rsidRPr="007A75EC">
              <w:rPr>
                <w:rFonts w:eastAsia="Calibri"/>
                <w:b/>
                <w:sz w:val="16"/>
                <w:szCs w:val="16"/>
                <w:lang w:val="en-GB"/>
              </w:rPr>
              <w:t>.</w:t>
            </w:r>
            <w:r w:rsidR="001D6CD0" w:rsidRPr="007A75EC">
              <w:rPr>
                <w:rStyle w:val="FootnoteReference"/>
                <w:rFonts w:eastAsia="Calibri"/>
                <w:b/>
                <w:sz w:val="16"/>
                <w:szCs w:val="16"/>
                <w:lang w:val="en-GB"/>
              </w:rPr>
              <w:footnoteReference w:id="58"/>
            </w:r>
            <w:r w:rsidRPr="007A75EC">
              <w:rPr>
                <w:rFonts w:eastAsia="Calibri"/>
                <w:b/>
                <w:sz w:val="16"/>
                <w:szCs w:val="16"/>
                <w:lang w:val="en-GB"/>
              </w:rPr>
              <w:t xml:space="preserve"> </w:t>
            </w:r>
          </w:p>
          <w:p w:rsidR="00694341" w:rsidRPr="007A75EC" w:rsidRDefault="00866E89" w:rsidP="00EB2E19">
            <w:pPr>
              <w:rPr>
                <w:sz w:val="16"/>
                <w:szCs w:val="16"/>
                <w:lang w:val="en-GB"/>
              </w:rPr>
            </w:pPr>
            <w:r w:rsidRPr="007A75EC">
              <w:rPr>
                <w:b/>
                <w:sz w:val="16"/>
                <w:szCs w:val="16"/>
                <w:lang w:val="en-GB"/>
              </w:rPr>
              <w:t xml:space="preserve">Indicator </w:t>
            </w:r>
            <w:r w:rsidR="005228C1" w:rsidRPr="007A75EC">
              <w:rPr>
                <w:b/>
                <w:sz w:val="16"/>
                <w:szCs w:val="16"/>
                <w:lang w:val="en-GB"/>
              </w:rPr>
              <w:t>3</w:t>
            </w:r>
            <w:r w:rsidRPr="007A75EC">
              <w:rPr>
                <w:b/>
                <w:sz w:val="16"/>
                <w:szCs w:val="16"/>
                <w:lang w:val="en-GB"/>
              </w:rPr>
              <w:t>.</w:t>
            </w:r>
            <w:r w:rsidR="005228C1" w:rsidRPr="007A75EC">
              <w:rPr>
                <w:b/>
                <w:sz w:val="16"/>
                <w:szCs w:val="16"/>
                <w:lang w:val="en-GB"/>
              </w:rPr>
              <w:t>1</w:t>
            </w:r>
            <w:r w:rsidRPr="007A75EC">
              <w:rPr>
                <w:b/>
                <w:sz w:val="16"/>
                <w:szCs w:val="16"/>
                <w:lang w:val="en-GB"/>
              </w:rPr>
              <w:t>.1</w:t>
            </w:r>
            <w:r w:rsidR="00180959" w:rsidRPr="00CA06FC">
              <w:rPr>
                <w:b/>
                <w:sz w:val="16"/>
                <w:szCs w:val="16"/>
                <w:lang w:val="en-GB"/>
              </w:rPr>
              <w:t>.</w:t>
            </w:r>
            <w:r w:rsidRPr="007A75EC">
              <w:rPr>
                <w:sz w:val="16"/>
                <w:szCs w:val="16"/>
                <w:lang w:val="en-GB"/>
              </w:rPr>
              <w:t xml:space="preserve"> Number of end-to-end early warning systems for man-made and natural hazards</w:t>
            </w:r>
            <w:r w:rsidR="00694341" w:rsidRPr="007A75EC">
              <w:rPr>
                <w:sz w:val="16"/>
                <w:szCs w:val="16"/>
                <w:lang w:val="en-GB"/>
              </w:rPr>
              <w:t>.</w:t>
            </w:r>
          </w:p>
          <w:p w:rsidR="006A1522" w:rsidRPr="007A75EC" w:rsidRDefault="006A1522" w:rsidP="006A1522">
            <w:pPr>
              <w:rPr>
                <w:b/>
                <w:sz w:val="16"/>
                <w:szCs w:val="16"/>
                <w:lang w:val="en-GB"/>
              </w:rPr>
            </w:pPr>
            <w:r w:rsidRPr="007A75EC">
              <w:rPr>
                <w:b/>
                <w:i/>
                <w:sz w:val="16"/>
                <w:szCs w:val="16"/>
                <w:lang w:val="en-GB"/>
              </w:rPr>
              <w:t>Baseline</w:t>
            </w:r>
            <w:r w:rsidR="008B14CF" w:rsidRPr="007A75EC">
              <w:rPr>
                <w:b/>
                <w:i/>
                <w:sz w:val="16"/>
                <w:szCs w:val="16"/>
                <w:lang w:val="en-GB"/>
              </w:rPr>
              <w:t>:</w:t>
            </w:r>
            <w:r w:rsidRPr="007A75EC">
              <w:rPr>
                <w:b/>
                <w:sz w:val="16"/>
                <w:szCs w:val="16"/>
                <w:lang w:val="en-GB"/>
              </w:rPr>
              <w:t> </w:t>
            </w:r>
            <w:r w:rsidR="00B23660" w:rsidRPr="007A75EC">
              <w:rPr>
                <w:sz w:val="16"/>
                <w:szCs w:val="16"/>
                <w:lang w:val="en-GB"/>
              </w:rPr>
              <w:t>1</w:t>
            </w:r>
          </w:p>
          <w:p w:rsidR="001E5215" w:rsidRPr="007A75EC" w:rsidRDefault="006A1522" w:rsidP="00875C25">
            <w:pPr>
              <w:rPr>
                <w:b/>
                <w:sz w:val="16"/>
                <w:szCs w:val="16"/>
                <w:lang w:val="en-GB"/>
              </w:rPr>
            </w:pPr>
            <w:r w:rsidRPr="007A75EC">
              <w:rPr>
                <w:b/>
                <w:i/>
                <w:sz w:val="16"/>
                <w:szCs w:val="16"/>
                <w:lang w:val="en-GB"/>
              </w:rPr>
              <w:t>Target</w:t>
            </w:r>
            <w:r w:rsidR="008B14CF" w:rsidRPr="007A75EC">
              <w:rPr>
                <w:b/>
                <w:i/>
                <w:sz w:val="16"/>
                <w:szCs w:val="16"/>
                <w:lang w:val="en-GB"/>
              </w:rPr>
              <w:t>:</w:t>
            </w:r>
            <w:r w:rsidRPr="007A75EC">
              <w:rPr>
                <w:sz w:val="16"/>
                <w:szCs w:val="16"/>
                <w:lang w:val="en-GB"/>
              </w:rPr>
              <w:t> </w:t>
            </w:r>
            <w:r w:rsidR="00B23660" w:rsidRPr="007A75EC">
              <w:rPr>
                <w:sz w:val="16"/>
                <w:szCs w:val="16"/>
                <w:lang w:val="en-GB"/>
              </w:rPr>
              <w:t>8</w:t>
            </w:r>
          </w:p>
          <w:p w:rsidR="00866E89" w:rsidRPr="007A75EC" w:rsidRDefault="00A47722" w:rsidP="00866E89">
            <w:pPr>
              <w:rPr>
                <w:rFonts w:eastAsia="Calibri"/>
                <w:sz w:val="16"/>
                <w:szCs w:val="16"/>
                <w:lang w:val="en-GB"/>
              </w:rPr>
            </w:pPr>
            <w:r w:rsidRPr="007A75EC">
              <w:rPr>
                <w:rFonts w:eastAsia="Calibri"/>
                <w:b/>
                <w:sz w:val="16"/>
                <w:szCs w:val="16"/>
                <w:lang w:val="en-GB"/>
              </w:rPr>
              <w:t xml:space="preserve">Indicator </w:t>
            </w:r>
            <w:r w:rsidR="005228C1" w:rsidRPr="007A75EC">
              <w:rPr>
                <w:rFonts w:eastAsia="Calibri"/>
                <w:b/>
                <w:sz w:val="16"/>
                <w:szCs w:val="16"/>
                <w:lang w:val="en-GB"/>
              </w:rPr>
              <w:t>3</w:t>
            </w:r>
            <w:r w:rsidR="00866E89" w:rsidRPr="007A75EC">
              <w:rPr>
                <w:rFonts w:eastAsia="Calibri"/>
                <w:b/>
                <w:sz w:val="16"/>
                <w:szCs w:val="16"/>
                <w:lang w:val="en-GB"/>
              </w:rPr>
              <w:t>.</w:t>
            </w:r>
            <w:r w:rsidR="005228C1" w:rsidRPr="007A75EC">
              <w:rPr>
                <w:rFonts w:eastAsia="Calibri"/>
                <w:b/>
                <w:sz w:val="16"/>
                <w:szCs w:val="16"/>
                <w:lang w:val="en-GB"/>
              </w:rPr>
              <w:t>1</w:t>
            </w:r>
            <w:r w:rsidR="00866E89" w:rsidRPr="007A75EC">
              <w:rPr>
                <w:rFonts w:eastAsia="Calibri"/>
                <w:b/>
                <w:sz w:val="16"/>
                <w:szCs w:val="16"/>
                <w:lang w:val="en-GB"/>
              </w:rPr>
              <w:t xml:space="preserve">.2. </w:t>
            </w:r>
            <w:r w:rsidR="00866E89" w:rsidRPr="007A75EC">
              <w:rPr>
                <w:rFonts w:eastAsia="Calibri"/>
                <w:sz w:val="16"/>
                <w:szCs w:val="16"/>
                <w:lang w:val="en-GB"/>
              </w:rPr>
              <w:t>Number of contingency plans at national and sub-national level to prepare for and recover from disaster event</w:t>
            </w:r>
            <w:r w:rsidR="00694341" w:rsidRPr="007A75EC">
              <w:rPr>
                <w:rFonts w:eastAsia="Calibri"/>
                <w:sz w:val="16"/>
                <w:szCs w:val="16"/>
                <w:lang w:val="en-GB"/>
              </w:rPr>
              <w:t>s</w:t>
            </w:r>
            <w:r w:rsidR="00866E89" w:rsidRPr="007A75EC">
              <w:rPr>
                <w:rFonts w:eastAsia="Calibri"/>
                <w:sz w:val="16"/>
                <w:szCs w:val="16"/>
                <w:lang w:val="en-GB"/>
              </w:rPr>
              <w:t xml:space="preserve"> with </w:t>
            </w:r>
            <w:r w:rsidR="00866E89" w:rsidRPr="007A75EC">
              <w:rPr>
                <w:rFonts w:eastAsia="Calibri"/>
                <w:sz w:val="16"/>
                <w:szCs w:val="16"/>
                <w:lang w:val="en-GB"/>
              </w:rPr>
              <w:lastRenderedPageBreak/>
              <w:t xml:space="preserve">adequate financial and human resources, capacities and operating procedures. </w:t>
            </w:r>
          </w:p>
          <w:p w:rsidR="006A1522" w:rsidRPr="007A75EC" w:rsidRDefault="006A1522" w:rsidP="006A1522">
            <w:pPr>
              <w:rPr>
                <w:b/>
                <w:sz w:val="16"/>
                <w:szCs w:val="16"/>
                <w:lang w:val="en-GB"/>
              </w:rPr>
            </w:pPr>
            <w:r w:rsidRPr="007A75EC">
              <w:rPr>
                <w:b/>
                <w:i/>
                <w:sz w:val="16"/>
                <w:szCs w:val="16"/>
                <w:lang w:val="en-GB"/>
              </w:rPr>
              <w:t>Baseline</w:t>
            </w:r>
            <w:r w:rsidR="00D90810" w:rsidRPr="007A75EC">
              <w:rPr>
                <w:b/>
                <w:i/>
                <w:sz w:val="16"/>
                <w:szCs w:val="16"/>
                <w:lang w:val="en-GB"/>
              </w:rPr>
              <w:t>:</w:t>
            </w:r>
            <w:r w:rsidRPr="007A75EC">
              <w:rPr>
                <w:b/>
                <w:sz w:val="16"/>
                <w:szCs w:val="16"/>
                <w:lang w:val="en-GB"/>
              </w:rPr>
              <w:t> </w:t>
            </w:r>
            <w:r w:rsidR="00526120" w:rsidRPr="007A75EC">
              <w:rPr>
                <w:sz w:val="16"/>
                <w:szCs w:val="16"/>
                <w:lang w:val="en-GB"/>
              </w:rPr>
              <w:t>0</w:t>
            </w:r>
          </w:p>
          <w:p w:rsidR="00D90810" w:rsidRPr="007A75EC" w:rsidRDefault="006A1522" w:rsidP="006B5BC2">
            <w:pPr>
              <w:jc w:val="both"/>
              <w:rPr>
                <w:b/>
                <w:sz w:val="16"/>
                <w:szCs w:val="16"/>
                <w:lang w:val="en-GB"/>
              </w:rPr>
            </w:pPr>
            <w:r w:rsidRPr="007A75EC">
              <w:rPr>
                <w:b/>
                <w:i/>
                <w:sz w:val="16"/>
                <w:szCs w:val="16"/>
                <w:lang w:val="en-GB"/>
              </w:rPr>
              <w:t>Target</w:t>
            </w:r>
            <w:r w:rsidR="00D90810" w:rsidRPr="007A75EC">
              <w:rPr>
                <w:b/>
                <w:i/>
                <w:sz w:val="16"/>
                <w:szCs w:val="16"/>
                <w:lang w:val="en-GB"/>
              </w:rPr>
              <w:t>:</w:t>
            </w:r>
            <w:r w:rsidRPr="007A75EC">
              <w:rPr>
                <w:b/>
                <w:sz w:val="16"/>
                <w:szCs w:val="16"/>
                <w:lang w:val="en-GB"/>
              </w:rPr>
              <w:t> </w:t>
            </w:r>
            <w:r w:rsidR="00B23660" w:rsidRPr="007A75EC">
              <w:rPr>
                <w:sz w:val="16"/>
                <w:szCs w:val="16"/>
                <w:lang w:val="en-GB"/>
              </w:rPr>
              <w:t>1 Central</w:t>
            </w:r>
            <w:r w:rsidR="00D90810" w:rsidRPr="007A75EC">
              <w:rPr>
                <w:sz w:val="16"/>
                <w:szCs w:val="16"/>
                <w:lang w:val="en-GB"/>
              </w:rPr>
              <w:t xml:space="preserve">, </w:t>
            </w:r>
            <w:r w:rsidR="00B23660" w:rsidRPr="007A75EC">
              <w:rPr>
                <w:sz w:val="16"/>
                <w:szCs w:val="16"/>
                <w:lang w:val="en-GB"/>
              </w:rPr>
              <w:t>8 regional plans</w:t>
            </w:r>
          </w:p>
          <w:p w:rsidR="003F3C85" w:rsidRPr="007A75EC" w:rsidRDefault="003F3C85" w:rsidP="006B5BC2">
            <w:pPr>
              <w:jc w:val="both"/>
              <w:rPr>
                <w:b/>
                <w:sz w:val="16"/>
                <w:szCs w:val="16"/>
                <w:lang w:val="en-GB"/>
              </w:rPr>
            </w:pPr>
          </w:p>
          <w:p w:rsidR="00650C37" w:rsidRPr="007A75EC" w:rsidRDefault="00650C37" w:rsidP="00650C37">
            <w:pPr>
              <w:rPr>
                <w:rFonts w:eastAsia="Calibri"/>
                <w:sz w:val="16"/>
                <w:szCs w:val="16"/>
                <w:lang w:val="en-GB"/>
              </w:rPr>
            </w:pPr>
            <w:r w:rsidRPr="007A75EC">
              <w:rPr>
                <w:rFonts w:eastAsia="Calibri"/>
                <w:b/>
                <w:sz w:val="16"/>
                <w:szCs w:val="16"/>
                <w:lang w:val="en-GB"/>
              </w:rPr>
              <w:t>Indicator 3.1.3</w:t>
            </w:r>
            <w:r w:rsidR="009E3ED6" w:rsidRPr="00CA06FC">
              <w:rPr>
                <w:rFonts w:eastAsia="Calibri"/>
                <w:b/>
                <w:sz w:val="16"/>
                <w:szCs w:val="16"/>
                <w:lang w:val="en-GB"/>
              </w:rPr>
              <w:t>.</w:t>
            </w:r>
            <w:r w:rsidRPr="007A75EC">
              <w:rPr>
                <w:rFonts w:eastAsia="Calibri"/>
                <w:b/>
                <w:sz w:val="16"/>
                <w:szCs w:val="16"/>
                <w:lang w:val="en-GB"/>
              </w:rPr>
              <w:t xml:space="preserve"> </w:t>
            </w:r>
            <w:r w:rsidR="00070227" w:rsidRPr="007A75EC">
              <w:rPr>
                <w:rFonts w:eastAsia="Calibri"/>
                <w:sz w:val="16"/>
                <w:szCs w:val="16"/>
                <w:lang w:val="en-GB"/>
              </w:rPr>
              <w:t>Existence</w:t>
            </w:r>
            <w:r w:rsidR="00070227" w:rsidRPr="007A75EC">
              <w:rPr>
                <w:rFonts w:eastAsia="Calibri"/>
                <w:b/>
                <w:sz w:val="16"/>
                <w:szCs w:val="16"/>
                <w:lang w:val="en-GB"/>
              </w:rPr>
              <w:t xml:space="preserve"> </w:t>
            </w:r>
            <w:r w:rsidR="00070227" w:rsidRPr="007A75EC">
              <w:rPr>
                <w:rFonts w:eastAsia="Calibri"/>
                <w:sz w:val="16"/>
                <w:szCs w:val="16"/>
                <w:lang w:val="en-GB"/>
              </w:rPr>
              <w:t>of</w:t>
            </w:r>
            <w:r w:rsidRPr="007A75EC">
              <w:rPr>
                <w:rFonts w:eastAsia="Calibri"/>
                <w:sz w:val="16"/>
                <w:szCs w:val="16"/>
                <w:lang w:val="en-GB"/>
              </w:rPr>
              <w:t xml:space="preserve"> clearly defined institutional responsibilities and multi-stakeholder coordination mechanisms for disaster and climate risk management at national and subnational levels</w:t>
            </w:r>
            <w:r w:rsidR="00070227" w:rsidRPr="007A75EC">
              <w:rPr>
                <w:rFonts w:eastAsia="Calibri"/>
                <w:sz w:val="16"/>
                <w:szCs w:val="16"/>
                <w:lang w:val="en-GB"/>
              </w:rPr>
              <w:t>.</w:t>
            </w:r>
          </w:p>
          <w:p w:rsidR="00650C37" w:rsidRPr="007A75EC" w:rsidRDefault="00650C37" w:rsidP="00650C37">
            <w:pPr>
              <w:rPr>
                <w:sz w:val="16"/>
                <w:szCs w:val="16"/>
                <w:lang w:val="en-GB"/>
              </w:rPr>
            </w:pPr>
            <w:r w:rsidRPr="007A75EC">
              <w:rPr>
                <w:b/>
                <w:i/>
                <w:sz w:val="16"/>
                <w:szCs w:val="16"/>
                <w:lang w:val="en-GB"/>
              </w:rPr>
              <w:t>Baseline</w:t>
            </w:r>
            <w:r w:rsidR="007D2E35" w:rsidRPr="007A75EC">
              <w:rPr>
                <w:b/>
                <w:i/>
                <w:sz w:val="16"/>
                <w:szCs w:val="16"/>
                <w:lang w:val="en-GB"/>
              </w:rPr>
              <w:t>:</w:t>
            </w:r>
            <w:r w:rsidRPr="007A75EC">
              <w:rPr>
                <w:sz w:val="16"/>
                <w:szCs w:val="16"/>
                <w:lang w:val="en-GB"/>
              </w:rPr>
              <w:t xml:space="preserve">  </w:t>
            </w:r>
            <w:r w:rsidR="00D90810" w:rsidRPr="007A75EC">
              <w:rPr>
                <w:sz w:val="16"/>
                <w:szCs w:val="16"/>
                <w:lang w:val="en-GB"/>
              </w:rPr>
              <w:t>A</w:t>
            </w:r>
            <w:r w:rsidRPr="007A75EC">
              <w:rPr>
                <w:sz w:val="16"/>
                <w:szCs w:val="16"/>
                <w:lang w:val="en-GB"/>
              </w:rPr>
              <w:t>t national level</w:t>
            </w:r>
            <w:r w:rsidR="00D90810" w:rsidRPr="007A75EC">
              <w:rPr>
                <w:rStyle w:val="FootnoteReference"/>
                <w:sz w:val="16"/>
                <w:szCs w:val="16"/>
                <w:lang w:val="en-GB"/>
              </w:rPr>
              <w:footnoteReference w:id="59"/>
            </w:r>
          </w:p>
          <w:p w:rsidR="00650C37" w:rsidRPr="007A75EC" w:rsidRDefault="00650C37" w:rsidP="00650C37">
            <w:pPr>
              <w:rPr>
                <w:sz w:val="16"/>
                <w:szCs w:val="16"/>
                <w:lang w:val="en-GB"/>
              </w:rPr>
            </w:pPr>
            <w:r w:rsidRPr="007A75EC">
              <w:rPr>
                <w:b/>
                <w:i/>
                <w:sz w:val="16"/>
                <w:szCs w:val="16"/>
                <w:lang w:val="en-GB"/>
              </w:rPr>
              <w:t>Targe</w:t>
            </w:r>
            <w:r w:rsidRPr="007A75EC">
              <w:rPr>
                <w:i/>
                <w:sz w:val="16"/>
                <w:szCs w:val="16"/>
                <w:lang w:val="en-GB"/>
              </w:rPr>
              <w:t>t</w:t>
            </w:r>
            <w:r w:rsidRPr="007A75EC">
              <w:rPr>
                <w:b/>
                <w:i/>
                <w:sz w:val="16"/>
                <w:szCs w:val="16"/>
                <w:lang w:val="en-GB"/>
              </w:rPr>
              <w:t>:</w:t>
            </w:r>
            <w:r w:rsidRPr="007A75EC">
              <w:rPr>
                <w:i/>
                <w:sz w:val="16"/>
                <w:szCs w:val="16"/>
                <w:lang w:val="en-GB"/>
              </w:rPr>
              <w:t xml:space="preserve"> </w:t>
            </w:r>
            <w:r w:rsidRPr="007A75EC">
              <w:rPr>
                <w:sz w:val="16"/>
                <w:szCs w:val="16"/>
                <w:lang w:val="en-GB"/>
              </w:rPr>
              <w:t xml:space="preserve"> National</w:t>
            </w:r>
            <w:r w:rsidR="00D90810" w:rsidRPr="007A75EC">
              <w:rPr>
                <w:sz w:val="16"/>
                <w:szCs w:val="16"/>
                <w:lang w:val="en-GB"/>
              </w:rPr>
              <w:t>,</w:t>
            </w:r>
            <w:r w:rsidRPr="007A75EC">
              <w:rPr>
                <w:sz w:val="16"/>
                <w:szCs w:val="16"/>
                <w:lang w:val="en-GB"/>
              </w:rPr>
              <w:t xml:space="preserve"> 8 </w:t>
            </w:r>
            <w:r w:rsidR="009E3ED6" w:rsidRPr="00CA06FC">
              <w:rPr>
                <w:sz w:val="16"/>
                <w:szCs w:val="16"/>
                <w:lang w:val="en-GB"/>
              </w:rPr>
              <w:t>r</w:t>
            </w:r>
            <w:r w:rsidRPr="007A75EC">
              <w:rPr>
                <w:sz w:val="16"/>
                <w:szCs w:val="16"/>
                <w:lang w:val="en-GB"/>
              </w:rPr>
              <w:t>egional</w:t>
            </w:r>
            <w:r w:rsidR="00D90810" w:rsidRPr="007A75EC">
              <w:rPr>
                <w:sz w:val="16"/>
                <w:szCs w:val="16"/>
                <w:lang w:val="en-GB"/>
              </w:rPr>
              <w:t>,</w:t>
            </w:r>
            <w:r w:rsidRPr="007A75EC">
              <w:rPr>
                <w:sz w:val="16"/>
                <w:szCs w:val="16"/>
                <w:lang w:val="en-GB"/>
              </w:rPr>
              <w:t xml:space="preserve"> 48 </w:t>
            </w:r>
            <w:r w:rsidR="009E3ED6" w:rsidRPr="00CA06FC">
              <w:rPr>
                <w:sz w:val="16"/>
                <w:szCs w:val="16"/>
                <w:lang w:val="en-GB"/>
              </w:rPr>
              <w:t>d</w:t>
            </w:r>
            <w:r w:rsidRPr="007A75EC">
              <w:rPr>
                <w:sz w:val="16"/>
                <w:szCs w:val="16"/>
                <w:lang w:val="en-GB"/>
              </w:rPr>
              <w:t>istricts.</w:t>
            </w:r>
          </w:p>
          <w:p w:rsidR="00650C37" w:rsidRPr="007A75EC" w:rsidRDefault="00650C37" w:rsidP="00650C37">
            <w:pPr>
              <w:jc w:val="both"/>
              <w:rPr>
                <w:b/>
                <w:sz w:val="16"/>
                <w:szCs w:val="16"/>
                <w:lang w:val="en-GB"/>
              </w:rPr>
            </w:pPr>
          </w:p>
          <w:p w:rsidR="00680ACF" w:rsidRPr="007A75EC" w:rsidRDefault="00680ACF" w:rsidP="00650C37">
            <w:pPr>
              <w:jc w:val="both"/>
              <w:rPr>
                <w:rFonts w:eastAsia="Calibri"/>
                <w:sz w:val="16"/>
                <w:szCs w:val="16"/>
                <w:lang w:val="en-GB"/>
              </w:rPr>
            </w:pPr>
            <w:r w:rsidRPr="007A75EC">
              <w:rPr>
                <w:rFonts w:eastAsia="Calibri"/>
                <w:b/>
                <w:sz w:val="16"/>
                <w:szCs w:val="16"/>
                <w:lang w:val="en-GB"/>
              </w:rPr>
              <w:t xml:space="preserve">Indicator </w:t>
            </w:r>
            <w:r w:rsidR="005228C1" w:rsidRPr="007A75EC">
              <w:rPr>
                <w:rFonts w:eastAsia="Calibri"/>
                <w:b/>
                <w:sz w:val="16"/>
                <w:szCs w:val="16"/>
                <w:lang w:val="en-GB"/>
              </w:rPr>
              <w:t>3</w:t>
            </w:r>
            <w:r w:rsidRPr="007A75EC">
              <w:rPr>
                <w:rFonts w:eastAsia="Calibri"/>
                <w:b/>
                <w:sz w:val="16"/>
                <w:szCs w:val="16"/>
                <w:lang w:val="en-GB"/>
              </w:rPr>
              <w:t>.</w:t>
            </w:r>
            <w:r w:rsidR="005228C1" w:rsidRPr="007A75EC">
              <w:rPr>
                <w:rFonts w:eastAsia="Calibri"/>
                <w:b/>
                <w:sz w:val="16"/>
                <w:szCs w:val="16"/>
                <w:lang w:val="en-GB"/>
              </w:rPr>
              <w:t>1</w:t>
            </w:r>
            <w:r w:rsidRPr="007A75EC">
              <w:rPr>
                <w:rFonts w:eastAsia="Calibri"/>
                <w:b/>
                <w:sz w:val="16"/>
                <w:szCs w:val="16"/>
                <w:lang w:val="en-GB"/>
              </w:rPr>
              <w:t>.</w:t>
            </w:r>
            <w:r w:rsidR="00650C37" w:rsidRPr="007A75EC">
              <w:rPr>
                <w:rFonts w:eastAsia="Calibri"/>
                <w:b/>
                <w:sz w:val="16"/>
                <w:szCs w:val="16"/>
                <w:lang w:val="en-GB"/>
              </w:rPr>
              <w:t>4</w:t>
            </w:r>
            <w:r w:rsidR="009E3ED6" w:rsidRPr="00CA06FC">
              <w:rPr>
                <w:rFonts w:eastAsia="Calibri"/>
                <w:b/>
                <w:sz w:val="16"/>
                <w:szCs w:val="16"/>
                <w:lang w:val="en-GB"/>
              </w:rPr>
              <w:t>.</w:t>
            </w:r>
            <w:r w:rsidRPr="007A75EC">
              <w:rPr>
                <w:rFonts w:eastAsia="Calibri"/>
                <w:b/>
                <w:sz w:val="16"/>
                <w:szCs w:val="16"/>
                <w:lang w:val="en-GB"/>
              </w:rPr>
              <w:t xml:space="preserve"> </w:t>
            </w:r>
            <w:r w:rsidR="00510D4E" w:rsidRPr="007A75EC">
              <w:rPr>
                <w:rFonts w:eastAsia="Calibri"/>
                <w:sz w:val="16"/>
                <w:szCs w:val="16"/>
                <w:lang w:val="en-GB"/>
              </w:rPr>
              <w:t>Percentage</w:t>
            </w:r>
            <w:r w:rsidRPr="007A75EC">
              <w:rPr>
                <w:rFonts w:eastAsia="Calibri"/>
                <w:sz w:val="16"/>
                <w:szCs w:val="16"/>
                <w:lang w:val="en-GB"/>
              </w:rPr>
              <w:t xml:space="preserve"> of the at-risk population covered by national and community level contingency plans for disaster events</w:t>
            </w:r>
            <w:r w:rsidR="00335AC7" w:rsidRPr="007A75EC">
              <w:rPr>
                <w:rStyle w:val="FootnoteReference"/>
                <w:rFonts w:eastAsia="Calibri"/>
                <w:sz w:val="16"/>
                <w:szCs w:val="16"/>
                <w:lang w:val="en-GB"/>
              </w:rPr>
              <w:footnoteReference w:id="60"/>
            </w:r>
            <w:r w:rsidR="00CB75AB" w:rsidRPr="007A75EC">
              <w:rPr>
                <w:rFonts w:eastAsia="Calibri"/>
                <w:sz w:val="16"/>
                <w:szCs w:val="16"/>
                <w:lang w:val="en-GB"/>
              </w:rPr>
              <w:t>.</w:t>
            </w:r>
            <w:r w:rsidRPr="007A75EC">
              <w:rPr>
                <w:rFonts w:eastAsia="Calibri"/>
                <w:sz w:val="16"/>
                <w:szCs w:val="16"/>
                <w:lang w:val="en-GB"/>
              </w:rPr>
              <w:t xml:space="preserve"> </w:t>
            </w:r>
          </w:p>
          <w:p w:rsidR="00E97C8C" w:rsidRPr="007A75EC" w:rsidRDefault="00510D4E" w:rsidP="00E97C8C">
            <w:pPr>
              <w:rPr>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1</w:t>
            </w:r>
            <w:r w:rsidR="003F3C85" w:rsidRPr="007A75EC">
              <w:rPr>
                <w:sz w:val="16"/>
                <w:szCs w:val="16"/>
                <w:lang w:val="en-GB"/>
              </w:rPr>
              <w:t>5</w:t>
            </w:r>
            <w:r w:rsidR="00B23660" w:rsidRPr="007A75EC">
              <w:rPr>
                <w:sz w:val="16"/>
                <w:szCs w:val="16"/>
                <w:lang w:val="en-GB"/>
              </w:rPr>
              <w:t>%</w:t>
            </w:r>
            <w:r w:rsidR="00E315B8" w:rsidRPr="007A75EC">
              <w:rPr>
                <w:sz w:val="16"/>
                <w:szCs w:val="16"/>
                <w:lang w:val="en-GB"/>
              </w:rPr>
              <w:t xml:space="preserve"> </w:t>
            </w:r>
            <w:r w:rsidR="009E3ED6" w:rsidRPr="007A75EC">
              <w:rPr>
                <w:sz w:val="16"/>
                <w:szCs w:val="16"/>
                <w:lang w:val="en-GB"/>
              </w:rPr>
              <w:t>(</w:t>
            </w:r>
            <w:r w:rsidRPr="007A75EC">
              <w:rPr>
                <w:sz w:val="16"/>
                <w:szCs w:val="16"/>
                <w:lang w:val="en-GB"/>
              </w:rPr>
              <w:t>5%</w:t>
            </w:r>
            <w:r w:rsidR="00E315B8" w:rsidRPr="007A75EC">
              <w:rPr>
                <w:sz w:val="16"/>
                <w:szCs w:val="16"/>
                <w:lang w:val="en-GB"/>
              </w:rPr>
              <w:t xml:space="preserve"> </w:t>
            </w:r>
            <w:r w:rsidR="009E3ED6" w:rsidRPr="007A75EC">
              <w:rPr>
                <w:sz w:val="16"/>
                <w:szCs w:val="16"/>
                <w:lang w:val="en-GB"/>
              </w:rPr>
              <w:t>w</w:t>
            </w:r>
            <w:r w:rsidR="00E315B8" w:rsidRPr="007A75EC">
              <w:rPr>
                <w:sz w:val="16"/>
                <w:szCs w:val="16"/>
                <w:lang w:val="en-GB"/>
              </w:rPr>
              <w:t>omen</w:t>
            </w:r>
            <w:r w:rsidR="009E3ED6" w:rsidRPr="007A75EC">
              <w:rPr>
                <w:sz w:val="16"/>
                <w:szCs w:val="16"/>
                <w:lang w:val="en-GB"/>
              </w:rPr>
              <w:t>)</w:t>
            </w:r>
          </w:p>
          <w:p w:rsidR="00D90810" w:rsidRPr="007A75EC" w:rsidRDefault="00E97C8C" w:rsidP="0089447C">
            <w:pPr>
              <w:rPr>
                <w:b/>
                <w:sz w:val="16"/>
                <w:szCs w:val="16"/>
                <w:lang w:val="en-GB"/>
              </w:rPr>
            </w:pPr>
            <w:r w:rsidRPr="007A75EC">
              <w:rPr>
                <w:b/>
                <w:i/>
                <w:sz w:val="16"/>
                <w:szCs w:val="16"/>
                <w:lang w:val="en-GB"/>
              </w:rPr>
              <w:t>Target</w:t>
            </w:r>
            <w:r w:rsidR="00510D4E" w:rsidRPr="007A75EC">
              <w:rPr>
                <w:b/>
                <w:i/>
                <w:sz w:val="16"/>
                <w:szCs w:val="16"/>
                <w:lang w:val="en-GB"/>
              </w:rPr>
              <w:t>:</w:t>
            </w:r>
            <w:r w:rsidR="00510D4E" w:rsidRPr="007A75EC">
              <w:rPr>
                <w:b/>
                <w:sz w:val="16"/>
                <w:szCs w:val="16"/>
                <w:lang w:val="en-GB"/>
              </w:rPr>
              <w:t xml:space="preserve"> </w:t>
            </w:r>
            <w:r w:rsidRPr="007A75EC">
              <w:rPr>
                <w:b/>
                <w:sz w:val="16"/>
                <w:szCs w:val="16"/>
                <w:lang w:val="en-GB"/>
              </w:rPr>
              <w:t xml:space="preserve"> </w:t>
            </w:r>
            <w:r w:rsidR="00510D4E" w:rsidRPr="007A75EC">
              <w:rPr>
                <w:sz w:val="16"/>
                <w:szCs w:val="16"/>
                <w:lang w:val="en-GB"/>
              </w:rPr>
              <w:t>50</w:t>
            </w:r>
            <w:r w:rsidR="00B23660" w:rsidRPr="007A75EC">
              <w:rPr>
                <w:sz w:val="16"/>
                <w:szCs w:val="16"/>
                <w:lang w:val="en-GB"/>
              </w:rPr>
              <w:t>%</w:t>
            </w:r>
            <w:r w:rsidR="00E315B8" w:rsidRPr="007A75EC">
              <w:rPr>
                <w:sz w:val="16"/>
                <w:szCs w:val="16"/>
                <w:lang w:val="en-GB"/>
              </w:rPr>
              <w:t xml:space="preserve"> </w:t>
            </w:r>
            <w:r w:rsidR="009E3ED6" w:rsidRPr="007A75EC">
              <w:rPr>
                <w:sz w:val="16"/>
                <w:szCs w:val="16"/>
                <w:lang w:val="en-GB"/>
              </w:rPr>
              <w:t>(</w:t>
            </w:r>
            <w:r w:rsidR="00510D4E" w:rsidRPr="007A75EC">
              <w:rPr>
                <w:sz w:val="16"/>
                <w:szCs w:val="16"/>
                <w:lang w:val="en-GB"/>
              </w:rPr>
              <w:t>25%</w:t>
            </w:r>
            <w:r w:rsidR="00E315B8" w:rsidRPr="007A75EC">
              <w:rPr>
                <w:sz w:val="16"/>
                <w:szCs w:val="16"/>
                <w:lang w:val="en-GB"/>
              </w:rPr>
              <w:t xml:space="preserve"> </w:t>
            </w:r>
            <w:r w:rsidR="009E3ED6" w:rsidRPr="007A75EC">
              <w:rPr>
                <w:sz w:val="16"/>
                <w:szCs w:val="16"/>
                <w:lang w:val="en-GB"/>
              </w:rPr>
              <w:t>w</w:t>
            </w:r>
            <w:r w:rsidR="00E315B8" w:rsidRPr="007A75EC">
              <w:rPr>
                <w:sz w:val="16"/>
                <w:szCs w:val="16"/>
                <w:lang w:val="en-GB"/>
              </w:rPr>
              <w:t>omen</w:t>
            </w:r>
            <w:r w:rsidR="009E3ED6" w:rsidRPr="007A75EC">
              <w:rPr>
                <w:sz w:val="16"/>
                <w:szCs w:val="16"/>
                <w:lang w:val="en-GB"/>
              </w:rPr>
              <w:t>)</w:t>
            </w:r>
          </w:p>
          <w:p w:rsidR="006161DC" w:rsidRPr="007A75EC" w:rsidRDefault="006161DC" w:rsidP="005C7FA2">
            <w:pPr>
              <w:jc w:val="both"/>
              <w:rPr>
                <w:rFonts w:eastAsia="Calibri"/>
                <w:b/>
                <w:sz w:val="16"/>
                <w:szCs w:val="16"/>
                <w:lang w:val="en-GB"/>
              </w:rPr>
            </w:pPr>
          </w:p>
          <w:p w:rsidR="00680ACF" w:rsidRPr="007A75EC" w:rsidRDefault="00070227" w:rsidP="005C7FA2">
            <w:pPr>
              <w:jc w:val="both"/>
              <w:rPr>
                <w:rFonts w:eastAsia="Calibri"/>
                <w:sz w:val="16"/>
                <w:szCs w:val="16"/>
                <w:lang w:val="en-GB"/>
              </w:rPr>
            </w:pPr>
            <w:r w:rsidRPr="007A75EC">
              <w:rPr>
                <w:rFonts w:eastAsia="Calibri"/>
                <w:b/>
                <w:sz w:val="16"/>
                <w:szCs w:val="16"/>
                <w:lang w:val="en-GB"/>
              </w:rPr>
              <w:t>Output 3.2</w:t>
            </w:r>
            <w:r w:rsidR="009E3ED6" w:rsidRPr="00CA06FC">
              <w:rPr>
                <w:rFonts w:eastAsia="Calibri"/>
                <w:b/>
                <w:sz w:val="16"/>
                <w:szCs w:val="16"/>
                <w:lang w:val="en-GB"/>
              </w:rPr>
              <w:t>.</w:t>
            </w:r>
            <w:r w:rsidRPr="007A75EC">
              <w:rPr>
                <w:rFonts w:eastAsia="Calibri"/>
                <w:b/>
                <w:sz w:val="16"/>
                <w:szCs w:val="16"/>
                <w:lang w:val="en-GB"/>
              </w:rPr>
              <w:t xml:space="preserve"> </w:t>
            </w:r>
            <w:r w:rsidR="00650C37" w:rsidRPr="007A75EC">
              <w:rPr>
                <w:rFonts w:eastAsia="Calibri"/>
                <w:b/>
                <w:sz w:val="16"/>
                <w:szCs w:val="16"/>
                <w:lang w:val="en-GB"/>
              </w:rPr>
              <w:t>Gender</w:t>
            </w:r>
            <w:r w:rsidR="009E3ED6" w:rsidRPr="007A75EC">
              <w:rPr>
                <w:rFonts w:eastAsia="Calibri"/>
                <w:b/>
                <w:sz w:val="16"/>
                <w:szCs w:val="16"/>
                <w:lang w:val="en-GB"/>
              </w:rPr>
              <w:t>-</w:t>
            </w:r>
            <w:r w:rsidR="00650C37" w:rsidRPr="007A75EC">
              <w:rPr>
                <w:rFonts w:eastAsia="Calibri"/>
                <w:b/>
                <w:sz w:val="16"/>
                <w:szCs w:val="16"/>
                <w:lang w:val="en-GB"/>
              </w:rPr>
              <w:t xml:space="preserve">responsive disaster and climate risk </w:t>
            </w:r>
            <w:r w:rsidRPr="007A75EC">
              <w:rPr>
                <w:rFonts w:eastAsia="Calibri"/>
                <w:b/>
                <w:sz w:val="16"/>
                <w:szCs w:val="16"/>
                <w:lang w:val="en-GB"/>
              </w:rPr>
              <w:t>management</w:t>
            </w:r>
            <w:r w:rsidR="00650C37" w:rsidRPr="007A75EC">
              <w:rPr>
                <w:rFonts w:eastAsia="Calibri"/>
                <w:b/>
                <w:sz w:val="16"/>
                <w:szCs w:val="16"/>
                <w:lang w:val="en-GB"/>
              </w:rPr>
              <w:t xml:space="preserve"> integrated in</w:t>
            </w:r>
            <w:r w:rsidR="009E3ED6" w:rsidRPr="007A75EC">
              <w:rPr>
                <w:rFonts w:eastAsia="Calibri"/>
                <w:b/>
                <w:sz w:val="16"/>
                <w:szCs w:val="16"/>
                <w:lang w:val="en-GB"/>
              </w:rPr>
              <w:t>to</w:t>
            </w:r>
            <w:r w:rsidR="00650C37" w:rsidRPr="007A75EC">
              <w:rPr>
                <w:rFonts w:eastAsia="Calibri"/>
                <w:b/>
                <w:sz w:val="16"/>
                <w:szCs w:val="16"/>
                <w:lang w:val="en-GB"/>
              </w:rPr>
              <w:t xml:space="preserve"> the development planning and budgetary frameworks of key sector</w:t>
            </w:r>
            <w:r w:rsidR="009E3ED6" w:rsidRPr="007A75EC">
              <w:rPr>
                <w:rFonts w:eastAsia="Calibri"/>
                <w:b/>
                <w:sz w:val="16"/>
                <w:szCs w:val="16"/>
                <w:lang w:val="en-GB"/>
              </w:rPr>
              <w:t>s</w:t>
            </w:r>
            <w:r w:rsidR="00CB75AB" w:rsidRPr="007A75EC">
              <w:rPr>
                <w:rFonts w:eastAsia="Calibri"/>
                <w:b/>
                <w:sz w:val="16"/>
                <w:szCs w:val="16"/>
                <w:lang w:val="en-GB"/>
              </w:rPr>
              <w:t>.</w:t>
            </w:r>
            <w:r w:rsidR="001D6CD0" w:rsidRPr="007A75EC">
              <w:rPr>
                <w:rStyle w:val="FootnoteReference"/>
                <w:rFonts w:eastAsia="Calibri"/>
                <w:sz w:val="16"/>
                <w:szCs w:val="16"/>
                <w:lang w:val="en-GB"/>
              </w:rPr>
              <w:footnoteReference w:id="61"/>
            </w:r>
          </w:p>
          <w:p w:rsidR="00070227" w:rsidRPr="007A75EC" w:rsidRDefault="00070227" w:rsidP="005C7FA2">
            <w:pPr>
              <w:jc w:val="both"/>
              <w:rPr>
                <w:rFonts w:eastAsia="Calibri"/>
                <w:sz w:val="16"/>
                <w:szCs w:val="16"/>
                <w:lang w:val="en-GB"/>
              </w:rPr>
            </w:pPr>
          </w:p>
          <w:p w:rsidR="005C7FA2" w:rsidRPr="007A75EC" w:rsidRDefault="005C7FA2" w:rsidP="006A1522">
            <w:pPr>
              <w:pStyle w:val="NoSpacing"/>
              <w:rPr>
                <w:iCs/>
                <w:sz w:val="16"/>
                <w:szCs w:val="16"/>
                <w:lang w:val="en-GB"/>
              </w:rPr>
            </w:pPr>
            <w:r w:rsidRPr="007A75EC">
              <w:rPr>
                <w:rFonts w:ascii="Times New Roman" w:eastAsia="Calibri" w:hAnsi="Times New Roman" w:cs="Times New Roman"/>
                <w:b/>
                <w:sz w:val="16"/>
                <w:szCs w:val="16"/>
                <w:lang w:val="en-GB"/>
              </w:rPr>
              <w:t xml:space="preserve">Indicator </w:t>
            </w:r>
            <w:r w:rsidR="005228C1" w:rsidRPr="007A75EC">
              <w:rPr>
                <w:rFonts w:ascii="Times New Roman" w:eastAsia="Calibri" w:hAnsi="Times New Roman" w:cs="Times New Roman"/>
                <w:b/>
                <w:sz w:val="16"/>
                <w:szCs w:val="16"/>
                <w:lang w:val="en-GB"/>
              </w:rPr>
              <w:t>3</w:t>
            </w:r>
            <w:r w:rsidRPr="007A75EC">
              <w:rPr>
                <w:rFonts w:ascii="Times New Roman" w:eastAsia="Calibri" w:hAnsi="Times New Roman" w:cs="Times New Roman"/>
                <w:b/>
                <w:sz w:val="16"/>
                <w:szCs w:val="16"/>
                <w:lang w:val="en-GB"/>
              </w:rPr>
              <w:t>.2.1</w:t>
            </w:r>
            <w:r w:rsidR="009E3ED6" w:rsidRPr="00CA06FC">
              <w:rPr>
                <w:rFonts w:ascii="Times New Roman" w:eastAsia="Calibri" w:hAnsi="Times New Roman" w:cs="Times New Roman"/>
                <w:b/>
                <w:sz w:val="16"/>
                <w:szCs w:val="16"/>
                <w:lang w:val="en-GB"/>
              </w:rPr>
              <w:t>.</w:t>
            </w:r>
            <w:r w:rsidRPr="007A75EC">
              <w:rPr>
                <w:rFonts w:ascii="Times New Roman" w:eastAsia="Calibri" w:hAnsi="Times New Roman" w:cs="Times New Roman"/>
                <w:b/>
                <w:sz w:val="16"/>
                <w:szCs w:val="16"/>
                <w:lang w:val="en-GB"/>
              </w:rPr>
              <w:t xml:space="preserve"> </w:t>
            </w:r>
            <w:r w:rsidR="00650C37" w:rsidRPr="007A75EC">
              <w:rPr>
                <w:rFonts w:ascii="Times New Roman" w:eastAsia="Calibri" w:hAnsi="Times New Roman" w:cs="Times New Roman"/>
                <w:sz w:val="16"/>
                <w:szCs w:val="16"/>
                <w:lang w:val="en-GB"/>
              </w:rPr>
              <w:t>Number</w:t>
            </w:r>
            <w:r w:rsidR="00CD7F23" w:rsidRPr="007A75EC">
              <w:rPr>
                <w:rFonts w:ascii="Times New Roman" w:eastAsia="Calibri" w:hAnsi="Times New Roman" w:cs="Times New Roman"/>
                <w:sz w:val="16"/>
                <w:szCs w:val="16"/>
                <w:lang w:val="en-GB"/>
              </w:rPr>
              <w:t xml:space="preserve"> </w:t>
            </w:r>
            <w:r w:rsidR="00013FCC" w:rsidRPr="007A75EC">
              <w:rPr>
                <w:rFonts w:ascii="Times New Roman" w:hAnsi="Times New Roman" w:cs="Times New Roman"/>
                <w:iCs/>
                <w:sz w:val="16"/>
                <w:szCs w:val="16"/>
                <w:lang w:val="en-GB"/>
              </w:rPr>
              <w:t>of districts with plans</w:t>
            </w:r>
            <w:r w:rsidR="009E3ED6" w:rsidRPr="00CA06FC">
              <w:rPr>
                <w:rFonts w:ascii="Times New Roman" w:hAnsi="Times New Roman" w:cs="Times New Roman"/>
                <w:iCs/>
                <w:sz w:val="16"/>
                <w:szCs w:val="16"/>
                <w:lang w:val="en-GB"/>
              </w:rPr>
              <w:t xml:space="preserve"> or </w:t>
            </w:r>
            <w:r w:rsidR="00CD7F23" w:rsidRPr="007A75EC">
              <w:rPr>
                <w:rFonts w:ascii="Times New Roman" w:hAnsi="Times New Roman" w:cs="Times New Roman"/>
                <w:iCs/>
                <w:sz w:val="16"/>
                <w:szCs w:val="16"/>
                <w:lang w:val="en-GB"/>
              </w:rPr>
              <w:t>strategies for enhanced resilience to climate change impacts.</w:t>
            </w:r>
          </w:p>
          <w:p w:rsidR="00E97C8C" w:rsidRPr="007A75EC" w:rsidRDefault="00E97C8C" w:rsidP="007A75EC">
            <w:pPr>
              <w:jc w:val="both"/>
              <w:rPr>
                <w:sz w:val="16"/>
                <w:szCs w:val="16"/>
                <w:lang w:val="en-GB"/>
              </w:rPr>
            </w:pPr>
            <w:r w:rsidRPr="007A75EC">
              <w:rPr>
                <w:b/>
                <w:i/>
                <w:sz w:val="16"/>
                <w:szCs w:val="16"/>
                <w:lang w:val="en-GB"/>
              </w:rPr>
              <w:t>Baseline</w:t>
            </w:r>
            <w:r w:rsidR="00C67846" w:rsidRPr="007A75EC">
              <w:rPr>
                <w:b/>
                <w:i/>
                <w:sz w:val="16"/>
                <w:szCs w:val="16"/>
                <w:lang w:val="en-GB"/>
              </w:rPr>
              <w:t>:</w:t>
            </w:r>
            <w:r w:rsidR="00C67846" w:rsidRPr="007A75EC">
              <w:rPr>
                <w:b/>
                <w:sz w:val="16"/>
                <w:szCs w:val="16"/>
                <w:lang w:val="en-GB"/>
              </w:rPr>
              <w:t xml:space="preserve"> </w:t>
            </w:r>
            <w:r w:rsidRPr="007A75EC">
              <w:rPr>
                <w:b/>
                <w:sz w:val="16"/>
                <w:szCs w:val="16"/>
                <w:lang w:val="en-GB"/>
              </w:rPr>
              <w:t xml:space="preserve"> </w:t>
            </w:r>
            <w:r w:rsidR="0087763C" w:rsidRPr="007A75EC">
              <w:rPr>
                <w:sz w:val="16"/>
                <w:szCs w:val="16"/>
                <w:lang w:val="en-GB"/>
              </w:rPr>
              <w:t>0</w:t>
            </w:r>
          </w:p>
          <w:p w:rsidR="00784E6A" w:rsidRPr="007A75EC" w:rsidRDefault="00E97C8C" w:rsidP="007A75EC">
            <w:pPr>
              <w:spacing w:after="120"/>
              <w:rPr>
                <w:b/>
                <w:sz w:val="16"/>
                <w:szCs w:val="16"/>
                <w:lang w:val="en-GB"/>
              </w:rPr>
            </w:pPr>
            <w:r w:rsidRPr="007A75EC">
              <w:rPr>
                <w:b/>
                <w:i/>
                <w:sz w:val="16"/>
                <w:szCs w:val="16"/>
                <w:lang w:val="en-GB"/>
              </w:rPr>
              <w:t>Target</w:t>
            </w:r>
            <w:r w:rsidR="00C67846" w:rsidRPr="007A75EC">
              <w:rPr>
                <w:b/>
                <w:i/>
                <w:sz w:val="16"/>
                <w:szCs w:val="16"/>
                <w:lang w:val="en-GB"/>
              </w:rPr>
              <w:t>:</w:t>
            </w:r>
            <w:r w:rsidR="00C67846" w:rsidRPr="007A75EC">
              <w:rPr>
                <w:b/>
                <w:sz w:val="16"/>
                <w:szCs w:val="16"/>
                <w:lang w:val="en-GB"/>
              </w:rPr>
              <w:t xml:space="preserve"> </w:t>
            </w:r>
            <w:r w:rsidR="00070227" w:rsidRPr="007A75EC">
              <w:rPr>
                <w:sz w:val="16"/>
                <w:szCs w:val="16"/>
                <w:lang w:val="en-GB"/>
              </w:rPr>
              <w:t>2</w:t>
            </w:r>
          </w:p>
          <w:p w:rsidR="006E59EC" w:rsidRPr="007A75EC" w:rsidRDefault="006E59EC" w:rsidP="007A75EC">
            <w:pPr>
              <w:spacing w:after="120"/>
              <w:jc w:val="both"/>
              <w:rPr>
                <w:rFonts w:eastAsia="Calibri"/>
                <w:sz w:val="16"/>
                <w:szCs w:val="16"/>
                <w:lang w:val="en-GB"/>
              </w:rPr>
            </w:pPr>
            <w:r w:rsidRPr="007A75EC">
              <w:rPr>
                <w:rFonts w:eastAsia="Calibri"/>
                <w:b/>
                <w:sz w:val="16"/>
                <w:szCs w:val="16"/>
                <w:lang w:val="en-GB"/>
              </w:rPr>
              <w:t>Output 3.3.</w:t>
            </w:r>
            <w:r w:rsidRPr="007A75EC">
              <w:rPr>
                <w:rFonts w:eastAsia="Calibri"/>
                <w:sz w:val="16"/>
                <w:szCs w:val="16"/>
                <w:lang w:val="en-GB"/>
              </w:rPr>
              <w:t xml:space="preserve"> Scaled</w:t>
            </w:r>
            <w:r w:rsidR="007C5565" w:rsidRPr="007A75EC">
              <w:rPr>
                <w:rFonts w:eastAsia="Calibri"/>
                <w:sz w:val="16"/>
                <w:szCs w:val="16"/>
                <w:lang w:val="en-GB"/>
              </w:rPr>
              <w:t>-</w:t>
            </w:r>
            <w:r w:rsidRPr="007A75EC">
              <w:rPr>
                <w:rFonts w:eastAsia="Calibri"/>
                <w:sz w:val="16"/>
                <w:szCs w:val="16"/>
                <w:lang w:val="en-GB"/>
              </w:rPr>
              <w:t>up action</w:t>
            </w:r>
            <w:r w:rsidR="007C5565" w:rsidRPr="007A75EC">
              <w:rPr>
                <w:rFonts w:eastAsia="Calibri"/>
                <w:sz w:val="16"/>
                <w:szCs w:val="16"/>
                <w:lang w:val="en-GB"/>
              </w:rPr>
              <w:t>s</w:t>
            </w:r>
            <w:r w:rsidRPr="007A75EC">
              <w:rPr>
                <w:rFonts w:eastAsia="Calibri"/>
                <w:sz w:val="16"/>
                <w:szCs w:val="16"/>
                <w:lang w:val="en-GB"/>
              </w:rPr>
              <w:t xml:space="preserve"> on climate change adaptation and mitigation implemented.</w:t>
            </w:r>
          </w:p>
          <w:p w:rsidR="006E59EC" w:rsidRPr="007A75EC" w:rsidRDefault="006E59EC" w:rsidP="006E59EC">
            <w:pPr>
              <w:jc w:val="both"/>
              <w:rPr>
                <w:rFonts w:eastAsia="Calibri"/>
                <w:sz w:val="16"/>
                <w:szCs w:val="16"/>
                <w:lang w:val="en-GB"/>
              </w:rPr>
            </w:pPr>
            <w:r w:rsidRPr="007A75EC">
              <w:rPr>
                <w:rFonts w:eastAsia="Calibri"/>
                <w:b/>
                <w:sz w:val="16"/>
                <w:szCs w:val="16"/>
                <w:lang w:val="en-GB"/>
              </w:rPr>
              <w:t>Indicator 3.3.1</w:t>
            </w:r>
            <w:r w:rsidR="009E3ED6" w:rsidRPr="00CA06FC">
              <w:rPr>
                <w:rFonts w:eastAsia="Calibri"/>
                <w:b/>
                <w:sz w:val="16"/>
                <w:szCs w:val="16"/>
                <w:lang w:val="en-GB"/>
              </w:rPr>
              <w:t>.</w:t>
            </w:r>
            <w:r w:rsidRPr="007A75EC">
              <w:rPr>
                <w:rFonts w:eastAsia="Calibri"/>
                <w:sz w:val="16"/>
                <w:szCs w:val="16"/>
                <w:lang w:val="en-GB"/>
              </w:rPr>
              <w:t xml:space="preserve"> Number of systems in place to monitor, report and verify use of climate finance</w:t>
            </w:r>
            <w:r w:rsidR="00057C90" w:rsidRPr="007A75EC">
              <w:rPr>
                <w:rFonts w:eastAsia="Calibri"/>
                <w:sz w:val="16"/>
                <w:szCs w:val="16"/>
                <w:lang w:val="en-GB"/>
              </w:rPr>
              <w:t>.</w:t>
            </w:r>
          </w:p>
          <w:p w:rsidR="006E59EC" w:rsidRPr="007A75EC" w:rsidRDefault="006E59EC" w:rsidP="006E59EC">
            <w:pPr>
              <w:jc w:val="both"/>
              <w:rPr>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2</w:t>
            </w:r>
            <w:r w:rsidR="00057C90" w:rsidRPr="007A75EC">
              <w:rPr>
                <w:rStyle w:val="FootnoteReference"/>
                <w:sz w:val="16"/>
                <w:szCs w:val="16"/>
                <w:lang w:val="en-GB"/>
              </w:rPr>
              <w:footnoteReference w:id="62"/>
            </w:r>
          </w:p>
          <w:p w:rsidR="006E59EC" w:rsidRPr="007A75EC" w:rsidRDefault="006E59EC" w:rsidP="007A75EC">
            <w:pPr>
              <w:spacing w:after="120"/>
              <w:jc w:val="both"/>
              <w:rPr>
                <w:b/>
                <w:sz w:val="16"/>
                <w:szCs w:val="16"/>
                <w:lang w:val="en-GB"/>
              </w:rPr>
            </w:pPr>
            <w:r w:rsidRPr="007A75EC">
              <w:rPr>
                <w:b/>
                <w:i/>
                <w:sz w:val="16"/>
                <w:szCs w:val="16"/>
                <w:lang w:val="en-GB"/>
              </w:rPr>
              <w:t>Target:</w:t>
            </w:r>
            <w:r w:rsidRPr="007A75EC">
              <w:rPr>
                <w:b/>
                <w:sz w:val="16"/>
                <w:szCs w:val="16"/>
                <w:lang w:val="en-GB"/>
              </w:rPr>
              <w:t xml:space="preserve"> </w:t>
            </w:r>
            <w:r w:rsidRPr="007A75EC">
              <w:rPr>
                <w:sz w:val="16"/>
                <w:szCs w:val="16"/>
                <w:lang w:val="en-GB"/>
              </w:rPr>
              <w:t xml:space="preserve"> 5</w:t>
            </w:r>
          </w:p>
          <w:p w:rsidR="006E59EC" w:rsidRPr="007A75EC" w:rsidRDefault="006E59EC" w:rsidP="006E59EC">
            <w:pPr>
              <w:jc w:val="both"/>
              <w:rPr>
                <w:sz w:val="16"/>
                <w:szCs w:val="16"/>
                <w:lang w:val="en-GB"/>
              </w:rPr>
            </w:pPr>
            <w:r w:rsidRPr="007A75EC">
              <w:rPr>
                <w:b/>
                <w:sz w:val="16"/>
                <w:szCs w:val="16"/>
                <w:lang w:val="en-GB"/>
              </w:rPr>
              <w:t xml:space="preserve">Indicator 3.3.2. </w:t>
            </w:r>
            <w:r w:rsidRPr="007A75EC">
              <w:rPr>
                <w:sz w:val="16"/>
                <w:szCs w:val="16"/>
                <w:lang w:val="en-GB"/>
              </w:rPr>
              <w:t>Number of comprehensive plans, strategies,</w:t>
            </w:r>
            <w:r w:rsidR="007C5565" w:rsidRPr="007A75EC">
              <w:rPr>
                <w:sz w:val="16"/>
                <w:szCs w:val="16"/>
                <w:lang w:val="en-GB"/>
              </w:rPr>
              <w:t xml:space="preserve"> policies and programmes</w:t>
            </w:r>
            <w:r w:rsidRPr="007A75EC">
              <w:rPr>
                <w:sz w:val="16"/>
                <w:szCs w:val="16"/>
                <w:lang w:val="en-GB"/>
              </w:rPr>
              <w:t xml:space="preserve"> implemented to achieve low-emission and climate-resilient development objectives.</w:t>
            </w:r>
          </w:p>
          <w:p w:rsidR="006E59EC" w:rsidRPr="007A75EC" w:rsidRDefault="006E59EC" w:rsidP="006E59EC">
            <w:pPr>
              <w:jc w:val="both"/>
              <w:rPr>
                <w:sz w:val="16"/>
                <w:szCs w:val="16"/>
                <w:lang w:val="en-GB"/>
              </w:rPr>
            </w:pPr>
            <w:r w:rsidRPr="007A75EC">
              <w:rPr>
                <w:b/>
                <w:i/>
                <w:sz w:val="16"/>
                <w:szCs w:val="16"/>
                <w:lang w:val="en-GB"/>
              </w:rPr>
              <w:t>Baseline</w:t>
            </w:r>
            <w:r w:rsidR="009E3ED6" w:rsidRPr="007A75EC">
              <w:rPr>
                <w:b/>
                <w:i/>
                <w:sz w:val="16"/>
                <w:szCs w:val="16"/>
                <w:lang w:val="en-GB"/>
              </w:rPr>
              <w:t>:</w:t>
            </w:r>
            <w:r w:rsidRPr="007A75EC">
              <w:rPr>
                <w:sz w:val="16"/>
                <w:szCs w:val="16"/>
                <w:lang w:val="en-GB"/>
              </w:rPr>
              <w:t xml:space="preserve">   3</w:t>
            </w:r>
            <w:r w:rsidR="00057C90" w:rsidRPr="007A75EC">
              <w:rPr>
                <w:rStyle w:val="FootnoteReference"/>
                <w:sz w:val="16"/>
                <w:szCs w:val="16"/>
                <w:lang w:val="en-GB"/>
              </w:rPr>
              <w:footnoteReference w:id="63"/>
            </w:r>
            <w:r w:rsidRPr="007A75EC">
              <w:rPr>
                <w:b/>
                <w:sz w:val="16"/>
                <w:szCs w:val="16"/>
                <w:lang w:val="en-GB"/>
              </w:rPr>
              <w:t xml:space="preserve"> </w:t>
            </w:r>
          </w:p>
          <w:p w:rsidR="006E59EC" w:rsidRPr="007A75EC" w:rsidRDefault="006E59EC" w:rsidP="006E59EC">
            <w:pPr>
              <w:jc w:val="both"/>
              <w:rPr>
                <w:b/>
                <w:sz w:val="16"/>
                <w:szCs w:val="16"/>
                <w:lang w:val="en-GB"/>
              </w:rPr>
            </w:pPr>
            <w:r w:rsidRPr="007A75EC">
              <w:rPr>
                <w:b/>
                <w:i/>
                <w:sz w:val="16"/>
                <w:szCs w:val="16"/>
                <w:lang w:val="en-GB"/>
              </w:rPr>
              <w:t>Target:</w:t>
            </w:r>
            <w:r w:rsidRPr="007A75EC">
              <w:rPr>
                <w:b/>
                <w:sz w:val="16"/>
                <w:szCs w:val="16"/>
                <w:lang w:val="en-GB"/>
              </w:rPr>
              <w:t xml:space="preserve"> </w:t>
            </w:r>
            <w:r w:rsidRPr="007A75EC">
              <w:rPr>
                <w:sz w:val="16"/>
                <w:szCs w:val="16"/>
                <w:lang w:val="en-GB"/>
              </w:rPr>
              <w:t xml:space="preserve"> 6</w:t>
            </w:r>
          </w:p>
          <w:p w:rsidR="006E59EC" w:rsidRPr="007A75EC" w:rsidRDefault="006E59EC" w:rsidP="006E59EC">
            <w:pPr>
              <w:jc w:val="both"/>
              <w:rPr>
                <w:sz w:val="16"/>
                <w:szCs w:val="16"/>
                <w:lang w:val="en-GB"/>
              </w:rPr>
            </w:pPr>
            <w:r w:rsidRPr="007A75EC">
              <w:rPr>
                <w:b/>
                <w:sz w:val="16"/>
                <w:szCs w:val="16"/>
                <w:lang w:val="en-GB"/>
              </w:rPr>
              <w:lastRenderedPageBreak/>
              <w:t>Output 3.4.</w:t>
            </w:r>
            <w:r w:rsidRPr="007A75EC">
              <w:rPr>
                <w:sz w:val="16"/>
                <w:szCs w:val="16"/>
                <w:lang w:val="en-GB"/>
              </w:rPr>
              <w:t xml:space="preserve"> Inclusive and sustainable solutions adopted to achieve increased </w:t>
            </w:r>
            <w:r w:rsidR="00013FCC" w:rsidRPr="007A75EC">
              <w:rPr>
                <w:sz w:val="16"/>
                <w:szCs w:val="16"/>
                <w:lang w:val="en-GB"/>
              </w:rPr>
              <w:t xml:space="preserve">renewable </w:t>
            </w:r>
            <w:r w:rsidRPr="007A75EC">
              <w:rPr>
                <w:sz w:val="16"/>
                <w:szCs w:val="16"/>
                <w:lang w:val="en-GB"/>
              </w:rPr>
              <w:t xml:space="preserve">energy </w:t>
            </w:r>
            <w:r w:rsidR="00013FCC" w:rsidRPr="007A75EC">
              <w:rPr>
                <w:sz w:val="16"/>
                <w:szCs w:val="16"/>
                <w:lang w:val="en-GB"/>
              </w:rPr>
              <w:t xml:space="preserve">access and </w:t>
            </w:r>
            <w:r w:rsidRPr="007A75EC">
              <w:rPr>
                <w:sz w:val="16"/>
                <w:szCs w:val="16"/>
                <w:lang w:val="en-GB"/>
              </w:rPr>
              <w:t>efficiency</w:t>
            </w:r>
            <w:r w:rsidR="00CB75AB" w:rsidRPr="007A75EC">
              <w:rPr>
                <w:sz w:val="16"/>
                <w:szCs w:val="16"/>
                <w:lang w:val="en-GB"/>
              </w:rPr>
              <w:t>.</w:t>
            </w:r>
            <w:r w:rsidR="00402F67" w:rsidRPr="007A75EC">
              <w:rPr>
                <w:rStyle w:val="FootnoteReference"/>
                <w:sz w:val="16"/>
                <w:szCs w:val="16"/>
                <w:lang w:val="en-GB"/>
              </w:rPr>
              <w:footnoteReference w:id="64"/>
            </w:r>
          </w:p>
          <w:p w:rsidR="002661EE" w:rsidRPr="007A75EC" w:rsidRDefault="002661EE" w:rsidP="006E59EC">
            <w:pPr>
              <w:jc w:val="both"/>
              <w:rPr>
                <w:sz w:val="16"/>
                <w:szCs w:val="16"/>
                <w:lang w:val="en-GB"/>
              </w:rPr>
            </w:pPr>
          </w:p>
          <w:p w:rsidR="006E59EC" w:rsidRPr="007A75EC" w:rsidRDefault="006E59EC" w:rsidP="006E59EC">
            <w:pPr>
              <w:jc w:val="both"/>
              <w:rPr>
                <w:sz w:val="16"/>
                <w:szCs w:val="16"/>
                <w:lang w:val="en-GB"/>
              </w:rPr>
            </w:pPr>
            <w:r w:rsidRPr="007A75EC">
              <w:rPr>
                <w:b/>
                <w:sz w:val="16"/>
                <w:szCs w:val="16"/>
                <w:lang w:val="en-GB"/>
              </w:rPr>
              <w:t>Indicator 3.4.1</w:t>
            </w:r>
            <w:r w:rsidR="009E3ED6" w:rsidRPr="00522402">
              <w:rPr>
                <w:b/>
                <w:sz w:val="16"/>
                <w:szCs w:val="16"/>
                <w:lang w:val="en-GB"/>
              </w:rPr>
              <w:t>.</w:t>
            </w:r>
            <w:r w:rsidRPr="007A75EC">
              <w:rPr>
                <w:sz w:val="16"/>
                <w:szCs w:val="16"/>
                <w:lang w:val="en-GB"/>
              </w:rPr>
              <w:t xml:space="preserve"> Number of </w:t>
            </w:r>
            <w:r w:rsidR="003E0EB9" w:rsidRPr="007A75EC">
              <w:rPr>
                <w:sz w:val="16"/>
                <w:szCs w:val="16"/>
                <w:lang w:val="en-GB"/>
              </w:rPr>
              <w:t xml:space="preserve">new </w:t>
            </w:r>
            <w:r w:rsidRPr="007A75EC">
              <w:rPr>
                <w:sz w:val="16"/>
                <w:szCs w:val="16"/>
                <w:lang w:val="en-GB"/>
              </w:rPr>
              <w:t xml:space="preserve">development partnerships </w:t>
            </w:r>
            <w:r w:rsidR="00057C90" w:rsidRPr="007A75EC">
              <w:rPr>
                <w:sz w:val="16"/>
                <w:szCs w:val="16"/>
                <w:lang w:val="en-GB"/>
              </w:rPr>
              <w:t>for improved</w:t>
            </w:r>
            <w:r w:rsidR="003E0EB9" w:rsidRPr="007A75EC">
              <w:rPr>
                <w:sz w:val="16"/>
                <w:szCs w:val="16"/>
                <w:lang w:val="en-GB"/>
              </w:rPr>
              <w:t>,</w:t>
            </w:r>
            <w:r w:rsidR="00057C90" w:rsidRPr="007A75EC">
              <w:rPr>
                <w:sz w:val="16"/>
                <w:szCs w:val="16"/>
                <w:lang w:val="en-GB"/>
              </w:rPr>
              <w:t xml:space="preserve"> </w:t>
            </w:r>
            <w:r w:rsidR="003E0EB9" w:rsidRPr="007A75EC">
              <w:rPr>
                <w:sz w:val="16"/>
                <w:szCs w:val="16"/>
                <w:lang w:val="en-GB"/>
              </w:rPr>
              <w:t xml:space="preserve">efficient and sustainable </w:t>
            </w:r>
            <w:r w:rsidRPr="007A75EC">
              <w:rPr>
                <w:sz w:val="16"/>
                <w:szCs w:val="16"/>
                <w:lang w:val="en-GB"/>
              </w:rPr>
              <w:t>energy solutions targeting underserved communities/groups and women</w:t>
            </w:r>
            <w:r w:rsidR="00057C90" w:rsidRPr="007A75EC">
              <w:rPr>
                <w:sz w:val="16"/>
                <w:szCs w:val="16"/>
                <w:lang w:val="en-GB"/>
              </w:rPr>
              <w:t>.</w:t>
            </w:r>
          </w:p>
          <w:p w:rsidR="006E59EC" w:rsidRPr="007A75EC" w:rsidRDefault="006E59EC" w:rsidP="006E59EC">
            <w:pPr>
              <w:jc w:val="both"/>
              <w:rPr>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1</w:t>
            </w:r>
            <w:r w:rsidR="00F45604" w:rsidRPr="007A75EC">
              <w:rPr>
                <w:rStyle w:val="FootnoteReference"/>
                <w:sz w:val="16"/>
                <w:szCs w:val="16"/>
                <w:lang w:val="en-GB"/>
              </w:rPr>
              <w:footnoteReference w:id="65"/>
            </w:r>
          </w:p>
          <w:p w:rsidR="006E59EC" w:rsidRPr="007A75EC" w:rsidRDefault="006E59EC" w:rsidP="006E59EC">
            <w:pPr>
              <w:jc w:val="both"/>
              <w:rPr>
                <w:b/>
                <w:sz w:val="16"/>
                <w:szCs w:val="16"/>
                <w:lang w:val="en-GB"/>
              </w:rPr>
            </w:pPr>
            <w:r w:rsidRPr="007A75EC">
              <w:rPr>
                <w:b/>
                <w:i/>
                <w:sz w:val="16"/>
                <w:szCs w:val="16"/>
                <w:lang w:val="en-GB"/>
              </w:rPr>
              <w:t>Target:</w:t>
            </w:r>
            <w:r w:rsidRPr="007A75EC">
              <w:rPr>
                <w:b/>
                <w:sz w:val="16"/>
                <w:szCs w:val="16"/>
                <w:lang w:val="en-GB"/>
              </w:rPr>
              <w:t xml:space="preserve">  </w:t>
            </w:r>
            <w:r w:rsidRPr="007A75EC">
              <w:rPr>
                <w:sz w:val="16"/>
                <w:szCs w:val="16"/>
                <w:lang w:val="en-GB"/>
              </w:rPr>
              <w:t>5</w:t>
            </w:r>
          </w:p>
          <w:p w:rsidR="00B80238" w:rsidRPr="007A75EC" w:rsidRDefault="00B80238" w:rsidP="006E59EC">
            <w:pPr>
              <w:jc w:val="both"/>
              <w:rPr>
                <w:b/>
                <w:sz w:val="16"/>
                <w:szCs w:val="16"/>
                <w:lang w:val="en-GB"/>
              </w:rPr>
            </w:pPr>
          </w:p>
          <w:p w:rsidR="006E59EC" w:rsidRPr="007A75EC" w:rsidRDefault="006E59EC" w:rsidP="006E59EC">
            <w:pPr>
              <w:jc w:val="both"/>
              <w:rPr>
                <w:sz w:val="16"/>
                <w:szCs w:val="16"/>
                <w:lang w:val="en-GB"/>
              </w:rPr>
            </w:pPr>
            <w:r w:rsidRPr="00522402">
              <w:rPr>
                <w:b/>
                <w:sz w:val="16"/>
                <w:szCs w:val="16"/>
                <w:lang w:val="en-GB"/>
              </w:rPr>
              <w:t xml:space="preserve">Indicator </w:t>
            </w:r>
            <w:r w:rsidRPr="007A75EC">
              <w:rPr>
                <w:b/>
                <w:sz w:val="16"/>
                <w:szCs w:val="16"/>
                <w:lang w:val="en-GB"/>
              </w:rPr>
              <w:t>3.4.2</w:t>
            </w:r>
            <w:r w:rsidR="009E3ED6" w:rsidRPr="00522402">
              <w:rPr>
                <w:b/>
                <w:sz w:val="16"/>
                <w:szCs w:val="16"/>
                <w:lang w:val="en-GB"/>
              </w:rPr>
              <w:t>.</w:t>
            </w:r>
            <w:r w:rsidRPr="007A75EC">
              <w:rPr>
                <w:sz w:val="16"/>
                <w:szCs w:val="16"/>
                <w:lang w:val="en-GB"/>
              </w:rPr>
              <w:t xml:space="preserve"> Proportion of </w:t>
            </w:r>
            <w:r w:rsidR="00794222" w:rsidRPr="007A75EC">
              <w:rPr>
                <w:sz w:val="16"/>
                <w:szCs w:val="16"/>
                <w:lang w:val="en-GB"/>
              </w:rPr>
              <w:t>p</w:t>
            </w:r>
            <w:r w:rsidRPr="007A75EC">
              <w:rPr>
                <w:sz w:val="16"/>
                <w:szCs w:val="16"/>
                <w:lang w:val="en-GB"/>
              </w:rPr>
              <w:t xml:space="preserve">opulation with </w:t>
            </w:r>
            <w:r w:rsidR="002661EE" w:rsidRPr="007A75EC">
              <w:rPr>
                <w:sz w:val="16"/>
                <w:szCs w:val="16"/>
                <w:lang w:val="en-GB"/>
              </w:rPr>
              <w:t>a</w:t>
            </w:r>
            <w:r w:rsidRPr="007A75EC">
              <w:rPr>
                <w:sz w:val="16"/>
                <w:szCs w:val="16"/>
                <w:lang w:val="en-GB"/>
              </w:rPr>
              <w:t>ccess to energy</w:t>
            </w:r>
            <w:r w:rsidR="00A94FC1" w:rsidRPr="007A75EC">
              <w:rPr>
                <w:sz w:val="16"/>
                <w:szCs w:val="16"/>
                <w:lang w:val="en-GB"/>
              </w:rPr>
              <w:t>.</w:t>
            </w:r>
          </w:p>
          <w:p w:rsidR="006E59EC" w:rsidRPr="007A75EC" w:rsidRDefault="006E59EC" w:rsidP="006E59EC">
            <w:pPr>
              <w:jc w:val="both"/>
              <w:rPr>
                <w:sz w:val="16"/>
                <w:szCs w:val="16"/>
                <w:lang w:val="en-GB"/>
              </w:rPr>
            </w:pPr>
            <w:r w:rsidRPr="007A75EC">
              <w:rPr>
                <w:b/>
                <w:i/>
                <w:sz w:val="16"/>
                <w:szCs w:val="16"/>
                <w:lang w:val="en-GB"/>
              </w:rPr>
              <w:t>Baseline:</w:t>
            </w:r>
            <w:r w:rsidRPr="007A75EC">
              <w:rPr>
                <w:b/>
                <w:sz w:val="16"/>
                <w:szCs w:val="16"/>
                <w:lang w:val="en-GB"/>
              </w:rPr>
              <w:t xml:space="preserve">  </w:t>
            </w:r>
            <w:r w:rsidRPr="007A75EC">
              <w:rPr>
                <w:sz w:val="16"/>
                <w:szCs w:val="16"/>
                <w:lang w:val="en-GB"/>
              </w:rPr>
              <w:t>37%</w:t>
            </w:r>
            <w:r w:rsidR="00F24793" w:rsidRPr="007A75EC">
              <w:rPr>
                <w:rStyle w:val="FootnoteReference"/>
                <w:sz w:val="16"/>
                <w:szCs w:val="16"/>
                <w:lang w:val="en-GB"/>
              </w:rPr>
              <w:footnoteReference w:id="66"/>
            </w:r>
          </w:p>
          <w:p w:rsidR="006E59EC" w:rsidRPr="007A75EC" w:rsidRDefault="006E59EC" w:rsidP="006E59EC">
            <w:pPr>
              <w:jc w:val="both"/>
              <w:rPr>
                <w:b/>
                <w:sz w:val="16"/>
                <w:szCs w:val="16"/>
                <w:lang w:val="en-GB"/>
              </w:rPr>
            </w:pPr>
            <w:r w:rsidRPr="007A75EC">
              <w:rPr>
                <w:b/>
                <w:i/>
                <w:sz w:val="16"/>
                <w:szCs w:val="16"/>
                <w:lang w:val="en-GB"/>
              </w:rPr>
              <w:t>Target:</w:t>
            </w:r>
            <w:r w:rsidRPr="007A75EC">
              <w:rPr>
                <w:b/>
                <w:sz w:val="16"/>
                <w:szCs w:val="16"/>
                <w:lang w:val="en-GB"/>
              </w:rPr>
              <w:t xml:space="preserve"> </w:t>
            </w:r>
            <w:r w:rsidRPr="007A75EC">
              <w:rPr>
                <w:sz w:val="16"/>
                <w:szCs w:val="16"/>
                <w:lang w:val="en-GB"/>
              </w:rPr>
              <w:t>76%</w:t>
            </w:r>
          </w:p>
          <w:p w:rsidR="006E59EC" w:rsidRPr="007A75EC" w:rsidRDefault="006E59EC" w:rsidP="006E59EC">
            <w:pPr>
              <w:jc w:val="both"/>
              <w:rPr>
                <w:sz w:val="16"/>
                <w:szCs w:val="16"/>
                <w:lang w:val="en-GB"/>
              </w:rPr>
            </w:pPr>
          </w:p>
          <w:p w:rsidR="006E59EC" w:rsidRPr="007A75EC" w:rsidRDefault="006E59EC" w:rsidP="006E59EC">
            <w:pPr>
              <w:jc w:val="both"/>
              <w:rPr>
                <w:sz w:val="16"/>
                <w:szCs w:val="16"/>
                <w:lang w:val="en-GB"/>
              </w:rPr>
            </w:pPr>
            <w:r w:rsidRPr="007A75EC">
              <w:rPr>
                <w:b/>
                <w:sz w:val="16"/>
                <w:szCs w:val="16"/>
                <w:lang w:val="en-GB"/>
              </w:rPr>
              <w:t>Output 3.5</w:t>
            </w:r>
            <w:r w:rsidR="00A94FC1" w:rsidRPr="007A75EC">
              <w:rPr>
                <w:sz w:val="16"/>
                <w:szCs w:val="16"/>
                <w:lang w:val="en-GB"/>
              </w:rPr>
              <w:t>: C</w:t>
            </w:r>
            <w:r w:rsidRPr="007A75EC">
              <w:rPr>
                <w:sz w:val="16"/>
                <w:szCs w:val="16"/>
                <w:lang w:val="en-GB"/>
              </w:rPr>
              <w:t xml:space="preserve">apacities of national and subnational </w:t>
            </w:r>
            <w:r w:rsidR="00A94FC1" w:rsidRPr="007A75EC">
              <w:rPr>
                <w:sz w:val="16"/>
                <w:szCs w:val="16"/>
                <w:lang w:val="en-GB"/>
              </w:rPr>
              <w:t>administrations enabled to enhance</w:t>
            </w:r>
            <w:r w:rsidRPr="007A75EC">
              <w:rPr>
                <w:sz w:val="16"/>
                <w:szCs w:val="16"/>
                <w:lang w:val="en-GB"/>
              </w:rPr>
              <w:t xml:space="preserve"> </w:t>
            </w:r>
            <w:r w:rsidR="00A94FC1" w:rsidRPr="007A75EC">
              <w:rPr>
                <w:sz w:val="16"/>
                <w:szCs w:val="16"/>
                <w:lang w:val="en-GB"/>
              </w:rPr>
              <w:t>c</w:t>
            </w:r>
            <w:r w:rsidRPr="007A75EC">
              <w:rPr>
                <w:sz w:val="16"/>
                <w:szCs w:val="16"/>
                <w:lang w:val="en-GB"/>
              </w:rPr>
              <w:t xml:space="preserve">onservation, sustainable management, and use of natural resources, biodiversity </w:t>
            </w:r>
            <w:r w:rsidR="007310D8" w:rsidRPr="00522402">
              <w:rPr>
                <w:sz w:val="16"/>
                <w:szCs w:val="16"/>
                <w:lang w:val="en-GB"/>
              </w:rPr>
              <w:t>and</w:t>
            </w:r>
            <w:r w:rsidRPr="007A75EC">
              <w:rPr>
                <w:sz w:val="16"/>
                <w:szCs w:val="16"/>
                <w:lang w:val="en-GB"/>
              </w:rPr>
              <w:t xml:space="preserve"> ecosystems</w:t>
            </w:r>
            <w:r w:rsidR="00A94FC1" w:rsidRPr="007A75EC">
              <w:rPr>
                <w:sz w:val="16"/>
                <w:szCs w:val="16"/>
                <w:lang w:val="en-GB"/>
              </w:rPr>
              <w:t>.</w:t>
            </w:r>
          </w:p>
          <w:p w:rsidR="006E59EC" w:rsidRPr="007A75EC" w:rsidRDefault="006E59EC" w:rsidP="006E59EC">
            <w:pPr>
              <w:jc w:val="both"/>
              <w:rPr>
                <w:sz w:val="16"/>
                <w:szCs w:val="16"/>
                <w:lang w:val="en-GB"/>
              </w:rPr>
            </w:pPr>
          </w:p>
          <w:p w:rsidR="006E59EC" w:rsidRPr="007A75EC" w:rsidRDefault="006E59EC" w:rsidP="006E59EC">
            <w:pPr>
              <w:jc w:val="both"/>
              <w:rPr>
                <w:sz w:val="16"/>
                <w:szCs w:val="16"/>
                <w:lang w:val="en-GB"/>
              </w:rPr>
            </w:pPr>
            <w:r w:rsidRPr="007A75EC">
              <w:rPr>
                <w:b/>
                <w:sz w:val="16"/>
                <w:szCs w:val="16"/>
                <w:lang w:val="en-GB"/>
              </w:rPr>
              <w:t>Indicator 3.5.1</w:t>
            </w:r>
            <w:r w:rsidR="007310D8" w:rsidRPr="007A75EC">
              <w:rPr>
                <w:b/>
                <w:sz w:val="16"/>
                <w:szCs w:val="16"/>
                <w:lang w:val="en-GB"/>
              </w:rPr>
              <w:t>.</w:t>
            </w:r>
            <w:r w:rsidRPr="007A75EC">
              <w:rPr>
                <w:sz w:val="16"/>
                <w:szCs w:val="16"/>
                <w:lang w:val="en-GB"/>
              </w:rPr>
              <w:t xml:space="preserve"> Number of communities benefiting from sustainable natural resources management</w:t>
            </w:r>
            <w:r w:rsidR="00A94FC1" w:rsidRPr="007A75EC">
              <w:rPr>
                <w:sz w:val="16"/>
                <w:szCs w:val="16"/>
                <w:lang w:val="en-GB"/>
              </w:rPr>
              <w:t>.</w:t>
            </w:r>
          </w:p>
          <w:p w:rsidR="006E59EC" w:rsidRPr="007A75EC" w:rsidRDefault="006E59EC" w:rsidP="006E59EC">
            <w:pPr>
              <w:jc w:val="both"/>
              <w:rPr>
                <w:b/>
                <w:sz w:val="16"/>
                <w:szCs w:val="16"/>
                <w:lang w:val="en-GB"/>
              </w:rPr>
            </w:pPr>
            <w:r w:rsidRPr="007A75EC">
              <w:rPr>
                <w:b/>
                <w:i/>
                <w:sz w:val="16"/>
                <w:szCs w:val="16"/>
                <w:lang w:val="en-GB"/>
              </w:rPr>
              <w:t>Baseline:</w:t>
            </w:r>
            <w:r w:rsidR="003F3C85" w:rsidRPr="007A75EC">
              <w:rPr>
                <w:b/>
                <w:sz w:val="16"/>
                <w:szCs w:val="16"/>
                <w:lang w:val="en-GB"/>
              </w:rPr>
              <w:t xml:space="preserve"> </w:t>
            </w:r>
            <w:r w:rsidR="003F3C85" w:rsidRPr="007A75EC">
              <w:rPr>
                <w:sz w:val="16"/>
                <w:szCs w:val="16"/>
                <w:lang w:val="en-GB"/>
              </w:rPr>
              <w:t>5</w:t>
            </w:r>
            <w:r w:rsidR="00224690" w:rsidRPr="007A75EC">
              <w:rPr>
                <w:sz w:val="16"/>
                <w:szCs w:val="16"/>
                <w:lang w:val="en-GB"/>
              </w:rPr>
              <w:t xml:space="preserve"> </w:t>
            </w:r>
            <w:r w:rsidR="003F3C85" w:rsidRPr="007A75EC">
              <w:rPr>
                <w:sz w:val="16"/>
                <w:szCs w:val="16"/>
                <w:lang w:val="en-GB"/>
              </w:rPr>
              <w:t xml:space="preserve">communities </w:t>
            </w:r>
            <w:r w:rsidR="007310D8" w:rsidRPr="00522402">
              <w:rPr>
                <w:sz w:val="16"/>
                <w:szCs w:val="16"/>
                <w:lang w:val="en-GB"/>
              </w:rPr>
              <w:t>(</w:t>
            </w:r>
            <w:r w:rsidR="003F3C85" w:rsidRPr="007A75EC">
              <w:rPr>
                <w:sz w:val="16"/>
                <w:szCs w:val="16"/>
                <w:lang w:val="en-GB"/>
              </w:rPr>
              <w:t>85% women</w:t>
            </w:r>
            <w:r w:rsidR="007310D8" w:rsidRPr="00522402">
              <w:rPr>
                <w:sz w:val="16"/>
                <w:szCs w:val="16"/>
                <w:lang w:val="en-GB"/>
              </w:rPr>
              <w:t>’s</w:t>
            </w:r>
            <w:r w:rsidR="00224690" w:rsidRPr="007A75EC">
              <w:rPr>
                <w:sz w:val="16"/>
                <w:szCs w:val="16"/>
                <w:lang w:val="en-GB"/>
              </w:rPr>
              <w:t xml:space="preserve"> </w:t>
            </w:r>
            <w:r w:rsidR="0078096E" w:rsidRPr="007A75EC">
              <w:rPr>
                <w:sz w:val="16"/>
                <w:szCs w:val="16"/>
                <w:lang w:val="en-GB"/>
              </w:rPr>
              <w:t>groups</w:t>
            </w:r>
            <w:r w:rsidR="007310D8" w:rsidRPr="00522402">
              <w:rPr>
                <w:sz w:val="16"/>
                <w:szCs w:val="16"/>
                <w:lang w:val="en-GB"/>
              </w:rPr>
              <w:t>)</w:t>
            </w:r>
          </w:p>
          <w:p w:rsidR="006E59EC" w:rsidRPr="007A75EC" w:rsidRDefault="006E59EC" w:rsidP="006E59EC">
            <w:pPr>
              <w:jc w:val="both"/>
              <w:rPr>
                <w:b/>
                <w:sz w:val="16"/>
                <w:szCs w:val="16"/>
                <w:lang w:val="en-GB"/>
              </w:rPr>
            </w:pPr>
            <w:r w:rsidRPr="007A75EC">
              <w:rPr>
                <w:b/>
                <w:i/>
                <w:sz w:val="16"/>
                <w:szCs w:val="16"/>
                <w:lang w:val="en-GB"/>
              </w:rPr>
              <w:t>Target:</w:t>
            </w:r>
            <w:r w:rsidRPr="007A75EC">
              <w:rPr>
                <w:b/>
                <w:sz w:val="16"/>
                <w:szCs w:val="16"/>
                <w:lang w:val="en-GB"/>
              </w:rPr>
              <w:t xml:space="preserve"> </w:t>
            </w:r>
            <w:r w:rsidR="003F3C85" w:rsidRPr="007A75EC">
              <w:rPr>
                <w:sz w:val="16"/>
                <w:szCs w:val="16"/>
                <w:lang w:val="en-GB"/>
              </w:rPr>
              <w:t xml:space="preserve">8 communities </w:t>
            </w:r>
            <w:r w:rsidR="007310D8" w:rsidRPr="00522402">
              <w:rPr>
                <w:sz w:val="16"/>
                <w:szCs w:val="16"/>
                <w:lang w:val="en-GB"/>
              </w:rPr>
              <w:t>(</w:t>
            </w:r>
            <w:r w:rsidR="0078096E" w:rsidRPr="007A75EC">
              <w:rPr>
                <w:sz w:val="16"/>
                <w:szCs w:val="16"/>
                <w:lang w:val="en-GB"/>
              </w:rPr>
              <w:t>90</w:t>
            </w:r>
            <w:r w:rsidR="003F3C85" w:rsidRPr="007A75EC">
              <w:rPr>
                <w:sz w:val="16"/>
                <w:szCs w:val="16"/>
                <w:lang w:val="en-GB"/>
              </w:rPr>
              <w:t>%</w:t>
            </w:r>
            <w:r w:rsidR="00224690" w:rsidRPr="007A75EC">
              <w:rPr>
                <w:sz w:val="16"/>
                <w:szCs w:val="16"/>
                <w:lang w:val="en-GB"/>
              </w:rPr>
              <w:t xml:space="preserve"> women</w:t>
            </w:r>
            <w:r w:rsidR="007310D8" w:rsidRPr="00522402">
              <w:rPr>
                <w:sz w:val="16"/>
                <w:szCs w:val="16"/>
                <w:lang w:val="en-GB"/>
              </w:rPr>
              <w:t>’s</w:t>
            </w:r>
            <w:r w:rsidR="00224690" w:rsidRPr="007A75EC">
              <w:rPr>
                <w:sz w:val="16"/>
                <w:szCs w:val="16"/>
                <w:lang w:val="en-GB"/>
              </w:rPr>
              <w:t xml:space="preserve"> groups</w:t>
            </w:r>
            <w:r w:rsidR="007310D8" w:rsidRPr="00522402">
              <w:rPr>
                <w:sz w:val="16"/>
                <w:szCs w:val="16"/>
                <w:lang w:val="en-GB"/>
              </w:rPr>
              <w:t>)</w:t>
            </w:r>
            <w:r w:rsidR="003F3C85" w:rsidRPr="007A75EC">
              <w:rPr>
                <w:sz w:val="16"/>
                <w:szCs w:val="16"/>
                <w:lang w:val="en-GB"/>
              </w:rPr>
              <w:t>.</w:t>
            </w:r>
          </w:p>
          <w:p w:rsidR="006E59EC" w:rsidRPr="007A75EC" w:rsidRDefault="006E59EC" w:rsidP="006E59EC">
            <w:pPr>
              <w:jc w:val="both"/>
              <w:rPr>
                <w:b/>
                <w:sz w:val="16"/>
                <w:szCs w:val="16"/>
                <w:lang w:val="en-GB"/>
              </w:rPr>
            </w:pPr>
          </w:p>
          <w:p w:rsidR="006E59EC" w:rsidRPr="007A75EC" w:rsidRDefault="006E59EC" w:rsidP="006E59EC">
            <w:pPr>
              <w:jc w:val="both"/>
              <w:rPr>
                <w:sz w:val="16"/>
                <w:szCs w:val="16"/>
                <w:lang w:val="en-GB"/>
              </w:rPr>
            </w:pPr>
            <w:r w:rsidRPr="007A75EC">
              <w:rPr>
                <w:b/>
                <w:sz w:val="16"/>
                <w:szCs w:val="16"/>
                <w:lang w:val="en-GB"/>
              </w:rPr>
              <w:t xml:space="preserve">Indicator 3.5.2: </w:t>
            </w:r>
            <w:r w:rsidR="00255CEF" w:rsidRPr="007A75EC">
              <w:rPr>
                <w:sz w:val="16"/>
                <w:szCs w:val="16"/>
                <w:lang w:val="en-GB"/>
              </w:rPr>
              <w:t>Number</w:t>
            </w:r>
            <w:r w:rsidRPr="007A75EC">
              <w:rPr>
                <w:sz w:val="16"/>
                <w:szCs w:val="16"/>
                <w:lang w:val="en-GB"/>
              </w:rPr>
              <w:t xml:space="preserve"> of </w:t>
            </w:r>
            <w:r w:rsidR="007310D8" w:rsidRPr="00522402">
              <w:rPr>
                <w:sz w:val="16"/>
                <w:szCs w:val="16"/>
                <w:lang w:val="en-GB"/>
              </w:rPr>
              <w:t>p</w:t>
            </w:r>
            <w:r w:rsidRPr="007A75EC">
              <w:rPr>
                <w:sz w:val="16"/>
                <w:szCs w:val="16"/>
                <w:lang w:val="en-GB"/>
              </w:rPr>
              <w:t xml:space="preserve">rotected </w:t>
            </w:r>
            <w:r w:rsidR="007310D8" w:rsidRPr="00522402">
              <w:rPr>
                <w:sz w:val="16"/>
                <w:szCs w:val="16"/>
                <w:lang w:val="en-GB"/>
              </w:rPr>
              <w:t>a</w:t>
            </w:r>
            <w:r w:rsidRPr="007A75EC">
              <w:rPr>
                <w:sz w:val="16"/>
                <w:szCs w:val="16"/>
                <w:lang w:val="en-GB"/>
              </w:rPr>
              <w:t>reas established and manage</w:t>
            </w:r>
            <w:r w:rsidR="00255CEF" w:rsidRPr="007A75EC">
              <w:rPr>
                <w:sz w:val="16"/>
                <w:szCs w:val="16"/>
                <w:lang w:val="en-GB"/>
              </w:rPr>
              <w:t>d for biodiversity conservation</w:t>
            </w:r>
            <w:r w:rsidR="00A94FC1" w:rsidRPr="007A75EC">
              <w:rPr>
                <w:sz w:val="16"/>
                <w:szCs w:val="16"/>
                <w:lang w:val="en-GB"/>
              </w:rPr>
              <w:t>.</w:t>
            </w:r>
          </w:p>
          <w:p w:rsidR="006E59EC" w:rsidRPr="007A75EC" w:rsidRDefault="006E59EC" w:rsidP="006E59EC">
            <w:pPr>
              <w:jc w:val="both"/>
              <w:rPr>
                <w:b/>
                <w:sz w:val="16"/>
                <w:szCs w:val="16"/>
                <w:lang w:val="en-GB"/>
              </w:rPr>
            </w:pPr>
            <w:r w:rsidRPr="007A75EC">
              <w:rPr>
                <w:b/>
                <w:i/>
                <w:sz w:val="16"/>
                <w:szCs w:val="16"/>
                <w:lang w:val="en-GB"/>
              </w:rPr>
              <w:t>Baseline</w:t>
            </w:r>
            <w:r w:rsidR="000E1733" w:rsidRPr="007A75EC">
              <w:rPr>
                <w:b/>
                <w:i/>
                <w:sz w:val="16"/>
                <w:szCs w:val="16"/>
                <w:lang w:val="en-GB"/>
              </w:rPr>
              <w:t>:</w:t>
            </w:r>
            <w:r w:rsidR="000E1733" w:rsidRPr="007A75EC">
              <w:rPr>
                <w:b/>
                <w:sz w:val="16"/>
                <w:szCs w:val="16"/>
                <w:lang w:val="en-GB"/>
              </w:rPr>
              <w:t xml:space="preserve"> </w:t>
            </w:r>
            <w:r w:rsidR="000E1733" w:rsidRPr="007A75EC">
              <w:rPr>
                <w:sz w:val="16"/>
                <w:szCs w:val="16"/>
                <w:lang w:val="en-GB"/>
              </w:rPr>
              <w:t>5</w:t>
            </w:r>
          </w:p>
          <w:p w:rsidR="00E315B8" w:rsidRPr="006870B6" w:rsidRDefault="006E59EC" w:rsidP="00E315B8">
            <w:pPr>
              <w:rPr>
                <w:b/>
                <w:sz w:val="16"/>
                <w:szCs w:val="16"/>
                <w:lang w:val="en-GB"/>
              </w:rPr>
            </w:pPr>
            <w:r w:rsidRPr="007A75EC">
              <w:rPr>
                <w:b/>
                <w:i/>
                <w:sz w:val="16"/>
                <w:szCs w:val="16"/>
                <w:lang w:val="en-GB"/>
              </w:rPr>
              <w:t>Target</w:t>
            </w:r>
            <w:r w:rsidR="000E1733" w:rsidRPr="007A75EC">
              <w:rPr>
                <w:b/>
                <w:i/>
                <w:sz w:val="16"/>
                <w:szCs w:val="16"/>
                <w:lang w:val="en-GB"/>
              </w:rPr>
              <w:t>:</w:t>
            </w:r>
            <w:r w:rsidR="000E1733" w:rsidRPr="007A75EC">
              <w:rPr>
                <w:b/>
                <w:sz w:val="16"/>
                <w:szCs w:val="16"/>
                <w:lang w:val="en-GB"/>
              </w:rPr>
              <w:t xml:space="preserve"> </w:t>
            </w:r>
            <w:r w:rsidR="000E1733" w:rsidRPr="007A75EC">
              <w:rPr>
                <w:sz w:val="16"/>
                <w:szCs w:val="16"/>
                <w:lang w:val="en-GB"/>
              </w:rPr>
              <w:t>10</w:t>
            </w:r>
          </w:p>
        </w:tc>
        <w:tc>
          <w:tcPr>
            <w:tcW w:w="881" w:type="pct"/>
            <w:vMerge w:val="restart"/>
            <w:tcBorders>
              <w:top w:val="single" w:sz="4" w:space="0" w:color="auto"/>
              <w:bottom w:val="single" w:sz="4" w:space="0" w:color="auto"/>
            </w:tcBorders>
          </w:tcPr>
          <w:p w:rsidR="007C601F" w:rsidRPr="002921ED" w:rsidRDefault="007D2E35" w:rsidP="000C235B">
            <w:pPr>
              <w:rPr>
                <w:iCs/>
                <w:sz w:val="16"/>
                <w:szCs w:val="16"/>
                <w:lang w:val="en-GB"/>
              </w:rPr>
            </w:pPr>
            <w:r w:rsidRPr="002921ED">
              <w:rPr>
                <w:iCs/>
                <w:sz w:val="16"/>
                <w:szCs w:val="16"/>
                <w:lang w:val="en-GB"/>
              </w:rPr>
              <w:lastRenderedPageBreak/>
              <w:t>NDMA</w:t>
            </w:r>
          </w:p>
          <w:p w:rsidR="00517768" w:rsidRPr="002921ED" w:rsidRDefault="000C235B" w:rsidP="000C235B">
            <w:pPr>
              <w:rPr>
                <w:iCs/>
                <w:sz w:val="16"/>
                <w:szCs w:val="16"/>
                <w:lang w:val="en-GB"/>
              </w:rPr>
            </w:pPr>
            <w:r w:rsidRPr="002921ED">
              <w:rPr>
                <w:iCs/>
                <w:sz w:val="16"/>
                <w:szCs w:val="16"/>
                <w:lang w:val="en-GB"/>
              </w:rPr>
              <w:t>N</w:t>
            </w:r>
            <w:r w:rsidR="00517768" w:rsidRPr="002921ED">
              <w:rPr>
                <w:iCs/>
                <w:sz w:val="16"/>
                <w:szCs w:val="16"/>
                <w:lang w:val="en-GB"/>
              </w:rPr>
              <w:t>ational Environment Agency</w:t>
            </w:r>
          </w:p>
          <w:p w:rsidR="00517768" w:rsidRPr="002921ED" w:rsidRDefault="000C235B" w:rsidP="000C235B">
            <w:pPr>
              <w:rPr>
                <w:iCs/>
                <w:sz w:val="16"/>
                <w:szCs w:val="16"/>
                <w:lang w:val="en-GB"/>
              </w:rPr>
            </w:pPr>
            <w:r w:rsidRPr="002921ED">
              <w:rPr>
                <w:iCs/>
                <w:sz w:val="16"/>
                <w:szCs w:val="16"/>
                <w:lang w:val="en-GB"/>
              </w:rPr>
              <w:t>G</w:t>
            </w:r>
            <w:r w:rsidR="00517768" w:rsidRPr="002921ED">
              <w:rPr>
                <w:iCs/>
                <w:sz w:val="16"/>
                <w:szCs w:val="16"/>
                <w:lang w:val="en-GB"/>
              </w:rPr>
              <w:t>ambia Red Cross Society</w:t>
            </w:r>
          </w:p>
          <w:p w:rsidR="00517768" w:rsidRPr="002921ED" w:rsidRDefault="000C235B" w:rsidP="000C235B">
            <w:pPr>
              <w:rPr>
                <w:iCs/>
                <w:sz w:val="16"/>
                <w:szCs w:val="16"/>
                <w:lang w:val="en-GB"/>
              </w:rPr>
            </w:pPr>
            <w:r w:rsidRPr="002921ED">
              <w:rPr>
                <w:iCs/>
                <w:sz w:val="16"/>
                <w:szCs w:val="16"/>
                <w:lang w:val="en-GB"/>
              </w:rPr>
              <w:t>Concern Universal</w:t>
            </w:r>
          </w:p>
          <w:p w:rsidR="007C601F" w:rsidRPr="002921ED" w:rsidRDefault="001D3D4B" w:rsidP="000C235B">
            <w:pPr>
              <w:rPr>
                <w:iCs/>
                <w:sz w:val="16"/>
                <w:szCs w:val="16"/>
                <w:lang w:val="en-GB"/>
              </w:rPr>
            </w:pPr>
            <w:r w:rsidRPr="002921ED">
              <w:rPr>
                <w:iCs/>
                <w:sz w:val="16"/>
                <w:szCs w:val="16"/>
                <w:lang w:val="en-GB"/>
              </w:rPr>
              <w:t>MOE</w:t>
            </w:r>
          </w:p>
          <w:p w:rsidR="000C235B" w:rsidRPr="002921ED" w:rsidRDefault="000C235B" w:rsidP="000C235B">
            <w:pPr>
              <w:rPr>
                <w:iCs/>
                <w:sz w:val="16"/>
                <w:szCs w:val="16"/>
                <w:lang w:val="en-GB"/>
              </w:rPr>
            </w:pPr>
            <w:r w:rsidRPr="002921ED">
              <w:rPr>
                <w:iCs/>
                <w:sz w:val="16"/>
                <w:szCs w:val="16"/>
                <w:lang w:val="en-GB"/>
              </w:rPr>
              <w:t>M</w:t>
            </w:r>
            <w:r w:rsidR="00517768" w:rsidRPr="002921ED">
              <w:rPr>
                <w:iCs/>
                <w:sz w:val="16"/>
                <w:szCs w:val="16"/>
                <w:lang w:val="en-GB"/>
              </w:rPr>
              <w:t>inistry of Environment</w:t>
            </w:r>
            <w:r w:rsidRPr="002921ED">
              <w:rPr>
                <w:iCs/>
                <w:sz w:val="16"/>
                <w:szCs w:val="16"/>
                <w:lang w:val="en-GB"/>
              </w:rPr>
              <w:t xml:space="preserve">  </w:t>
            </w:r>
          </w:p>
          <w:p w:rsidR="00110722" w:rsidRPr="002921ED" w:rsidRDefault="00517768" w:rsidP="000C235B">
            <w:pPr>
              <w:rPr>
                <w:iCs/>
                <w:sz w:val="16"/>
                <w:szCs w:val="16"/>
                <w:lang w:val="en-GB"/>
              </w:rPr>
            </w:pPr>
            <w:r w:rsidRPr="002921ED">
              <w:rPr>
                <w:iCs/>
                <w:sz w:val="16"/>
                <w:szCs w:val="16"/>
                <w:lang w:val="en-GB"/>
              </w:rPr>
              <w:t>Ministry of Local Government</w:t>
            </w: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6E59EC" w:rsidP="000C235B">
            <w:pPr>
              <w:rPr>
                <w:iCs/>
                <w:sz w:val="16"/>
                <w:szCs w:val="16"/>
                <w:lang w:val="en-GB"/>
              </w:rPr>
            </w:pPr>
          </w:p>
          <w:p w:rsidR="006E59EC" w:rsidRPr="002921ED" w:rsidRDefault="00794222" w:rsidP="006E59EC">
            <w:pPr>
              <w:rPr>
                <w:iCs/>
                <w:sz w:val="16"/>
                <w:szCs w:val="16"/>
                <w:lang w:val="en-GB"/>
              </w:rPr>
            </w:pPr>
            <w:r w:rsidRPr="002921ED">
              <w:rPr>
                <w:iCs/>
                <w:sz w:val="16"/>
                <w:szCs w:val="16"/>
                <w:lang w:val="en-GB"/>
              </w:rPr>
              <w:t>Ministry of Environment, Climate C</w:t>
            </w:r>
            <w:r w:rsidR="006E59EC" w:rsidRPr="002921ED">
              <w:rPr>
                <w:iCs/>
                <w:sz w:val="16"/>
                <w:szCs w:val="16"/>
                <w:lang w:val="en-GB"/>
              </w:rPr>
              <w:t xml:space="preserve">hange, Water, Wildlife </w:t>
            </w:r>
            <w:r w:rsidR="009E3ED6" w:rsidRPr="002921ED">
              <w:rPr>
                <w:iCs/>
                <w:sz w:val="16"/>
                <w:szCs w:val="16"/>
                <w:lang w:val="en-GB"/>
              </w:rPr>
              <w:t>and</w:t>
            </w:r>
            <w:r w:rsidR="006E59EC" w:rsidRPr="002921ED">
              <w:rPr>
                <w:iCs/>
                <w:sz w:val="16"/>
                <w:szCs w:val="16"/>
                <w:lang w:val="en-GB"/>
              </w:rPr>
              <w:t xml:space="preserve"> Fisheries</w:t>
            </w:r>
          </w:p>
          <w:p w:rsidR="006E59EC" w:rsidRPr="002921ED" w:rsidRDefault="006E59EC" w:rsidP="006E59EC">
            <w:pPr>
              <w:rPr>
                <w:iCs/>
                <w:sz w:val="16"/>
                <w:szCs w:val="16"/>
                <w:lang w:val="en-GB"/>
              </w:rPr>
            </w:pPr>
            <w:r w:rsidRPr="002921ED">
              <w:rPr>
                <w:iCs/>
                <w:sz w:val="16"/>
                <w:szCs w:val="16"/>
                <w:lang w:val="en-GB"/>
              </w:rPr>
              <w:t>National Environment Agency</w:t>
            </w:r>
          </w:p>
          <w:p w:rsidR="00110722" w:rsidRPr="002921ED" w:rsidRDefault="00110722" w:rsidP="000C235B">
            <w:pPr>
              <w:rPr>
                <w:iCs/>
                <w:sz w:val="16"/>
                <w:szCs w:val="16"/>
                <w:lang w:val="en-GB"/>
              </w:rPr>
            </w:pPr>
          </w:p>
        </w:tc>
        <w:tc>
          <w:tcPr>
            <w:tcW w:w="599" w:type="pct"/>
            <w:tcBorders>
              <w:top w:val="single" w:sz="4" w:space="0" w:color="auto"/>
              <w:bottom w:val="nil"/>
              <w:right w:val="single" w:sz="4" w:space="0" w:color="auto"/>
            </w:tcBorders>
            <w:tcMar>
              <w:top w:w="15" w:type="dxa"/>
              <w:left w:w="108" w:type="dxa"/>
              <w:bottom w:w="0" w:type="dxa"/>
              <w:right w:w="108" w:type="dxa"/>
            </w:tcMar>
          </w:tcPr>
          <w:p w:rsidR="00D1773C" w:rsidRPr="00CA06FC" w:rsidRDefault="00110722" w:rsidP="0029129A">
            <w:pPr>
              <w:rPr>
                <w:b/>
                <w:sz w:val="16"/>
                <w:szCs w:val="16"/>
                <w:lang w:val="en-GB"/>
              </w:rPr>
            </w:pPr>
            <w:r w:rsidRPr="00971930">
              <w:rPr>
                <w:b/>
                <w:sz w:val="16"/>
                <w:szCs w:val="16"/>
              </w:rPr>
              <w:lastRenderedPageBreak/>
              <w:t>Regular</w:t>
            </w:r>
          </w:p>
          <w:p w:rsidR="00110722" w:rsidRPr="00971930" w:rsidRDefault="00EB472F" w:rsidP="0029129A">
            <w:pPr>
              <w:rPr>
                <w:b/>
                <w:sz w:val="16"/>
                <w:szCs w:val="16"/>
                <w:lang w:val="en-GB"/>
              </w:rPr>
            </w:pPr>
            <w:r w:rsidRPr="00971930">
              <w:rPr>
                <w:b/>
                <w:sz w:val="16"/>
                <w:szCs w:val="16"/>
                <w:lang w:val="en-GB"/>
              </w:rPr>
              <w:t>$1,500</w:t>
            </w:r>
          </w:p>
        </w:tc>
      </w:tr>
      <w:tr w:rsidR="00600124" w:rsidRPr="00E92C03" w:rsidTr="00B20ED9">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rsidR="00110722" w:rsidRPr="002921ED" w:rsidRDefault="00110722" w:rsidP="00110722">
            <w:pPr>
              <w:rPr>
                <w:iCs/>
                <w:sz w:val="16"/>
                <w:szCs w:val="16"/>
                <w:lang w:val="en-GB"/>
              </w:rPr>
            </w:pPr>
          </w:p>
        </w:tc>
        <w:tc>
          <w:tcPr>
            <w:tcW w:w="655" w:type="pct"/>
            <w:vMerge/>
            <w:tcBorders>
              <w:top w:val="single" w:sz="4" w:space="0" w:color="auto"/>
              <w:bottom w:val="single" w:sz="4" w:space="0" w:color="auto"/>
            </w:tcBorders>
          </w:tcPr>
          <w:p w:rsidR="00110722" w:rsidRPr="002921ED" w:rsidRDefault="00110722" w:rsidP="00110722">
            <w:pPr>
              <w:rPr>
                <w:iCs/>
                <w:sz w:val="16"/>
                <w:szCs w:val="16"/>
                <w:lang w:val="en-GB"/>
              </w:rPr>
            </w:pPr>
          </w:p>
        </w:tc>
        <w:tc>
          <w:tcPr>
            <w:tcW w:w="1768" w:type="pct"/>
            <w:vMerge/>
            <w:tcBorders>
              <w:top w:val="single" w:sz="4" w:space="0" w:color="auto"/>
              <w:bottom w:val="single" w:sz="4" w:space="0" w:color="auto"/>
            </w:tcBorders>
            <w:tcMar>
              <w:top w:w="72" w:type="dxa"/>
              <w:left w:w="144" w:type="dxa"/>
              <w:bottom w:w="72" w:type="dxa"/>
              <w:right w:w="144" w:type="dxa"/>
            </w:tcMar>
          </w:tcPr>
          <w:p w:rsidR="00110722" w:rsidRPr="002921ED" w:rsidRDefault="00110722" w:rsidP="00110722">
            <w:pPr>
              <w:rPr>
                <w:iCs/>
                <w:sz w:val="16"/>
                <w:szCs w:val="16"/>
                <w:lang w:val="en-GB"/>
              </w:rPr>
            </w:pPr>
          </w:p>
        </w:tc>
        <w:tc>
          <w:tcPr>
            <w:tcW w:w="881" w:type="pct"/>
            <w:vMerge/>
            <w:tcBorders>
              <w:top w:val="single" w:sz="4" w:space="0" w:color="auto"/>
              <w:bottom w:val="single" w:sz="4" w:space="0" w:color="auto"/>
            </w:tcBorders>
          </w:tcPr>
          <w:p w:rsidR="00110722" w:rsidRPr="002921ED" w:rsidRDefault="00110722" w:rsidP="00110722">
            <w:pPr>
              <w:rPr>
                <w:iCs/>
                <w:sz w:val="16"/>
                <w:szCs w:val="16"/>
                <w:lang w:val="en-GB"/>
              </w:rPr>
            </w:pPr>
          </w:p>
        </w:tc>
        <w:tc>
          <w:tcPr>
            <w:tcW w:w="599" w:type="pct"/>
            <w:tcBorders>
              <w:top w:val="nil"/>
              <w:bottom w:val="nil"/>
              <w:right w:val="single" w:sz="4" w:space="0" w:color="auto"/>
            </w:tcBorders>
            <w:tcMar>
              <w:top w:w="15" w:type="dxa"/>
              <w:left w:w="108" w:type="dxa"/>
              <w:bottom w:w="0" w:type="dxa"/>
              <w:right w:w="108" w:type="dxa"/>
            </w:tcMar>
          </w:tcPr>
          <w:p w:rsidR="00D1773C" w:rsidRPr="00CA06FC" w:rsidRDefault="00110722" w:rsidP="00110722">
            <w:pPr>
              <w:rPr>
                <w:b/>
                <w:sz w:val="16"/>
                <w:szCs w:val="16"/>
                <w:lang w:val="en-GB"/>
              </w:rPr>
            </w:pPr>
            <w:r w:rsidRPr="00971930">
              <w:rPr>
                <w:b/>
                <w:sz w:val="16"/>
                <w:szCs w:val="16"/>
                <w:lang w:val="en-GB"/>
              </w:rPr>
              <w:t>Other</w:t>
            </w:r>
            <w:r w:rsidR="00EB472F" w:rsidRPr="00971930">
              <w:rPr>
                <w:b/>
                <w:sz w:val="16"/>
                <w:szCs w:val="16"/>
                <w:lang w:val="en-GB"/>
              </w:rPr>
              <w:t xml:space="preserve"> </w:t>
            </w:r>
          </w:p>
          <w:p w:rsidR="007F0A58" w:rsidRPr="00971930" w:rsidRDefault="009355DB" w:rsidP="00680AE9">
            <w:pPr>
              <w:rPr>
                <w:b/>
                <w:sz w:val="16"/>
                <w:szCs w:val="16"/>
                <w:lang w:val="en-GB"/>
              </w:rPr>
            </w:pPr>
            <w:r w:rsidRPr="00971930">
              <w:rPr>
                <w:b/>
                <w:sz w:val="16"/>
                <w:szCs w:val="16"/>
                <w:lang w:val="en-GB"/>
              </w:rPr>
              <w:t>$30,000</w:t>
            </w:r>
          </w:p>
        </w:tc>
      </w:tr>
    </w:tbl>
    <w:p w:rsidR="00110722" w:rsidRPr="007A75EC" w:rsidRDefault="00110722" w:rsidP="00110722">
      <w:pPr>
        <w:pStyle w:val="NormalWeb"/>
        <w:spacing w:before="0" w:beforeAutospacing="0" w:after="0" w:afterAutospacing="0"/>
        <w:rPr>
          <w:bCs/>
          <w:sz w:val="16"/>
          <w:szCs w:val="16"/>
          <w:lang w:val="en-GB"/>
        </w:rPr>
      </w:pPr>
    </w:p>
    <w:p w:rsidR="00A97732" w:rsidRPr="002921ED" w:rsidRDefault="00A97732" w:rsidP="00BB78E8">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rPr>
          <w:rFonts w:eastAsiaTheme="minorEastAsia"/>
          <w:sz w:val="18"/>
          <w:szCs w:val="18"/>
          <w:lang w:val="en-GB" w:eastAsia="ja-JP"/>
        </w:rPr>
      </w:pPr>
    </w:p>
    <w:p w:rsidR="00A97732" w:rsidRPr="00522402" w:rsidRDefault="00925F7C" w:rsidP="00925F7C">
      <w:pPr>
        <w:tabs>
          <w:tab w:val="left" w:pos="-720"/>
          <w:tab w:val="left" w:pos="0"/>
          <w:tab w:val="left" w:pos="607"/>
          <w:tab w:val="left" w:pos="1180"/>
          <w:tab w:val="left" w:pos="1396"/>
          <w:tab w:val="left" w:pos="2116"/>
          <w:tab w:val="left" w:pos="2836"/>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center"/>
        <w:rPr>
          <w:rFonts w:eastAsiaTheme="minorEastAsia"/>
          <w:bCs/>
          <w:sz w:val="18"/>
          <w:szCs w:val="18"/>
          <w:lang w:val="en-GB" w:eastAsia="zh-CN"/>
        </w:rPr>
      </w:pPr>
      <w:r w:rsidRPr="00524CDD">
        <w:rPr>
          <w:rFonts w:eastAsiaTheme="minorEastAsia"/>
          <w:bCs/>
          <w:noProof/>
          <w:sz w:val="18"/>
          <w:szCs w:val="18"/>
        </w:rPr>
        <w:drawing>
          <wp:inline distT="0" distB="0" distL="0" distR="0" wp14:anchorId="527F404D" wp14:editId="76D2B292">
            <wp:extent cx="944880" cy="304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4880" cy="30480"/>
                    </a:xfrm>
                    <a:prstGeom prst="rect">
                      <a:avLst/>
                    </a:prstGeom>
                    <a:noFill/>
                  </pic:spPr>
                </pic:pic>
              </a:graphicData>
            </a:graphic>
          </wp:inline>
        </w:drawing>
      </w:r>
    </w:p>
    <w:sectPr w:rsidR="00A97732" w:rsidRPr="00522402" w:rsidSect="00925F7C">
      <w:headerReference w:type="even" r:id="rId20"/>
      <w:headerReference w:type="default" r:id="rId21"/>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90" w:rsidRDefault="002C6190" w:rsidP="00441061">
      <w:r>
        <w:separator/>
      </w:r>
    </w:p>
  </w:endnote>
  <w:endnote w:type="continuationSeparator" w:id="0">
    <w:p w:rsidR="002C6190" w:rsidRDefault="002C6190" w:rsidP="00441061">
      <w:r>
        <w:continuationSeparator/>
      </w:r>
    </w:p>
  </w:endnote>
  <w:endnote w:type="continuationNotice" w:id="1">
    <w:p w:rsidR="002C6190" w:rsidRDefault="002C6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327109888"/>
      <w:docPartObj>
        <w:docPartGallery w:val="Page Numbers (Bottom of Page)"/>
        <w:docPartUnique/>
      </w:docPartObj>
    </w:sdtPr>
    <w:sdtEndPr>
      <w:rPr>
        <w:noProof/>
      </w:rPr>
    </w:sdtEndPr>
    <w:sdtContent>
      <w:p w:rsidR="00A30AFE" w:rsidRPr="007F3034" w:rsidRDefault="00A30AFE">
        <w:pPr>
          <w:pStyle w:val="Footer"/>
          <w:rPr>
            <w:b/>
            <w:sz w:val="17"/>
            <w:szCs w:val="17"/>
          </w:rPr>
        </w:pPr>
        <w:r w:rsidRPr="007F3034">
          <w:rPr>
            <w:b/>
            <w:sz w:val="17"/>
            <w:szCs w:val="17"/>
          </w:rPr>
          <w:fldChar w:fldCharType="begin"/>
        </w:r>
        <w:r w:rsidRPr="007F3034">
          <w:rPr>
            <w:b/>
            <w:sz w:val="17"/>
            <w:szCs w:val="17"/>
          </w:rPr>
          <w:instrText xml:space="preserve"> PAGE   \* MERGEFORMAT </w:instrText>
        </w:r>
        <w:r w:rsidRPr="007F3034">
          <w:rPr>
            <w:b/>
            <w:sz w:val="17"/>
            <w:szCs w:val="17"/>
          </w:rPr>
          <w:fldChar w:fldCharType="separate"/>
        </w:r>
        <w:r w:rsidR="00321551">
          <w:rPr>
            <w:b/>
            <w:noProof/>
            <w:sz w:val="17"/>
            <w:szCs w:val="17"/>
          </w:rPr>
          <w:t>6</w:t>
        </w:r>
        <w:r w:rsidRPr="007F3034">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250842"/>
      <w:docPartObj>
        <w:docPartGallery w:val="Page Numbers (Bottom of Page)"/>
        <w:docPartUnique/>
      </w:docPartObj>
    </w:sdtPr>
    <w:sdtEndPr>
      <w:rPr>
        <w:b/>
        <w:noProof/>
        <w:sz w:val="17"/>
        <w:szCs w:val="17"/>
      </w:rPr>
    </w:sdtEndPr>
    <w:sdtContent>
      <w:p w:rsidR="00A30AFE" w:rsidRPr="007F3034" w:rsidRDefault="00A30AFE" w:rsidP="007F3034">
        <w:pPr>
          <w:pStyle w:val="Footer"/>
          <w:jc w:val="right"/>
          <w:rPr>
            <w:b/>
            <w:sz w:val="17"/>
            <w:szCs w:val="17"/>
          </w:rPr>
        </w:pPr>
        <w:r w:rsidRPr="007F3034">
          <w:rPr>
            <w:b/>
            <w:sz w:val="17"/>
            <w:szCs w:val="17"/>
          </w:rPr>
          <w:fldChar w:fldCharType="begin"/>
        </w:r>
        <w:r w:rsidRPr="007F3034">
          <w:rPr>
            <w:b/>
            <w:sz w:val="17"/>
            <w:szCs w:val="17"/>
          </w:rPr>
          <w:instrText xml:space="preserve"> PAGE   \* MERGEFORMAT </w:instrText>
        </w:r>
        <w:r w:rsidRPr="007F3034">
          <w:rPr>
            <w:b/>
            <w:sz w:val="17"/>
            <w:szCs w:val="17"/>
          </w:rPr>
          <w:fldChar w:fldCharType="separate"/>
        </w:r>
        <w:r w:rsidR="00321551">
          <w:rPr>
            <w:b/>
            <w:noProof/>
            <w:sz w:val="17"/>
            <w:szCs w:val="17"/>
          </w:rPr>
          <w:t>5</w:t>
        </w:r>
        <w:r w:rsidRPr="007F3034">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90" w:rsidRDefault="002C6190" w:rsidP="00441061">
      <w:r>
        <w:separator/>
      </w:r>
    </w:p>
  </w:footnote>
  <w:footnote w:type="continuationSeparator" w:id="0">
    <w:p w:rsidR="002C6190" w:rsidRDefault="002C6190" w:rsidP="00441061">
      <w:r>
        <w:continuationSeparator/>
      </w:r>
    </w:p>
  </w:footnote>
  <w:footnote w:type="continuationNotice" w:id="1">
    <w:p w:rsidR="002C6190" w:rsidRDefault="002C6190"/>
  </w:footnote>
  <w:footnote w:id="2">
    <w:p w:rsidR="00A30AFE" w:rsidRPr="001679A7" w:rsidRDefault="00A30AFE" w:rsidP="00F6778E">
      <w:pPr>
        <w:pStyle w:val="FootnoteText"/>
        <w:jc w:val="both"/>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color w:val="000000"/>
          <w:sz w:val="14"/>
        </w:rPr>
        <w:t>Human Development Report</w:t>
      </w:r>
      <w:r>
        <w:rPr>
          <w:rFonts w:ascii="Times New Roman" w:hAnsi="Times New Roman"/>
          <w:color w:val="000000"/>
          <w:sz w:val="14"/>
        </w:rPr>
        <w:t>,</w:t>
      </w:r>
      <w:r w:rsidRPr="001679A7">
        <w:rPr>
          <w:rFonts w:ascii="Times New Roman" w:hAnsi="Times New Roman"/>
          <w:color w:val="000000"/>
          <w:sz w:val="14"/>
        </w:rPr>
        <w:t xml:space="preserve"> 2015.</w:t>
      </w:r>
    </w:p>
  </w:footnote>
  <w:footnote w:id="3">
    <w:p w:rsidR="00A30AFE" w:rsidRPr="00F85D2E" w:rsidRDefault="00A30AFE" w:rsidP="00987674">
      <w:pPr>
        <w:pStyle w:val="FootnoteText"/>
        <w:rPr>
          <w:rFonts w:ascii="Times New Roman" w:hAnsi="Times New Roman"/>
          <w:color w:val="000000"/>
          <w:sz w:val="14"/>
          <w:szCs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F85D2E">
        <w:rPr>
          <w:rFonts w:ascii="Times New Roman" w:hAnsi="Times New Roman"/>
          <w:color w:val="000000"/>
          <w:sz w:val="14"/>
          <w:szCs w:val="14"/>
        </w:rPr>
        <w:t xml:space="preserve">Gross </w:t>
      </w:r>
      <w:r>
        <w:rPr>
          <w:rFonts w:ascii="Times New Roman" w:hAnsi="Times New Roman"/>
          <w:color w:val="000000"/>
          <w:sz w:val="14"/>
          <w:szCs w:val="14"/>
        </w:rPr>
        <w:t>e</w:t>
      </w:r>
      <w:r w:rsidRPr="00F85D2E">
        <w:rPr>
          <w:rFonts w:ascii="Times New Roman" w:hAnsi="Times New Roman"/>
          <w:color w:val="000000"/>
          <w:sz w:val="14"/>
          <w:szCs w:val="14"/>
        </w:rPr>
        <w:t xml:space="preserve">nrolment </w:t>
      </w:r>
      <w:r>
        <w:rPr>
          <w:rFonts w:ascii="Times New Roman" w:hAnsi="Times New Roman"/>
          <w:color w:val="000000"/>
          <w:sz w:val="14"/>
          <w:szCs w:val="14"/>
        </w:rPr>
        <w:t>r</w:t>
      </w:r>
      <w:r w:rsidRPr="00F85D2E">
        <w:rPr>
          <w:rFonts w:ascii="Times New Roman" w:hAnsi="Times New Roman"/>
          <w:color w:val="000000"/>
          <w:sz w:val="14"/>
          <w:szCs w:val="14"/>
        </w:rPr>
        <w:t>ate reached 101.2</w:t>
      </w:r>
      <w:r>
        <w:rPr>
          <w:rFonts w:ascii="Times New Roman" w:hAnsi="Times New Roman"/>
          <w:color w:val="000000"/>
          <w:sz w:val="14"/>
          <w:szCs w:val="14"/>
        </w:rPr>
        <w:t xml:space="preserve"> per cent</w:t>
      </w:r>
      <w:r w:rsidRPr="00F85D2E">
        <w:rPr>
          <w:rFonts w:ascii="Times New Roman" w:hAnsi="Times New Roman"/>
          <w:color w:val="000000"/>
          <w:sz w:val="14"/>
          <w:szCs w:val="14"/>
        </w:rPr>
        <w:t xml:space="preserve"> in 2015: 103.5</w:t>
      </w:r>
      <w:r>
        <w:rPr>
          <w:rFonts w:ascii="Times New Roman" w:hAnsi="Times New Roman"/>
          <w:color w:val="000000"/>
          <w:sz w:val="14"/>
          <w:szCs w:val="14"/>
        </w:rPr>
        <w:t xml:space="preserve"> per cent</w:t>
      </w:r>
      <w:r w:rsidRPr="00F85D2E">
        <w:rPr>
          <w:rFonts w:ascii="Times New Roman" w:hAnsi="Times New Roman"/>
          <w:color w:val="000000"/>
          <w:sz w:val="14"/>
          <w:szCs w:val="14"/>
        </w:rPr>
        <w:t xml:space="preserve"> for girls and 99</w:t>
      </w:r>
      <w:r>
        <w:rPr>
          <w:rFonts w:ascii="Times New Roman" w:hAnsi="Times New Roman"/>
          <w:color w:val="000000"/>
          <w:sz w:val="14"/>
          <w:szCs w:val="14"/>
        </w:rPr>
        <w:t xml:space="preserve"> per cent</w:t>
      </w:r>
      <w:r w:rsidRPr="00F85D2E">
        <w:rPr>
          <w:rFonts w:ascii="Times New Roman" w:hAnsi="Times New Roman"/>
          <w:color w:val="000000"/>
          <w:sz w:val="14"/>
          <w:szCs w:val="14"/>
        </w:rPr>
        <w:t xml:space="preserve"> for boys. Millennium Development Goals </w:t>
      </w:r>
      <w:r>
        <w:rPr>
          <w:rFonts w:ascii="Times New Roman" w:hAnsi="Times New Roman"/>
          <w:color w:val="000000"/>
          <w:sz w:val="14"/>
          <w:szCs w:val="14"/>
        </w:rPr>
        <w:t>s</w:t>
      </w:r>
      <w:r w:rsidRPr="00F85D2E">
        <w:rPr>
          <w:rFonts w:ascii="Times New Roman" w:hAnsi="Times New Roman"/>
          <w:color w:val="000000"/>
          <w:sz w:val="14"/>
          <w:szCs w:val="14"/>
        </w:rPr>
        <w:t xml:space="preserve">tatus </w:t>
      </w:r>
      <w:r>
        <w:rPr>
          <w:rFonts w:ascii="Times New Roman" w:hAnsi="Times New Roman"/>
          <w:color w:val="000000"/>
          <w:sz w:val="14"/>
          <w:szCs w:val="14"/>
        </w:rPr>
        <w:t>r</w:t>
      </w:r>
      <w:r w:rsidRPr="00F85D2E">
        <w:rPr>
          <w:rFonts w:ascii="Times New Roman" w:hAnsi="Times New Roman"/>
          <w:color w:val="000000"/>
          <w:sz w:val="14"/>
          <w:szCs w:val="14"/>
        </w:rPr>
        <w:t>eport</w:t>
      </w:r>
      <w:r>
        <w:rPr>
          <w:rFonts w:ascii="Times New Roman" w:hAnsi="Times New Roman"/>
          <w:color w:val="000000"/>
          <w:sz w:val="14"/>
          <w:szCs w:val="14"/>
        </w:rPr>
        <w:t xml:space="preserve">, </w:t>
      </w:r>
      <w:r w:rsidRPr="00F85D2E">
        <w:rPr>
          <w:rFonts w:ascii="Times New Roman" w:hAnsi="Times New Roman"/>
          <w:color w:val="000000"/>
          <w:sz w:val="14"/>
          <w:szCs w:val="14"/>
        </w:rPr>
        <w:t>2014.</w:t>
      </w:r>
    </w:p>
  </w:footnote>
  <w:footnote w:id="4">
    <w:p w:rsidR="00A30AFE" w:rsidRPr="00F85D2E" w:rsidRDefault="00A30AFE" w:rsidP="00987674">
      <w:pPr>
        <w:pStyle w:val="FootnoteText"/>
        <w:rPr>
          <w:rFonts w:ascii="Times New Roman" w:hAnsi="Times New Roman"/>
          <w:sz w:val="14"/>
          <w:szCs w:val="14"/>
        </w:rPr>
      </w:pPr>
      <w:r w:rsidRPr="00C7163E">
        <w:rPr>
          <w:rStyle w:val="FootnoteReference"/>
        </w:rPr>
        <w:footnoteRef/>
      </w:r>
      <w:r w:rsidRPr="00F85D2E">
        <w:rPr>
          <w:rFonts w:ascii="Times New Roman" w:hAnsi="Times New Roman"/>
          <w:color w:val="000000"/>
          <w:sz w:val="14"/>
          <w:szCs w:val="14"/>
        </w:rPr>
        <w:t xml:space="preserve"> Infant and child mortality rates dropped to 34 and 54 per 1000</w:t>
      </w:r>
      <w:r>
        <w:rPr>
          <w:rFonts w:ascii="Times New Roman" w:hAnsi="Times New Roman"/>
          <w:color w:val="000000"/>
          <w:sz w:val="14"/>
          <w:szCs w:val="14"/>
        </w:rPr>
        <w:t>,</w:t>
      </w:r>
      <w:r w:rsidRPr="00F85D2E">
        <w:rPr>
          <w:rFonts w:ascii="Times New Roman" w:hAnsi="Times New Roman"/>
          <w:color w:val="000000"/>
          <w:sz w:val="14"/>
          <w:szCs w:val="14"/>
        </w:rPr>
        <w:t xml:space="preserve"> respectively, against the target of 42 and 67.5 per 1</w:t>
      </w:r>
      <w:r>
        <w:rPr>
          <w:rFonts w:ascii="Times New Roman" w:hAnsi="Times New Roman"/>
          <w:color w:val="000000"/>
          <w:sz w:val="14"/>
          <w:szCs w:val="14"/>
        </w:rPr>
        <w:t>,</w:t>
      </w:r>
      <w:r w:rsidRPr="00F85D2E">
        <w:rPr>
          <w:rFonts w:ascii="Times New Roman" w:hAnsi="Times New Roman"/>
          <w:color w:val="000000"/>
          <w:sz w:val="14"/>
          <w:szCs w:val="14"/>
        </w:rPr>
        <w:t xml:space="preserve">000 births by 2014. Millennium Development Goals </w:t>
      </w:r>
      <w:r>
        <w:rPr>
          <w:rFonts w:ascii="Times New Roman" w:hAnsi="Times New Roman"/>
          <w:color w:val="000000"/>
          <w:sz w:val="14"/>
          <w:szCs w:val="14"/>
        </w:rPr>
        <w:t>s</w:t>
      </w:r>
      <w:r w:rsidRPr="00F85D2E">
        <w:rPr>
          <w:rFonts w:ascii="Times New Roman" w:hAnsi="Times New Roman"/>
          <w:color w:val="000000"/>
          <w:sz w:val="14"/>
          <w:szCs w:val="14"/>
        </w:rPr>
        <w:t xml:space="preserve">tatus </w:t>
      </w:r>
      <w:r>
        <w:rPr>
          <w:rFonts w:ascii="Times New Roman" w:hAnsi="Times New Roman"/>
          <w:color w:val="000000"/>
          <w:sz w:val="14"/>
          <w:szCs w:val="14"/>
        </w:rPr>
        <w:t>r</w:t>
      </w:r>
      <w:r w:rsidRPr="00F85D2E">
        <w:rPr>
          <w:rFonts w:ascii="Times New Roman" w:hAnsi="Times New Roman"/>
          <w:color w:val="000000"/>
          <w:sz w:val="14"/>
          <w:szCs w:val="14"/>
        </w:rPr>
        <w:t>eport</w:t>
      </w:r>
      <w:r>
        <w:rPr>
          <w:rFonts w:ascii="Times New Roman" w:hAnsi="Times New Roman"/>
          <w:color w:val="000000"/>
          <w:sz w:val="14"/>
          <w:szCs w:val="14"/>
        </w:rPr>
        <w:t>,</w:t>
      </w:r>
      <w:r w:rsidRPr="00F85D2E">
        <w:rPr>
          <w:rFonts w:ascii="Times New Roman" w:hAnsi="Times New Roman"/>
          <w:color w:val="000000"/>
          <w:sz w:val="14"/>
          <w:szCs w:val="14"/>
        </w:rPr>
        <w:t xml:space="preserve"> 2014. </w:t>
      </w:r>
    </w:p>
  </w:footnote>
  <w:footnote w:id="5">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Style w:val="FootnoteReference"/>
          <w:rFonts w:ascii="Times New Roman" w:hAnsi="Times New Roman"/>
          <w:sz w:val="14"/>
          <w:szCs w:val="14"/>
        </w:rPr>
        <w:t xml:space="preserve"> </w:t>
      </w:r>
      <w:r w:rsidRPr="00F85D2E">
        <w:rPr>
          <w:rFonts w:ascii="Times New Roman" w:hAnsi="Times New Roman"/>
          <w:color w:val="000000"/>
          <w:sz w:val="14"/>
          <w:szCs w:val="14"/>
        </w:rPr>
        <w:t xml:space="preserve">The most recent </w:t>
      </w:r>
      <w:r>
        <w:rPr>
          <w:rFonts w:ascii="Times New Roman" w:hAnsi="Times New Roman"/>
          <w:color w:val="000000"/>
          <w:sz w:val="14"/>
          <w:szCs w:val="14"/>
        </w:rPr>
        <w:t>n</w:t>
      </w:r>
      <w:r w:rsidRPr="00F85D2E">
        <w:rPr>
          <w:rFonts w:ascii="Times New Roman" w:hAnsi="Times New Roman"/>
          <w:color w:val="000000"/>
          <w:sz w:val="14"/>
          <w:szCs w:val="14"/>
        </w:rPr>
        <w:t xml:space="preserve">ational </w:t>
      </w:r>
      <w:r>
        <w:rPr>
          <w:rFonts w:ascii="Times New Roman" w:hAnsi="Times New Roman"/>
          <w:color w:val="000000"/>
          <w:sz w:val="14"/>
          <w:szCs w:val="14"/>
        </w:rPr>
        <w:t>d</w:t>
      </w:r>
      <w:r w:rsidRPr="00F85D2E">
        <w:rPr>
          <w:rFonts w:ascii="Times New Roman" w:hAnsi="Times New Roman"/>
          <w:color w:val="000000"/>
          <w:sz w:val="14"/>
          <w:szCs w:val="14"/>
        </w:rPr>
        <w:t xml:space="preserve">evelopment </w:t>
      </w:r>
      <w:r>
        <w:rPr>
          <w:rFonts w:ascii="Times New Roman" w:hAnsi="Times New Roman"/>
          <w:color w:val="000000"/>
          <w:sz w:val="14"/>
          <w:szCs w:val="14"/>
        </w:rPr>
        <w:t>p</w:t>
      </w:r>
      <w:r w:rsidRPr="00F85D2E">
        <w:rPr>
          <w:rFonts w:ascii="Times New Roman" w:hAnsi="Times New Roman"/>
          <w:color w:val="000000"/>
          <w:sz w:val="14"/>
          <w:szCs w:val="14"/>
        </w:rPr>
        <w:t>lan is the programme for growth and employment</w:t>
      </w:r>
      <w:r>
        <w:rPr>
          <w:rFonts w:ascii="Times New Roman" w:hAnsi="Times New Roman"/>
          <w:color w:val="000000"/>
          <w:sz w:val="14"/>
          <w:szCs w:val="14"/>
        </w:rPr>
        <w:t>,</w:t>
      </w:r>
      <w:r w:rsidRPr="00F85D2E">
        <w:rPr>
          <w:rFonts w:ascii="Times New Roman" w:hAnsi="Times New Roman"/>
          <w:color w:val="000000"/>
          <w:sz w:val="14"/>
          <w:szCs w:val="14"/>
        </w:rPr>
        <w:t xml:space="preserve"> 2012-2015, extended to 2016.</w:t>
      </w:r>
    </w:p>
  </w:footnote>
  <w:footnote w:id="6">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color w:val="000000"/>
          <w:sz w:val="14"/>
          <w:szCs w:val="14"/>
        </w:rPr>
        <w:t xml:space="preserve">Real </w:t>
      </w:r>
      <w:r>
        <w:rPr>
          <w:rFonts w:ascii="Times New Roman" w:hAnsi="Times New Roman"/>
          <w:color w:val="000000"/>
          <w:sz w:val="14"/>
          <w:szCs w:val="14"/>
        </w:rPr>
        <w:t>p</w:t>
      </w:r>
      <w:r w:rsidRPr="00F85D2E">
        <w:rPr>
          <w:rFonts w:ascii="Times New Roman" w:hAnsi="Times New Roman"/>
          <w:color w:val="000000"/>
          <w:sz w:val="14"/>
          <w:szCs w:val="14"/>
        </w:rPr>
        <w:t xml:space="preserve">er capita </w:t>
      </w:r>
      <w:r>
        <w:rPr>
          <w:rFonts w:ascii="Times New Roman" w:hAnsi="Times New Roman"/>
          <w:color w:val="000000"/>
          <w:sz w:val="14"/>
          <w:szCs w:val="14"/>
        </w:rPr>
        <w:t>g</w:t>
      </w:r>
      <w:r w:rsidRPr="00F85D2E">
        <w:rPr>
          <w:rFonts w:ascii="Times New Roman" w:hAnsi="Times New Roman"/>
          <w:color w:val="000000"/>
          <w:sz w:val="14"/>
          <w:szCs w:val="14"/>
        </w:rPr>
        <w:t xml:space="preserve">ross </w:t>
      </w:r>
      <w:r>
        <w:rPr>
          <w:rFonts w:ascii="Times New Roman" w:hAnsi="Times New Roman"/>
          <w:color w:val="000000"/>
          <w:sz w:val="14"/>
          <w:szCs w:val="14"/>
        </w:rPr>
        <w:t>d</w:t>
      </w:r>
      <w:r w:rsidRPr="00F85D2E">
        <w:rPr>
          <w:rFonts w:ascii="Times New Roman" w:hAnsi="Times New Roman"/>
          <w:color w:val="000000"/>
          <w:sz w:val="14"/>
          <w:szCs w:val="14"/>
        </w:rPr>
        <w:t xml:space="preserve">omestic </w:t>
      </w:r>
      <w:r>
        <w:rPr>
          <w:rFonts w:ascii="Times New Roman" w:hAnsi="Times New Roman"/>
          <w:color w:val="000000"/>
          <w:sz w:val="14"/>
          <w:szCs w:val="14"/>
        </w:rPr>
        <w:t>p</w:t>
      </w:r>
      <w:r w:rsidRPr="00F85D2E">
        <w:rPr>
          <w:rFonts w:ascii="Times New Roman" w:hAnsi="Times New Roman"/>
          <w:color w:val="000000"/>
          <w:sz w:val="14"/>
          <w:szCs w:val="14"/>
        </w:rPr>
        <w:t xml:space="preserve">roduct was around $ 271 in 2014, far off </w:t>
      </w:r>
      <w:r>
        <w:rPr>
          <w:rFonts w:ascii="Times New Roman" w:hAnsi="Times New Roman"/>
          <w:color w:val="000000"/>
          <w:sz w:val="14"/>
          <w:szCs w:val="14"/>
        </w:rPr>
        <w:t>track</w:t>
      </w:r>
      <w:r w:rsidRPr="00F85D2E">
        <w:rPr>
          <w:rFonts w:ascii="Times New Roman" w:hAnsi="Times New Roman"/>
          <w:color w:val="000000"/>
          <w:sz w:val="14"/>
          <w:szCs w:val="14"/>
        </w:rPr>
        <w:t xml:space="preserve"> to achieve middle</w:t>
      </w:r>
      <w:r>
        <w:rPr>
          <w:rFonts w:ascii="Times New Roman" w:hAnsi="Times New Roman"/>
          <w:color w:val="000000"/>
          <w:sz w:val="14"/>
          <w:szCs w:val="14"/>
        </w:rPr>
        <w:t>-</w:t>
      </w:r>
      <w:r w:rsidRPr="00F85D2E">
        <w:rPr>
          <w:rFonts w:ascii="Times New Roman" w:hAnsi="Times New Roman"/>
          <w:color w:val="000000"/>
          <w:sz w:val="14"/>
          <w:szCs w:val="14"/>
        </w:rPr>
        <w:t>income status by 2020.</w:t>
      </w:r>
    </w:p>
  </w:footnote>
  <w:footnote w:id="7">
    <w:p w:rsidR="00A30AFE" w:rsidRPr="00F85D2E" w:rsidRDefault="00A30AFE" w:rsidP="00F6778E">
      <w:pPr>
        <w:pStyle w:val="FootnoteText"/>
        <w:jc w:val="both"/>
        <w:rPr>
          <w:rFonts w:ascii="Times New Roman" w:hAnsi="Times New Roman"/>
          <w:sz w:val="14"/>
          <w:szCs w:val="14"/>
        </w:rPr>
      </w:pPr>
      <w:r w:rsidRPr="00F85D2E">
        <w:rPr>
          <w:rStyle w:val="FootnoteReference"/>
          <w:rFonts w:ascii="Times New Roman" w:hAnsi="Times New Roman"/>
          <w:sz w:val="14"/>
          <w:szCs w:val="14"/>
        </w:rPr>
        <w:footnoteRef/>
      </w:r>
      <w:r w:rsidRPr="00F85D2E">
        <w:rPr>
          <w:rStyle w:val="FootnoteReference"/>
          <w:rFonts w:ascii="Times New Roman" w:hAnsi="Times New Roman"/>
          <w:sz w:val="14"/>
          <w:szCs w:val="14"/>
        </w:rPr>
        <w:t xml:space="preserve"> </w:t>
      </w:r>
      <w:r w:rsidRPr="00F85D2E">
        <w:rPr>
          <w:rFonts w:ascii="Times New Roman" w:hAnsi="Times New Roman"/>
          <w:color w:val="000000"/>
          <w:sz w:val="14"/>
          <w:szCs w:val="14"/>
        </w:rPr>
        <w:t xml:space="preserve">Sustainable </w:t>
      </w:r>
      <w:r>
        <w:rPr>
          <w:rFonts w:ascii="Times New Roman" w:hAnsi="Times New Roman"/>
          <w:color w:val="000000"/>
          <w:sz w:val="14"/>
          <w:szCs w:val="14"/>
        </w:rPr>
        <w:t>d</w:t>
      </w:r>
      <w:r w:rsidRPr="00F85D2E">
        <w:rPr>
          <w:rFonts w:ascii="Times New Roman" w:hAnsi="Times New Roman"/>
          <w:color w:val="000000"/>
          <w:sz w:val="14"/>
          <w:szCs w:val="14"/>
        </w:rPr>
        <w:t xml:space="preserve">evelopment </w:t>
      </w:r>
      <w:r>
        <w:rPr>
          <w:rFonts w:ascii="Times New Roman" w:hAnsi="Times New Roman"/>
          <w:color w:val="000000"/>
          <w:sz w:val="14"/>
          <w:szCs w:val="14"/>
        </w:rPr>
        <w:t>g</w:t>
      </w:r>
      <w:r w:rsidRPr="00F85D2E">
        <w:rPr>
          <w:rFonts w:ascii="Times New Roman" w:hAnsi="Times New Roman"/>
          <w:color w:val="000000"/>
          <w:sz w:val="14"/>
          <w:szCs w:val="14"/>
        </w:rPr>
        <w:t>oals launched nationally</w:t>
      </w:r>
      <w:r>
        <w:rPr>
          <w:rFonts w:ascii="Times New Roman" w:hAnsi="Times New Roman"/>
          <w:color w:val="000000"/>
          <w:sz w:val="14"/>
          <w:szCs w:val="14"/>
        </w:rPr>
        <w:t>,</w:t>
      </w:r>
      <w:r w:rsidRPr="00F85D2E">
        <w:rPr>
          <w:rFonts w:ascii="Times New Roman" w:hAnsi="Times New Roman"/>
          <w:color w:val="000000"/>
          <w:sz w:val="14"/>
          <w:szCs w:val="14"/>
        </w:rPr>
        <w:t xml:space="preserve"> and initial prioritization of the goals completed through a consultation process (2015</w:t>
      </w:r>
      <w:r>
        <w:rPr>
          <w:rFonts w:ascii="Times New Roman" w:hAnsi="Times New Roman"/>
          <w:color w:val="000000"/>
          <w:sz w:val="14"/>
          <w:szCs w:val="14"/>
        </w:rPr>
        <w:t xml:space="preserve"> </w:t>
      </w:r>
      <w:r w:rsidRPr="00F85D2E">
        <w:rPr>
          <w:rFonts w:ascii="Times New Roman" w:hAnsi="Times New Roman"/>
          <w:color w:val="000000"/>
          <w:sz w:val="14"/>
          <w:szCs w:val="14"/>
        </w:rPr>
        <w:t>report).</w:t>
      </w:r>
    </w:p>
  </w:footnote>
  <w:footnote w:id="8">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Rural poverty rate of 79.5</w:t>
      </w:r>
      <w:r>
        <w:rPr>
          <w:rFonts w:ascii="Times New Roman" w:hAnsi="Times New Roman"/>
          <w:sz w:val="14"/>
          <w:szCs w:val="14"/>
        </w:rPr>
        <w:t>,</w:t>
      </w:r>
      <w:r w:rsidRPr="00F85D2E">
        <w:rPr>
          <w:rFonts w:ascii="Times New Roman" w:hAnsi="Times New Roman"/>
          <w:sz w:val="14"/>
          <w:szCs w:val="14"/>
        </w:rPr>
        <w:t xml:space="preserve"> against urban poverty of 24.4</w:t>
      </w:r>
      <w:r>
        <w:rPr>
          <w:rFonts w:ascii="Times New Roman" w:hAnsi="Times New Roman"/>
          <w:sz w:val="14"/>
          <w:szCs w:val="14"/>
        </w:rPr>
        <w:t xml:space="preserve"> per cent</w:t>
      </w:r>
      <w:r w:rsidRPr="00F85D2E">
        <w:rPr>
          <w:rFonts w:ascii="Times New Roman" w:hAnsi="Times New Roman"/>
          <w:sz w:val="14"/>
          <w:szCs w:val="14"/>
        </w:rPr>
        <w:t xml:space="preserve"> (Multidimensional poverty study, 2015)</w:t>
      </w:r>
    </w:p>
  </w:footnote>
  <w:footnote w:id="9">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Pr>
          <w:rFonts w:ascii="Times New Roman" w:hAnsi="Times New Roman"/>
          <w:sz w:val="14"/>
          <w:szCs w:val="14"/>
        </w:rPr>
        <w:t xml:space="preserve">In the Gambia, 76.4 per cent </w:t>
      </w:r>
      <w:r w:rsidRPr="00F85D2E">
        <w:rPr>
          <w:rFonts w:ascii="Times New Roman" w:hAnsi="Times New Roman"/>
          <w:sz w:val="14"/>
          <w:szCs w:val="14"/>
        </w:rPr>
        <w:t xml:space="preserve">of women </w:t>
      </w:r>
      <w:r>
        <w:rPr>
          <w:rFonts w:ascii="Times New Roman" w:hAnsi="Times New Roman"/>
          <w:sz w:val="14"/>
          <w:szCs w:val="14"/>
        </w:rPr>
        <w:t>lack</w:t>
      </w:r>
      <w:r w:rsidRPr="00F85D2E">
        <w:rPr>
          <w:rFonts w:ascii="Times New Roman" w:hAnsi="Times New Roman"/>
          <w:sz w:val="14"/>
          <w:szCs w:val="14"/>
        </w:rPr>
        <w:t xml:space="preserve"> </w:t>
      </w:r>
      <w:r>
        <w:rPr>
          <w:rFonts w:ascii="Times New Roman" w:hAnsi="Times New Roman"/>
          <w:sz w:val="14"/>
          <w:szCs w:val="14"/>
        </w:rPr>
        <w:t>l</w:t>
      </w:r>
      <w:r w:rsidRPr="00F85D2E">
        <w:rPr>
          <w:rFonts w:ascii="Times New Roman" w:hAnsi="Times New Roman"/>
          <w:sz w:val="14"/>
          <w:szCs w:val="14"/>
        </w:rPr>
        <w:t>and ownership</w:t>
      </w:r>
      <w:r>
        <w:rPr>
          <w:rFonts w:ascii="Times New Roman" w:hAnsi="Times New Roman"/>
          <w:sz w:val="14"/>
          <w:szCs w:val="14"/>
        </w:rPr>
        <w:t>,</w:t>
      </w:r>
      <w:r w:rsidRPr="00F85D2E">
        <w:rPr>
          <w:rFonts w:ascii="Times New Roman" w:hAnsi="Times New Roman"/>
          <w:sz w:val="14"/>
          <w:szCs w:val="14"/>
        </w:rPr>
        <w:t xml:space="preserve"> against 61.9 for men (</w:t>
      </w:r>
      <w:r>
        <w:rPr>
          <w:rFonts w:ascii="Times New Roman" w:hAnsi="Times New Roman"/>
          <w:sz w:val="14"/>
          <w:szCs w:val="14"/>
        </w:rPr>
        <w:t xml:space="preserve">Gambia </w:t>
      </w:r>
      <w:r w:rsidRPr="00C7163E">
        <w:rPr>
          <w:rFonts w:ascii="Times New Roman" w:hAnsi="Times New Roman"/>
          <w:sz w:val="14"/>
          <w:szCs w:val="14"/>
        </w:rPr>
        <w:t>Demographic and Health Survey</w:t>
      </w:r>
      <w:r w:rsidRPr="00F85D2E">
        <w:rPr>
          <w:rFonts w:ascii="Times New Roman" w:hAnsi="Times New Roman"/>
          <w:sz w:val="14"/>
          <w:szCs w:val="14"/>
        </w:rPr>
        <w:t xml:space="preserve">, 2013)  </w:t>
      </w:r>
    </w:p>
  </w:footnote>
  <w:footnote w:id="10">
    <w:p w:rsidR="00A30AFE" w:rsidRPr="00F85D2E" w:rsidRDefault="00A30AFE" w:rsidP="00F6778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Pr>
          <w:rFonts w:ascii="Times New Roman" w:hAnsi="Times New Roman"/>
          <w:color w:val="000000"/>
          <w:sz w:val="14"/>
          <w:szCs w:val="14"/>
        </w:rPr>
        <w:t xml:space="preserve"> Fifty-six per cent</w:t>
      </w:r>
      <w:r w:rsidRPr="00F85D2E">
        <w:rPr>
          <w:rFonts w:ascii="Times New Roman" w:hAnsi="Times New Roman"/>
          <w:color w:val="000000"/>
          <w:sz w:val="14"/>
          <w:szCs w:val="14"/>
        </w:rPr>
        <w:t xml:space="preserve"> of the labor force is categorized as working poor (</w:t>
      </w:r>
      <w:r>
        <w:rPr>
          <w:rFonts w:ascii="Times New Roman" w:hAnsi="Times New Roman"/>
          <w:color w:val="000000"/>
          <w:sz w:val="14"/>
          <w:szCs w:val="14"/>
        </w:rPr>
        <w:t>labour force survey,</w:t>
      </w:r>
      <w:r w:rsidRPr="00F85D2E">
        <w:rPr>
          <w:rFonts w:ascii="Times New Roman" w:hAnsi="Times New Roman"/>
          <w:color w:val="000000"/>
          <w:sz w:val="14"/>
          <w:szCs w:val="14"/>
        </w:rPr>
        <w:t xml:space="preserve"> 2012). Source for income poverty</w:t>
      </w:r>
      <w:r>
        <w:rPr>
          <w:rFonts w:ascii="Times New Roman" w:hAnsi="Times New Roman"/>
          <w:color w:val="000000"/>
          <w:sz w:val="14"/>
          <w:szCs w:val="14"/>
        </w:rPr>
        <w:t>:</w:t>
      </w:r>
      <w:r w:rsidRPr="00F85D2E">
        <w:rPr>
          <w:rFonts w:ascii="Times New Roman" w:hAnsi="Times New Roman"/>
          <w:color w:val="000000"/>
          <w:sz w:val="14"/>
          <w:szCs w:val="14"/>
        </w:rPr>
        <w:t xml:space="preserve"> integrated household survey, 2010.</w:t>
      </w:r>
      <w:r w:rsidR="00523329">
        <w:rPr>
          <w:rFonts w:ascii="Times New Roman" w:hAnsi="Times New Roman"/>
          <w:color w:val="000000"/>
          <w:sz w:val="14"/>
          <w:szCs w:val="14"/>
        </w:rPr>
        <w:t xml:space="preserve"> </w:t>
      </w:r>
      <w:r w:rsidR="00523329" w:rsidRPr="00523329">
        <w:rPr>
          <w:rFonts w:ascii="Times New Roman" w:hAnsi="Times New Roman"/>
          <w:color w:val="000000"/>
          <w:sz w:val="14"/>
          <w:szCs w:val="14"/>
        </w:rPr>
        <w:t>Poverty declined from 58% in 2003 to 48.4% in 2010</w:t>
      </w:r>
      <w:r w:rsidR="00523329">
        <w:rPr>
          <w:rFonts w:ascii="Times New Roman" w:hAnsi="Times New Roman"/>
          <w:color w:val="000000"/>
          <w:sz w:val="14"/>
          <w:szCs w:val="14"/>
        </w:rPr>
        <w:t>.</w:t>
      </w:r>
    </w:p>
  </w:footnote>
  <w:footnote w:id="11">
    <w:p w:rsidR="00A30AFE" w:rsidRPr="00F85D2E" w:rsidRDefault="00A30AFE" w:rsidP="00F6778E">
      <w:pPr>
        <w:pStyle w:val="Default"/>
        <w:rPr>
          <w:rFonts w:ascii="Times New Roman" w:hAnsi="Times New Roman" w:cs="Times New Roman"/>
          <w:sz w:val="14"/>
          <w:szCs w:val="14"/>
        </w:rPr>
      </w:pPr>
      <w:r w:rsidRPr="00F85D2E">
        <w:rPr>
          <w:rStyle w:val="FootnoteReference"/>
          <w:rFonts w:ascii="Times New Roman" w:eastAsia="Times New Roman" w:hAnsi="Times New Roman"/>
          <w:color w:val="auto"/>
          <w:sz w:val="14"/>
          <w:szCs w:val="14"/>
          <w:lang w:val="en-US" w:eastAsia="en-US"/>
        </w:rPr>
        <w:footnoteRef/>
      </w:r>
      <w:r w:rsidRPr="00F85D2E">
        <w:rPr>
          <w:rFonts w:ascii="Times New Roman" w:hAnsi="Times New Roman" w:cs="Times New Roman"/>
          <w:sz w:val="14"/>
          <w:szCs w:val="14"/>
        </w:rPr>
        <w:t xml:space="preserve"> </w:t>
      </w:r>
      <w:r w:rsidRPr="00F85D2E">
        <w:rPr>
          <w:rFonts w:ascii="Times New Roman" w:hAnsi="Times New Roman" w:cs="Times New Roman"/>
          <w:sz w:val="14"/>
          <w:szCs w:val="14"/>
          <w:lang w:val="en-US"/>
        </w:rPr>
        <w:t xml:space="preserve">The </w:t>
      </w:r>
      <w:r>
        <w:rPr>
          <w:rFonts w:ascii="Times New Roman" w:hAnsi="Times New Roman" w:cs="Times New Roman"/>
          <w:sz w:val="14"/>
          <w:szCs w:val="14"/>
          <w:lang w:val="en-US"/>
        </w:rPr>
        <w:t>multidimensional poverty index</w:t>
      </w:r>
      <w:r w:rsidRPr="00F85D2E">
        <w:rPr>
          <w:rFonts w:ascii="Times New Roman" w:hAnsi="Times New Roman" w:cs="Times New Roman"/>
          <w:sz w:val="14"/>
          <w:szCs w:val="14"/>
          <w:lang w:val="en-US"/>
        </w:rPr>
        <w:t xml:space="preserve"> measure</w:t>
      </w:r>
      <w:r>
        <w:rPr>
          <w:rFonts w:ascii="Times New Roman" w:hAnsi="Times New Roman" w:cs="Times New Roman"/>
          <w:sz w:val="14"/>
          <w:szCs w:val="14"/>
          <w:lang w:val="en-US"/>
        </w:rPr>
        <w:t>s</w:t>
      </w:r>
      <w:r w:rsidRPr="00F85D2E">
        <w:rPr>
          <w:rFonts w:ascii="Times New Roman" w:hAnsi="Times New Roman" w:cs="Times New Roman"/>
          <w:sz w:val="14"/>
          <w:szCs w:val="14"/>
          <w:lang w:val="en-US"/>
        </w:rPr>
        <w:t xml:space="preserve"> depr</w:t>
      </w:r>
      <w:r>
        <w:rPr>
          <w:rFonts w:ascii="Times New Roman" w:hAnsi="Times New Roman" w:cs="Times New Roman"/>
          <w:sz w:val="14"/>
          <w:szCs w:val="14"/>
          <w:lang w:val="en-US"/>
        </w:rPr>
        <w:t xml:space="preserve">ivation at household level on </w:t>
      </w:r>
      <w:r w:rsidRPr="00F85D2E">
        <w:rPr>
          <w:rFonts w:ascii="Times New Roman" w:hAnsi="Times New Roman" w:cs="Times New Roman"/>
          <w:sz w:val="14"/>
          <w:szCs w:val="14"/>
          <w:lang w:val="en-US"/>
        </w:rPr>
        <w:t>dimensions of education, health and living standards. Scoring is based on weighte</w:t>
      </w:r>
      <w:r w:rsidR="0084724B">
        <w:rPr>
          <w:rFonts w:ascii="Times New Roman" w:hAnsi="Times New Roman" w:cs="Times New Roman"/>
          <w:sz w:val="14"/>
          <w:szCs w:val="14"/>
          <w:lang w:val="en-US"/>
        </w:rPr>
        <w:t>d indicators for each dimension, using ten indicators and a cut-</w:t>
      </w:r>
      <w:r w:rsidRPr="00F85D2E">
        <w:rPr>
          <w:rFonts w:ascii="Times New Roman" w:hAnsi="Times New Roman" w:cs="Times New Roman"/>
          <w:sz w:val="14"/>
          <w:szCs w:val="14"/>
          <w:lang w:val="en-US"/>
        </w:rPr>
        <w:t>off 33</w:t>
      </w:r>
      <w:r>
        <w:rPr>
          <w:rFonts w:ascii="Times New Roman" w:hAnsi="Times New Roman" w:cs="Times New Roman"/>
          <w:sz w:val="14"/>
          <w:szCs w:val="14"/>
          <w:lang w:val="en-US"/>
        </w:rPr>
        <w:t xml:space="preserve"> per cent</w:t>
      </w:r>
      <w:r w:rsidRPr="00F85D2E">
        <w:rPr>
          <w:rFonts w:ascii="Times New Roman" w:hAnsi="Times New Roman" w:cs="Times New Roman"/>
          <w:sz w:val="14"/>
          <w:szCs w:val="14"/>
          <w:lang w:val="en-US"/>
        </w:rPr>
        <w:t xml:space="preserve"> was taken as poverty line. Households with total weighted score</w:t>
      </w:r>
      <w:r w:rsidR="0084724B">
        <w:rPr>
          <w:rFonts w:ascii="Times New Roman" w:hAnsi="Times New Roman" w:cs="Times New Roman"/>
          <w:sz w:val="14"/>
          <w:szCs w:val="14"/>
          <w:lang w:val="en-US"/>
        </w:rPr>
        <w:t>s</w:t>
      </w:r>
      <w:r w:rsidRPr="00F85D2E">
        <w:rPr>
          <w:rFonts w:ascii="Times New Roman" w:hAnsi="Times New Roman" w:cs="Times New Roman"/>
          <w:sz w:val="14"/>
          <w:szCs w:val="14"/>
          <w:lang w:val="en-US"/>
        </w:rPr>
        <w:t xml:space="preserve"> above 1/3, are multi</w:t>
      </w:r>
      <w:r>
        <w:rPr>
          <w:rFonts w:ascii="Times New Roman" w:hAnsi="Times New Roman" w:cs="Times New Roman"/>
          <w:sz w:val="14"/>
          <w:szCs w:val="14"/>
          <w:lang w:val="en-US"/>
        </w:rPr>
        <w:t>-</w:t>
      </w:r>
      <w:r w:rsidRPr="00F85D2E">
        <w:rPr>
          <w:rFonts w:ascii="Times New Roman" w:hAnsi="Times New Roman" w:cs="Times New Roman"/>
          <w:sz w:val="14"/>
          <w:szCs w:val="14"/>
          <w:lang w:val="en-US"/>
        </w:rPr>
        <w:t xml:space="preserve">dimensionally deprived (poor). Households with a score below 1/3 are non-deprived. </w:t>
      </w:r>
    </w:p>
  </w:footnote>
  <w:footnote w:id="12">
    <w:p w:rsidR="00A30AFE" w:rsidRPr="00F85D2E" w:rsidRDefault="00A30AFE" w:rsidP="00F6778E">
      <w:pPr>
        <w:pStyle w:val="Default"/>
        <w:rPr>
          <w:rFonts w:ascii="Times New Roman" w:hAnsi="Times New Roman" w:cs="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cs="Times New Roman"/>
          <w:sz w:val="14"/>
          <w:szCs w:val="14"/>
        </w:rPr>
        <w:t xml:space="preserve"> </w:t>
      </w:r>
      <w:r w:rsidRPr="00F85D2E">
        <w:rPr>
          <w:rFonts w:ascii="Times New Roman" w:hAnsi="Times New Roman" w:cs="Times New Roman"/>
          <w:sz w:val="14"/>
          <w:szCs w:val="14"/>
          <w:lang w:val="en-US"/>
        </w:rPr>
        <w:t>UNDP study on multidimensional poverty</w:t>
      </w:r>
      <w:r>
        <w:rPr>
          <w:rFonts w:ascii="Times New Roman" w:hAnsi="Times New Roman" w:cs="Times New Roman"/>
          <w:sz w:val="14"/>
          <w:szCs w:val="14"/>
          <w:lang w:val="en-US"/>
        </w:rPr>
        <w:t xml:space="preserve">, </w:t>
      </w:r>
      <w:r w:rsidRPr="00F85D2E">
        <w:rPr>
          <w:rFonts w:ascii="Times New Roman" w:hAnsi="Times New Roman" w:cs="Times New Roman"/>
          <w:sz w:val="14"/>
          <w:szCs w:val="14"/>
          <w:lang w:val="en-US"/>
        </w:rPr>
        <w:t>2015</w:t>
      </w:r>
      <w:r>
        <w:rPr>
          <w:rFonts w:ascii="Times New Roman" w:hAnsi="Times New Roman" w:cs="Times New Roman"/>
          <w:sz w:val="14"/>
          <w:szCs w:val="14"/>
          <w:lang w:val="en-US"/>
        </w:rPr>
        <w:t>. T</w:t>
      </w:r>
      <w:r w:rsidRPr="00F85D2E">
        <w:rPr>
          <w:rFonts w:ascii="Times New Roman" w:hAnsi="Times New Roman" w:cs="Times New Roman"/>
          <w:sz w:val="14"/>
          <w:szCs w:val="14"/>
          <w:lang w:val="en-US"/>
        </w:rPr>
        <w:t>he two most impoverished regions</w:t>
      </w:r>
      <w:r>
        <w:rPr>
          <w:rFonts w:ascii="Times New Roman" w:hAnsi="Times New Roman" w:cs="Times New Roman"/>
          <w:sz w:val="14"/>
          <w:szCs w:val="14"/>
          <w:lang w:val="en-US"/>
        </w:rPr>
        <w:t xml:space="preserve"> are </w:t>
      </w:r>
      <w:r w:rsidRPr="00CA1E7D">
        <w:rPr>
          <w:rFonts w:ascii="Times New Roman" w:hAnsi="Times New Roman" w:cs="Times New Roman"/>
          <w:sz w:val="14"/>
          <w:szCs w:val="14"/>
        </w:rPr>
        <w:t>Kuntaur</w:t>
      </w:r>
      <w:r w:rsidRPr="00F85D2E">
        <w:rPr>
          <w:rFonts w:ascii="Times New Roman" w:hAnsi="Times New Roman" w:cs="Times New Roman"/>
          <w:sz w:val="14"/>
          <w:szCs w:val="14"/>
          <w:lang w:val="en-US"/>
        </w:rPr>
        <w:t xml:space="preserve"> (90</w:t>
      </w:r>
      <w:r>
        <w:rPr>
          <w:rFonts w:ascii="Times New Roman" w:hAnsi="Times New Roman" w:cs="Times New Roman"/>
          <w:sz w:val="14"/>
          <w:szCs w:val="14"/>
          <w:lang w:val="en-US"/>
        </w:rPr>
        <w:t xml:space="preserve"> per cent</w:t>
      </w:r>
      <w:r w:rsidRPr="00F85D2E">
        <w:rPr>
          <w:rFonts w:ascii="Times New Roman" w:hAnsi="Times New Roman" w:cs="Times New Roman"/>
          <w:sz w:val="14"/>
          <w:szCs w:val="14"/>
          <w:lang w:val="en-US"/>
        </w:rPr>
        <w:t>) and Janjanbureh (85</w:t>
      </w:r>
      <w:r>
        <w:rPr>
          <w:rFonts w:ascii="Times New Roman" w:hAnsi="Times New Roman" w:cs="Times New Roman"/>
          <w:sz w:val="14"/>
          <w:szCs w:val="14"/>
          <w:lang w:val="en-US"/>
        </w:rPr>
        <w:t xml:space="preserve"> per cent</w:t>
      </w:r>
      <w:r w:rsidRPr="00F85D2E">
        <w:rPr>
          <w:rFonts w:ascii="Times New Roman" w:hAnsi="Times New Roman" w:cs="Times New Roman"/>
          <w:sz w:val="14"/>
          <w:szCs w:val="14"/>
          <w:lang w:val="en-US"/>
        </w:rPr>
        <w:t>)</w:t>
      </w:r>
      <w:r>
        <w:rPr>
          <w:rFonts w:ascii="Times New Roman" w:hAnsi="Times New Roman" w:cs="Times New Roman"/>
          <w:sz w:val="14"/>
          <w:szCs w:val="14"/>
          <w:lang w:val="en-US"/>
        </w:rPr>
        <w:t>.</w:t>
      </w:r>
      <w:r w:rsidRPr="00F85D2E">
        <w:rPr>
          <w:rFonts w:ascii="Times New Roman" w:hAnsi="Times New Roman" w:cs="Times New Roman"/>
          <w:sz w:val="14"/>
          <w:szCs w:val="14"/>
          <w:lang w:val="en-US"/>
        </w:rPr>
        <w:t xml:space="preserve"> Basse has the largest number of poor </w:t>
      </w:r>
      <w:r>
        <w:rPr>
          <w:rFonts w:ascii="Times New Roman" w:hAnsi="Times New Roman" w:cs="Times New Roman"/>
          <w:sz w:val="14"/>
          <w:szCs w:val="14"/>
          <w:lang w:val="en-US"/>
        </w:rPr>
        <w:t>people</w:t>
      </w:r>
      <w:r w:rsidRPr="00F85D2E">
        <w:rPr>
          <w:rFonts w:ascii="Times New Roman" w:hAnsi="Times New Roman" w:cs="Times New Roman"/>
          <w:sz w:val="14"/>
          <w:szCs w:val="14"/>
          <w:lang w:val="en-US"/>
        </w:rPr>
        <w:t xml:space="preserve">. </w:t>
      </w:r>
    </w:p>
  </w:footnote>
  <w:footnote w:id="13">
    <w:p w:rsidR="00A30AFE" w:rsidRPr="00F85D2E" w:rsidRDefault="00A30AFE" w:rsidP="00F6778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color w:val="000000"/>
          <w:sz w:val="14"/>
          <w:szCs w:val="14"/>
        </w:rPr>
        <w:t xml:space="preserve">Integrated household survey report, </w:t>
      </w:r>
      <w:r>
        <w:rPr>
          <w:rFonts w:ascii="Times New Roman" w:hAnsi="Times New Roman"/>
          <w:color w:val="000000"/>
          <w:sz w:val="14"/>
          <w:szCs w:val="14"/>
        </w:rPr>
        <w:t>v</w:t>
      </w:r>
      <w:r w:rsidRPr="00F85D2E">
        <w:rPr>
          <w:rFonts w:ascii="Times New Roman" w:hAnsi="Times New Roman"/>
          <w:color w:val="000000"/>
          <w:sz w:val="14"/>
          <w:szCs w:val="14"/>
        </w:rPr>
        <w:t>olume I</w:t>
      </w:r>
      <w:r>
        <w:rPr>
          <w:rFonts w:ascii="Times New Roman" w:hAnsi="Times New Roman"/>
          <w:color w:val="000000"/>
          <w:sz w:val="14"/>
          <w:szCs w:val="14"/>
        </w:rPr>
        <w:t>,</w:t>
      </w:r>
      <w:r w:rsidRPr="00F85D2E">
        <w:rPr>
          <w:rFonts w:ascii="Times New Roman" w:hAnsi="Times New Roman"/>
          <w:color w:val="000000"/>
          <w:sz w:val="14"/>
          <w:szCs w:val="14"/>
        </w:rPr>
        <w:t xml:space="preserve"> 2010. </w:t>
      </w:r>
    </w:p>
  </w:footnote>
  <w:footnote w:id="14">
    <w:p w:rsidR="00A30AFE" w:rsidRPr="00F85D2E" w:rsidRDefault="00A30AFE">
      <w:pPr>
        <w:pStyle w:val="FootnoteText"/>
        <w:rPr>
          <w:rFonts w:ascii="Times New Roman" w:hAnsi="Times New Roman"/>
          <w:sz w:val="14"/>
          <w:szCs w:val="14"/>
        </w:rPr>
      </w:pPr>
      <w:r w:rsidRPr="00F85D2E">
        <w:rPr>
          <w:rStyle w:val="FootnoteReference"/>
          <w:rFonts w:ascii="Times New Roman" w:eastAsia="Calibri" w:hAnsi="Times New Roman"/>
          <w:color w:val="000000"/>
          <w:sz w:val="14"/>
          <w:szCs w:val="14"/>
          <w:lang w:val="en-GB" w:eastAsia="en-GB"/>
        </w:rPr>
        <w:footnoteRef/>
      </w:r>
      <w:r w:rsidRPr="00F85D2E">
        <w:rPr>
          <w:rStyle w:val="FootnoteReference"/>
          <w:rFonts w:ascii="Times New Roman" w:eastAsia="Calibri" w:hAnsi="Times New Roman"/>
          <w:color w:val="000000"/>
          <w:sz w:val="14"/>
          <w:szCs w:val="14"/>
          <w:lang w:val="en-GB" w:eastAsia="en-GB"/>
        </w:rPr>
        <w:t xml:space="preserve"> </w:t>
      </w:r>
      <w:r>
        <w:rPr>
          <w:rFonts w:ascii="Times New Roman" w:eastAsia="Calibri" w:hAnsi="Times New Roman"/>
          <w:color w:val="000000"/>
          <w:sz w:val="14"/>
          <w:szCs w:val="14"/>
          <w:lang w:val="en-GB" w:eastAsia="en-GB"/>
        </w:rPr>
        <w:t xml:space="preserve"> </w:t>
      </w:r>
      <w:r w:rsidRPr="00F85D2E">
        <w:rPr>
          <w:rFonts w:ascii="Times New Roman" w:eastAsia="Calibri" w:hAnsi="Times New Roman"/>
          <w:color w:val="000000"/>
          <w:sz w:val="14"/>
          <w:szCs w:val="14"/>
          <w:lang w:val="en-GB" w:eastAsia="en-GB"/>
        </w:rPr>
        <w:t xml:space="preserve">Gambia Bureau of Statistics, national income accounts data, 2015. </w:t>
      </w:r>
    </w:p>
  </w:footnote>
  <w:footnote w:id="15">
    <w:p w:rsidR="00A30AFE" w:rsidRPr="00F85D2E" w:rsidRDefault="00A30AFE">
      <w:pPr>
        <w:pStyle w:val="FootnoteText"/>
        <w:rPr>
          <w:rFonts w:ascii="Times New Roman" w:hAnsi="Times New Roman"/>
          <w:sz w:val="14"/>
          <w:szCs w:val="14"/>
        </w:rPr>
      </w:pPr>
      <w:r w:rsidRPr="00F85D2E">
        <w:rPr>
          <w:rStyle w:val="FootnoteReference"/>
          <w:rFonts w:ascii="Times New Roman" w:eastAsia="Calibri" w:hAnsi="Times New Roman"/>
          <w:color w:val="000000"/>
          <w:sz w:val="14"/>
          <w:szCs w:val="14"/>
          <w:lang w:val="en-GB" w:eastAsia="en-GB"/>
        </w:rPr>
        <w:footnoteRef/>
      </w:r>
      <w:r>
        <w:rPr>
          <w:rFonts w:ascii="Times New Roman" w:eastAsia="Calibri" w:hAnsi="Times New Roman"/>
          <w:color w:val="000000"/>
          <w:sz w:val="14"/>
          <w:szCs w:val="14"/>
          <w:lang w:val="en-GB" w:eastAsia="en-GB"/>
        </w:rPr>
        <w:t xml:space="preserve"> </w:t>
      </w:r>
      <w:r w:rsidRPr="00F85D2E">
        <w:rPr>
          <w:rStyle w:val="FootnoteReference"/>
          <w:rFonts w:ascii="Times New Roman" w:eastAsia="Calibri" w:hAnsi="Times New Roman"/>
          <w:color w:val="000000"/>
          <w:sz w:val="14"/>
          <w:szCs w:val="14"/>
          <w:lang w:val="en-GB" w:eastAsia="en-GB"/>
        </w:rPr>
        <w:t xml:space="preserve"> </w:t>
      </w:r>
      <w:r w:rsidRPr="00F85D2E">
        <w:rPr>
          <w:rFonts w:ascii="Times New Roman" w:eastAsia="Calibri" w:hAnsi="Times New Roman"/>
          <w:color w:val="000000"/>
          <w:sz w:val="14"/>
          <w:szCs w:val="14"/>
          <w:lang w:val="en-GB" w:eastAsia="en-GB"/>
        </w:rPr>
        <w:t xml:space="preserve">Labour </w:t>
      </w:r>
      <w:r>
        <w:rPr>
          <w:rFonts w:ascii="Times New Roman" w:eastAsia="Calibri" w:hAnsi="Times New Roman"/>
          <w:color w:val="000000"/>
          <w:sz w:val="14"/>
          <w:szCs w:val="14"/>
          <w:lang w:val="en-GB" w:eastAsia="en-GB"/>
        </w:rPr>
        <w:t>f</w:t>
      </w:r>
      <w:r w:rsidRPr="00F85D2E">
        <w:rPr>
          <w:rFonts w:ascii="Times New Roman" w:eastAsia="Calibri" w:hAnsi="Times New Roman"/>
          <w:color w:val="000000"/>
          <w:sz w:val="14"/>
          <w:szCs w:val="14"/>
          <w:lang w:val="en-GB" w:eastAsia="en-GB"/>
        </w:rPr>
        <w:t xml:space="preserve">orce </w:t>
      </w:r>
      <w:r>
        <w:rPr>
          <w:rFonts w:ascii="Times New Roman" w:eastAsia="Calibri" w:hAnsi="Times New Roman"/>
          <w:color w:val="000000"/>
          <w:sz w:val="14"/>
          <w:szCs w:val="14"/>
          <w:lang w:val="en-GB" w:eastAsia="en-GB"/>
        </w:rPr>
        <w:t>s</w:t>
      </w:r>
      <w:r w:rsidRPr="00F85D2E">
        <w:rPr>
          <w:rFonts w:ascii="Times New Roman" w:eastAsia="Calibri" w:hAnsi="Times New Roman"/>
          <w:color w:val="000000"/>
          <w:sz w:val="14"/>
          <w:szCs w:val="14"/>
          <w:lang w:val="en-GB" w:eastAsia="en-GB"/>
        </w:rPr>
        <w:t>urvey, 2012.</w:t>
      </w:r>
      <w:r w:rsidRPr="00F85D2E">
        <w:rPr>
          <w:rFonts w:ascii="Times New Roman" w:hAnsi="Times New Roman"/>
          <w:sz w:val="14"/>
          <w:szCs w:val="14"/>
        </w:rPr>
        <w:t xml:space="preserve"> </w:t>
      </w:r>
    </w:p>
  </w:footnote>
  <w:footnote w:id="16">
    <w:p w:rsidR="00A30AFE" w:rsidRPr="00F85D2E" w:rsidRDefault="00A30AFE" w:rsidP="00F6778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color w:val="000000"/>
          <w:sz w:val="14"/>
          <w:szCs w:val="14"/>
        </w:rPr>
        <w:t xml:space="preserve">Labor </w:t>
      </w:r>
      <w:r>
        <w:rPr>
          <w:rFonts w:ascii="Times New Roman" w:hAnsi="Times New Roman"/>
          <w:color w:val="000000"/>
          <w:sz w:val="14"/>
          <w:szCs w:val="14"/>
        </w:rPr>
        <w:t>f</w:t>
      </w:r>
      <w:r w:rsidRPr="00F85D2E">
        <w:rPr>
          <w:rFonts w:ascii="Times New Roman" w:hAnsi="Times New Roman"/>
          <w:color w:val="000000"/>
          <w:sz w:val="14"/>
          <w:szCs w:val="14"/>
        </w:rPr>
        <w:t xml:space="preserve">orce </w:t>
      </w:r>
      <w:r>
        <w:rPr>
          <w:rFonts w:ascii="Times New Roman" w:hAnsi="Times New Roman"/>
          <w:color w:val="000000"/>
          <w:sz w:val="14"/>
          <w:szCs w:val="14"/>
        </w:rPr>
        <w:t>s</w:t>
      </w:r>
      <w:r w:rsidRPr="00F85D2E">
        <w:rPr>
          <w:rFonts w:ascii="Times New Roman" w:hAnsi="Times New Roman"/>
          <w:color w:val="000000"/>
          <w:sz w:val="14"/>
          <w:szCs w:val="14"/>
        </w:rPr>
        <w:t>urvey, 2012.</w:t>
      </w:r>
      <w:r w:rsidRPr="00F85D2E">
        <w:rPr>
          <w:rFonts w:ascii="Times New Roman" w:hAnsi="Times New Roman"/>
          <w:sz w:val="14"/>
          <w:szCs w:val="14"/>
        </w:rPr>
        <w:t xml:space="preserve"> </w:t>
      </w:r>
    </w:p>
  </w:footnote>
  <w:footnote w:id="17">
    <w:p w:rsidR="00A30AFE" w:rsidRPr="00F85D2E" w:rsidRDefault="00A30AFE" w:rsidP="00F6778E">
      <w:pPr>
        <w:pStyle w:val="FootnoteText"/>
        <w:jc w:val="both"/>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C7163E">
        <w:rPr>
          <w:rFonts w:ascii="Times New Roman" w:hAnsi="Times New Roman"/>
          <w:sz w:val="14"/>
          <w:szCs w:val="14"/>
        </w:rPr>
        <w:t xml:space="preserve">Programme for </w:t>
      </w:r>
      <w:r w:rsidRPr="00CF4177">
        <w:rPr>
          <w:rFonts w:ascii="Times New Roman" w:hAnsi="Times New Roman"/>
          <w:sz w:val="14"/>
          <w:szCs w:val="14"/>
        </w:rPr>
        <w:t>accelerated growth and employment</w:t>
      </w:r>
      <w:r>
        <w:rPr>
          <w:rFonts w:ascii="Times New Roman" w:hAnsi="Times New Roman"/>
          <w:sz w:val="14"/>
          <w:szCs w:val="14"/>
        </w:rPr>
        <w:t xml:space="preserve">, </w:t>
      </w:r>
      <w:r>
        <w:rPr>
          <w:rFonts w:ascii="Times New Roman" w:hAnsi="Times New Roman"/>
          <w:color w:val="000000"/>
          <w:sz w:val="14"/>
          <w:szCs w:val="14"/>
        </w:rPr>
        <w:t>m</w:t>
      </w:r>
      <w:r w:rsidRPr="00F85D2E">
        <w:rPr>
          <w:rFonts w:ascii="Times New Roman" w:hAnsi="Times New Roman"/>
          <w:color w:val="000000"/>
          <w:sz w:val="14"/>
          <w:szCs w:val="14"/>
        </w:rPr>
        <w:t xml:space="preserve">idterm </w:t>
      </w:r>
      <w:r>
        <w:rPr>
          <w:rFonts w:ascii="Times New Roman" w:hAnsi="Times New Roman"/>
          <w:color w:val="000000"/>
          <w:sz w:val="14"/>
          <w:szCs w:val="14"/>
        </w:rPr>
        <w:t>r</w:t>
      </w:r>
      <w:r w:rsidRPr="00F85D2E">
        <w:rPr>
          <w:rFonts w:ascii="Times New Roman" w:hAnsi="Times New Roman"/>
          <w:color w:val="000000"/>
          <w:sz w:val="14"/>
          <w:szCs w:val="14"/>
        </w:rPr>
        <w:t>eview, 2014</w:t>
      </w:r>
      <w:r>
        <w:rPr>
          <w:rFonts w:ascii="Times New Roman" w:hAnsi="Times New Roman"/>
          <w:color w:val="000000"/>
          <w:sz w:val="14"/>
          <w:szCs w:val="14"/>
        </w:rPr>
        <w:t xml:space="preserve"> (</w:t>
      </w:r>
      <w:r w:rsidRPr="00F85D2E">
        <w:rPr>
          <w:rFonts w:ascii="Times New Roman" w:hAnsi="Times New Roman"/>
          <w:color w:val="000000"/>
          <w:sz w:val="14"/>
          <w:szCs w:val="14"/>
        </w:rPr>
        <w:t>supported by UNDP</w:t>
      </w:r>
      <w:r>
        <w:rPr>
          <w:rFonts w:ascii="Times New Roman" w:hAnsi="Times New Roman"/>
          <w:color w:val="000000"/>
          <w:sz w:val="14"/>
          <w:szCs w:val="14"/>
        </w:rPr>
        <w:t>)</w:t>
      </w:r>
      <w:r w:rsidRPr="00F85D2E">
        <w:rPr>
          <w:rFonts w:ascii="Times New Roman" w:hAnsi="Times New Roman"/>
          <w:color w:val="000000"/>
          <w:sz w:val="14"/>
          <w:szCs w:val="14"/>
        </w:rPr>
        <w:t xml:space="preserve">. </w:t>
      </w:r>
    </w:p>
  </w:footnote>
  <w:footnote w:id="18">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color w:val="000000"/>
          <w:sz w:val="14"/>
          <w:szCs w:val="14"/>
        </w:rPr>
        <w:t xml:space="preserve"> Country Policy and Institutional Assessment</w:t>
      </w:r>
      <w:r>
        <w:rPr>
          <w:rFonts w:ascii="Times New Roman" w:hAnsi="Times New Roman"/>
          <w:color w:val="000000"/>
          <w:sz w:val="14"/>
          <w:szCs w:val="14"/>
        </w:rPr>
        <w:t>,</w:t>
      </w:r>
      <w:r w:rsidRPr="00F85D2E">
        <w:rPr>
          <w:rFonts w:ascii="Times New Roman" w:hAnsi="Times New Roman"/>
          <w:color w:val="000000"/>
          <w:sz w:val="14"/>
          <w:szCs w:val="14"/>
        </w:rPr>
        <w:t xml:space="preserve"> Gambia report</w:t>
      </w:r>
      <w:r>
        <w:rPr>
          <w:rFonts w:ascii="Times New Roman" w:hAnsi="Times New Roman"/>
          <w:color w:val="000000"/>
          <w:sz w:val="14"/>
          <w:szCs w:val="14"/>
        </w:rPr>
        <w:t>,</w:t>
      </w:r>
      <w:r w:rsidRPr="00F85D2E">
        <w:rPr>
          <w:rFonts w:ascii="Times New Roman" w:hAnsi="Times New Roman"/>
          <w:color w:val="000000"/>
          <w:sz w:val="14"/>
          <w:szCs w:val="14"/>
        </w:rPr>
        <w:t xml:space="preserve"> 2015.</w:t>
      </w:r>
      <w:r w:rsidRPr="00F85D2E">
        <w:rPr>
          <w:rFonts w:ascii="Times New Roman" w:hAnsi="Times New Roman"/>
          <w:sz w:val="14"/>
          <w:szCs w:val="14"/>
        </w:rPr>
        <w:t xml:space="preserve"> </w:t>
      </w:r>
    </w:p>
  </w:footnote>
  <w:footnote w:id="19">
    <w:p w:rsidR="00A30AFE" w:rsidRPr="00F85D2E" w:rsidRDefault="00A30AFE" w:rsidP="00F6778E">
      <w:pPr>
        <w:pStyle w:val="FootnoteText"/>
        <w:rPr>
          <w:rFonts w:ascii="Times New Roman" w:hAnsi="Times New Roman"/>
          <w:strike/>
          <w:sz w:val="14"/>
          <w:szCs w:val="14"/>
        </w:rPr>
      </w:pPr>
      <w:r w:rsidRPr="00F85D2E">
        <w:rPr>
          <w:rStyle w:val="FootnoteReference"/>
          <w:rFonts w:ascii="Times New Roman" w:hAnsi="Times New Roman"/>
          <w:sz w:val="14"/>
          <w:szCs w:val="14"/>
        </w:rPr>
        <w:footnoteRef/>
      </w:r>
      <w:r>
        <w:rPr>
          <w:rFonts w:ascii="Times New Roman" w:hAnsi="Times New Roman"/>
          <w:color w:val="000000"/>
          <w:sz w:val="14"/>
          <w:szCs w:val="14"/>
        </w:rPr>
        <w:t xml:space="preserve"> </w:t>
      </w:r>
      <w:r w:rsidRPr="00F85D2E">
        <w:rPr>
          <w:rFonts w:ascii="Times New Roman" w:hAnsi="Times New Roman"/>
          <w:color w:val="000000"/>
          <w:sz w:val="14"/>
          <w:szCs w:val="14"/>
        </w:rPr>
        <w:t>World Bank harmonized list of countries in fragile situations</w:t>
      </w:r>
      <w:r>
        <w:rPr>
          <w:rFonts w:ascii="Times New Roman" w:hAnsi="Times New Roman"/>
          <w:color w:val="000000"/>
          <w:sz w:val="14"/>
          <w:szCs w:val="14"/>
        </w:rPr>
        <w:t xml:space="preserve">, </w:t>
      </w:r>
      <w:r w:rsidRPr="00F85D2E">
        <w:rPr>
          <w:rFonts w:ascii="Times New Roman" w:hAnsi="Times New Roman"/>
          <w:color w:val="000000"/>
          <w:sz w:val="14"/>
          <w:szCs w:val="14"/>
        </w:rPr>
        <w:t xml:space="preserve">2016. </w:t>
      </w:r>
      <w:r>
        <w:rPr>
          <w:rFonts w:ascii="Times New Roman" w:hAnsi="Times New Roman"/>
          <w:color w:val="000000"/>
          <w:sz w:val="14"/>
          <w:szCs w:val="14"/>
        </w:rPr>
        <w:t>A r</w:t>
      </w:r>
      <w:r w:rsidRPr="00F85D2E">
        <w:rPr>
          <w:rFonts w:ascii="Times New Roman" w:hAnsi="Times New Roman"/>
          <w:color w:val="000000"/>
          <w:sz w:val="14"/>
          <w:szCs w:val="14"/>
        </w:rPr>
        <w:t>ecent study by</w:t>
      </w:r>
      <w:r>
        <w:rPr>
          <w:rFonts w:ascii="Times New Roman" w:hAnsi="Times New Roman"/>
          <w:color w:val="000000"/>
          <w:sz w:val="14"/>
          <w:szCs w:val="14"/>
        </w:rPr>
        <w:t xml:space="preserve"> the</w:t>
      </w:r>
      <w:r w:rsidRPr="00F85D2E">
        <w:rPr>
          <w:rFonts w:ascii="Times New Roman" w:hAnsi="Times New Roman"/>
          <w:color w:val="000000"/>
          <w:sz w:val="14"/>
          <w:szCs w:val="14"/>
        </w:rPr>
        <w:t xml:space="preserve"> </w:t>
      </w:r>
      <w:r>
        <w:rPr>
          <w:rFonts w:ascii="Times New Roman" w:hAnsi="Times New Roman"/>
          <w:sz w:val="14"/>
          <w:lang w:val="en-GB"/>
        </w:rPr>
        <w:t>International Monetary Fund (</w:t>
      </w:r>
      <w:r w:rsidRPr="00F85D2E">
        <w:rPr>
          <w:rFonts w:ascii="Times New Roman" w:hAnsi="Times New Roman"/>
          <w:color w:val="000000"/>
          <w:sz w:val="14"/>
          <w:szCs w:val="14"/>
        </w:rPr>
        <w:t>IMF</w:t>
      </w:r>
      <w:r>
        <w:rPr>
          <w:rFonts w:ascii="Times New Roman" w:hAnsi="Times New Roman"/>
          <w:color w:val="000000"/>
          <w:sz w:val="14"/>
          <w:szCs w:val="14"/>
        </w:rPr>
        <w:t>)</w:t>
      </w:r>
      <w:r w:rsidRPr="00F85D2E">
        <w:rPr>
          <w:rFonts w:ascii="Times New Roman" w:hAnsi="Times New Roman"/>
          <w:color w:val="000000"/>
          <w:sz w:val="14"/>
          <w:szCs w:val="14"/>
        </w:rPr>
        <w:t xml:space="preserve"> indicated that fiscal policies and institutions have played a significant role in building resilience in sub-Saharan African countries during 1990-2013. </w:t>
      </w:r>
    </w:p>
  </w:footnote>
  <w:footnote w:id="20">
    <w:p w:rsidR="00A30AFE" w:rsidRDefault="00A30AFE">
      <w:pPr>
        <w:pStyle w:val="FootnoteText"/>
      </w:pPr>
      <w:r w:rsidRPr="00F85D2E">
        <w:rPr>
          <w:rStyle w:val="FootnoteReference"/>
          <w:rFonts w:ascii="Times New Roman" w:hAnsi="Times New Roman"/>
          <w:sz w:val="14"/>
          <w:szCs w:val="14"/>
        </w:rPr>
        <w:footnoteRef/>
      </w:r>
      <w:r w:rsidRPr="00F85D2E">
        <w:rPr>
          <w:rStyle w:val="FootnoteReference"/>
          <w:rFonts w:ascii="Times New Roman" w:hAnsi="Times New Roman"/>
          <w:sz w:val="14"/>
          <w:szCs w:val="14"/>
        </w:rPr>
        <w:t xml:space="preserve"> </w:t>
      </w:r>
      <w:r w:rsidRPr="00F85D2E">
        <w:rPr>
          <w:rFonts w:ascii="Times New Roman" w:hAnsi="Times New Roman"/>
          <w:sz w:val="14"/>
          <w:szCs w:val="14"/>
          <w:lang w:val="en-GB"/>
        </w:rPr>
        <w:t xml:space="preserve">Economic management challenges have </w:t>
      </w:r>
      <w:r>
        <w:rPr>
          <w:rFonts w:ascii="Times New Roman" w:hAnsi="Times New Roman"/>
          <w:sz w:val="14"/>
          <w:szCs w:val="14"/>
          <w:lang w:val="en-GB"/>
        </w:rPr>
        <w:t>resulted in</w:t>
      </w:r>
      <w:r w:rsidRPr="00F85D2E">
        <w:rPr>
          <w:rFonts w:ascii="Times New Roman" w:hAnsi="Times New Roman"/>
          <w:sz w:val="14"/>
          <w:szCs w:val="14"/>
          <w:lang w:val="en-GB"/>
        </w:rPr>
        <w:t xml:space="preserve"> a widening fiscal deficit, which was around 11</w:t>
      </w:r>
      <w:r>
        <w:rPr>
          <w:rFonts w:ascii="Times New Roman" w:hAnsi="Times New Roman"/>
          <w:sz w:val="14"/>
          <w:szCs w:val="14"/>
          <w:lang w:val="en-GB"/>
        </w:rPr>
        <w:t xml:space="preserve"> per cent</w:t>
      </w:r>
      <w:r w:rsidRPr="00F85D2E">
        <w:rPr>
          <w:rFonts w:ascii="Times New Roman" w:hAnsi="Times New Roman"/>
          <w:sz w:val="14"/>
          <w:szCs w:val="14"/>
          <w:lang w:val="en-GB"/>
        </w:rPr>
        <w:t xml:space="preserve"> of </w:t>
      </w:r>
      <w:r>
        <w:rPr>
          <w:rFonts w:ascii="Times New Roman" w:hAnsi="Times New Roman"/>
          <w:sz w:val="14"/>
          <w:szCs w:val="14"/>
          <w:lang w:val="en-GB"/>
        </w:rPr>
        <w:t>gross domestic product</w:t>
      </w:r>
      <w:r w:rsidRPr="00F85D2E">
        <w:rPr>
          <w:rFonts w:ascii="Times New Roman" w:hAnsi="Times New Roman"/>
          <w:sz w:val="14"/>
          <w:szCs w:val="14"/>
          <w:lang w:val="en-GB"/>
        </w:rPr>
        <w:t xml:space="preserve"> in 2014, largely financed by domestic debt,</w:t>
      </w:r>
      <w:r w:rsidRPr="00213C87">
        <w:rPr>
          <w:rFonts w:ascii="Times New Roman" w:hAnsi="Times New Roman"/>
          <w:sz w:val="14"/>
          <w:lang w:val="en-GB"/>
        </w:rPr>
        <w:t xml:space="preserve"> pushing the country into macroeconomic </w:t>
      </w:r>
      <w:r>
        <w:rPr>
          <w:rFonts w:ascii="Times New Roman" w:hAnsi="Times New Roman"/>
          <w:sz w:val="14"/>
          <w:lang w:val="en-GB"/>
        </w:rPr>
        <w:t>imbalances</w:t>
      </w:r>
      <w:r w:rsidRPr="00213C87">
        <w:rPr>
          <w:rFonts w:ascii="Times New Roman" w:hAnsi="Times New Roman"/>
          <w:sz w:val="14"/>
          <w:lang w:val="en-GB"/>
        </w:rPr>
        <w:t>. The wage bill and interest payments climbed above 70</w:t>
      </w:r>
      <w:r>
        <w:rPr>
          <w:rFonts w:ascii="Times New Roman" w:hAnsi="Times New Roman"/>
          <w:sz w:val="14"/>
          <w:lang w:val="en-GB"/>
        </w:rPr>
        <w:t xml:space="preserve"> per cent</w:t>
      </w:r>
      <w:r w:rsidRPr="00213C87">
        <w:rPr>
          <w:rFonts w:ascii="Times New Roman" w:hAnsi="Times New Roman"/>
          <w:sz w:val="14"/>
          <w:lang w:val="en-GB"/>
        </w:rPr>
        <w:t xml:space="preserve"> of the total budget, reducing </w:t>
      </w:r>
      <w:r>
        <w:rPr>
          <w:rFonts w:ascii="Times New Roman" w:hAnsi="Times New Roman"/>
          <w:sz w:val="14"/>
          <w:lang w:val="en-GB"/>
        </w:rPr>
        <w:t>funds available for</w:t>
      </w:r>
      <w:r w:rsidRPr="00213C87">
        <w:rPr>
          <w:rFonts w:ascii="Times New Roman" w:hAnsi="Times New Roman"/>
          <w:sz w:val="14"/>
          <w:lang w:val="en-GB"/>
        </w:rPr>
        <w:t xml:space="preserve"> development</w:t>
      </w:r>
      <w:r>
        <w:rPr>
          <w:rFonts w:ascii="Times New Roman" w:hAnsi="Times New Roman"/>
          <w:sz w:val="14"/>
          <w:lang w:val="en-GB"/>
        </w:rPr>
        <w:t>. IMF report, September 2015.</w:t>
      </w:r>
      <w:r w:rsidRPr="00213C87">
        <w:rPr>
          <w:rFonts w:ascii="Times New Roman" w:hAnsi="Times New Roman"/>
          <w:sz w:val="14"/>
          <w:lang w:val="en-GB"/>
        </w:rPr>
        <w:t xml:space="preserve"> The high interest rate of </w:t>
      </w:r>
      <w:r>
        <w:rPr>
          <w:rFonts w:ascii="Times New Roman" w:hAnsi="Times New Roman"/>
          <w:sz w:val="14"/>
          <w:lang w:val="en-GB"/>
        </w:rPr>
        <w:t>t</w:t>
      </w:r>
      <w:r w:rsidRPr="00213C87">
        <w:rPr>
          <w:rFonts w:ascii="Times New Roman" w:hAnsi="Times New Roman"/>
          <w:sz w:val="14"/>
          <w:lang w:val="en-GB"/>
        </w:rPr>
        <w:t xml:space="preserve">reasury </w:t>
      </w:r>
      <w:r>
        <w:rPr>
          <w:rFonts w:ascii="Times New Roman" w:hAnsi="Times New Roman"/>
          <w:sz w:val="14"/>
          <w:lang w:val="en-GB"/>
        </w:rPr>
        <w:t>b</w:t>
      </w:r>
      <w:r w:rsidRPr="00213C87">
        <w:rPr>
          <w:rFonts w:ascii="Times New Roman" w:hAnsi="Times New Roman"/>
          <w:sz w:val="14"/>
          <w:lang w:val="en-GB"/>
        </w:rPr>
        <w:t>ills (above 20</w:t>
      </w:r>
      <w:r>
        <w:rPr>
          <w:rFonts w:ascii="Times New Roman" w:hAnsi="Times New Roman"/>
          <w:sz w:val="14"/>
          <w:lang w:val="en-GB"/>
        </w:rPr>
        <w:t xml:space="preserve"> per cent</w:t>
      </w:r>
      <w:r w:rsidRPr="00213C87">
        <w:rPr>
          <w:rFonts w:ascii="Times New Roman" w:hAnsi="Times New Roman"/>
          <w:sz w:val="14"/>
          <w:lang w:val="en-GB"/>
        </w:rPr>
        <w:t>) has reduced private sector accessibility to credit/finance (-7.5</w:t>
      </w:r>
      <w:r>
        <w:rPr>
          <w:rFonts w:ascii="Times New Roman" w:hAnsi="Times New Roman"/>
          <w:sz w:val="14"/>
          <w:lang w:val="en-GB"/>
        </w:rPr>
        <w:t xml:space="preserve"> per cent</w:t>
      </w:r>
      <w:r w:rsidRPr="00213C87">
        <w:rPr>
          <w:rFonts w:ascii="Times New Roman" w:hAnsi="Times New Roman"/>
          <w:sz w:val="14"/>
          <w:lang w:val="en-GB"/>
        </w:rPr>
        <w:t>) in 2014</w:t>
      </w:r>
      <w:r>
        <w:rPr>
          <w:rFonts w:ascii="Times New Roman" w:hAnsi="Times New Roman"/>
          <w:sz w:val="14"/>
          <w:lang w:val="en-GB"/>
        </w:rPr>
        <w:t xml:space="preserve">. </w:t>
      </w:r>
      <w:r w:rsidRPr="00D952A1">
        <w:rPr>
          <w:rFonts w:ascii="Times New Roman" w:hAnsi="Times New Roman"/>
          <w:sz w:val="14"/>
          <w:lang w:val="en-GB"/>
        </w:rPr>
        <w:t>African</w:t>
      </w:r>
      <w:r w:rsidRPr="00213C87">
        <w:rPr>
          <w:rFonts w:ascii="Times New Roman" w:hAnsi="Times New Roman"/>
          <w:sz w:val="14"/>
          <w:lang w:val="en-GB"/>
        </w:rPr>
        <w:t xml:space="preserve"> Economic Outlook</w:t>
      </w:r>
      <w:r>
        <w:rPr>
          <w:rFonts w:ascii="Times New Roman" w:hAnsi="Times New Roman"/>
          <w:sz w:val="14"/>
          <w:lang w:val="en-GB"/>
        </w:rPr>
        <w:t>,</w:t>
      </w:r>
      <w:r w:rsidRPr="00213C87">
        <w:rPr>
          <w:rFonts w:ascii="Times New Roman" w:hAnsi="Times New Roman"/>
          <w:sz w:val="14"/>
          <w:lang w:val="en-GB"/>
        </w:rPr>
        <w:t xml:space="preserve"> 2015.</w:t>
      </w:r>
      <w:r>
        <w:rPr>
          <w:rFonts w:ascii="Times New Roman" w:hAnsi="Times New Roman"/>
          <w:sz w:val="14"/>
        </w:rPr>
        <w:t xml:space="preserve"> </w:t>
      </w:r>
      <w:r w:rsidRPr="00213C87">
        <w:rPr>
          <w:rStyle w:val="FootnoteReference"/>
          <w:rFonts w:ascii="Times New Roman" w:hAnsi="Times New Roman"/>
          <w:sz w:val="14"/>
        </w:rPr>
        <w:t xml:space="preserve">    </w:t>
      </w:r>
    </w:p>
  </w:footnote>
  <w:footnote w:id="21">
    <w:p w:rsidR="00A30AFE" w:rsidRPr="001679A7" w:rsidRDefault="00A30AFE" w:rsidP="00F6778E">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C7163E">
        <w:rPr>
          <w:rFonts w:ascii="Times New Roman" w:hAnsi="Times New Roman"/>
          <w:sz w:val="14"/>
          <w:lang w:val="en-GB"/>
        </w:rPr>
        <w:t>Programme for Accelerated Growth and Employment,</w:t>
      </w:r>
      <w:r w:rsidRPr="001679A7">
        <w:rPr>
          <w:rFonts w:ascii="Times New Roman" w:hAnsi="Times New Roman"/>
          <w:sz w:val="14"/>
          <w:lang w:val="en-GB"/>
        </w:rPr>
        <w:t xml:space="preserve"> </w:t>
      </w:r>
      <w:r>
        <w:rPr>
          <w:rFonts w:ascii="Times New Roman" w:hAnsi="Times New Roman"/>
          <w:sz w:val="14"/>
          <w:lang w:val="en-GB"/>
        </w:rPr>
        <w:t>m</w:t>
      </w:r>
      <w:r w:rsidRPr="001679A7">
        <w:rPr>
          <w:rFonts w:ascii="Times New Roman" w:hAnsi="Times New Roman"/>
          <w:sz w:val="14"/>
          <w:lang w:val="en-GB"/>
        </w:rPr>
        <w:t>idterm review, October 2014.</w:t>
      </w:r>
      <w:r w:rsidRPr="001679A7">
        <w:rPr>
          <w:rFonts w:ascii="Times New Roman" w:hAnsi="Times New Roman"/>
          <w:sz w:val="14"/>
        </w:rPr>
        <w:t xml:space="preserve"> </w:t>
      </w:r>
    </w:p>
  </w:footnote>
  <w:footnote w:id="22">
    <w:p w:rsidR="00A30AFE" w:rsidRPr="001679A7" w:rsidRDefault="00A30AFE" w:rsidP="002F1782">
      <w:pPr>
        <w:pStyle w:val="FootnoteText"/>
        <w:jc w:val="both"/>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sz w:val="14"/>
          <w:lang w:val="en-GB"/>
        </w:rPr>
        <w:t>More than 98</w:t>
      </w:r>
      <w:r>
        <w:rPr>
          <w:rFonts w:ascii="Times New Roman" w:hAnsi="Times New Roman"/>
          <w:sz w:val="14"/>
          <w:lang w:val="en-GB"/>
        </w:rPr>
        <w:t xml:space="preserve"> per cent</w:t>
      </w:r>
      <w:r w:rsidRPr="001679A7">
        <w:rPr>
          <w:rFonts w:ascii="Times New Roman" w:hAnsi="Times New Roman"/>
          <w:sz w:val="14"/>
          <w:lang w:val="en-GB"/>
        </w:rPr>
        <w:t xml:space="preserve"> of agricultural lands in </w:t>
      </w:r>
      <w:r>
        <w:rPr>
          <w:rFonts w:ascii="Times New Roman" w:hAnsi="Times New Roman"/>
          <w:sz w:val="14"/>
          <w:lang w:val="en-GB"/>
        </w:rPr>
        <w:t>t</w:t>
      </w:r>
      <w:r w:rsidRPr="001679A7">
        <w:rPr>
          <w:rFonts w:ascii="Times New Roman" w:hAnsi="Times New Roman"/>
          <w:sz w:val="14"/>
          <w:lang w:val="en-GB"/>
        </w:rPr>
        <w:t>he Gambia are rain-fed, making the sector highly vulnerable to rainfall variability.</w:t>
      </w:r>
    </w:p>
  </w:footnote>
  <w:footnote w:id="23">
    <w:p w:rsidR="00A30AFE" w:rsidRPr="00FB0EF2" w:rsidRDefault="00A30AFE">
      <w:pPr>
        <w:pStyle w:val="FootnoteText"/>
        <w:rPr>
          <w:rFonts w:ascii="Times New Roman" w:hAnsi="Times New Roman"/>
          <w:sz w:val="14"/>
          <w:szCs w:val="14"/>
        </w:rPr>
      </w:pPr>
      <w:r w:rsidRPr="00FB0EF2">
        <w:rPr>
          <w:rStyle w:val="FootnoteReference"/>
          <w:rFonts w:ascii="Times New Roman" w:hAnsi="Times New Roman"/>
          <w:sz w:val="14"/>
          <w:szCs w:val="14"/>
        </w:rPr>
        <w:footnoteRef/>
      </w:r>
      <w:r w:rsidRPr="00FB0EF2">
        <w:rPr>
          <w:rFonts w:ascii="Times New Roman" w:hAnsi="Times New Roman"/>
          <w:sz w:val="14"/>
          <w:szCs w:val="14"/>
        </w:rPr>
        <w:t xml:space="preserve"> </w:t>
      </w:r>
      <w:r w:rsidRPr="00FB0EF2">
        <w:rPr>
          <w:rFonts w:ascii="Times New Roman" w:hAnsi="Times New Roman"/>
          <w:sz w:val="14"/>
          <w:szCs w:val="14"/>
          <w:lang w:val="en-GB"/>
        </w:rPr>
        <w:t xml:space="preserve">It is estimated that </w:t>
      </w:r>
      <w:r w:rsidRPr="00FB0EF2">
        <w:rPr>
          <w:rFonts w:ascii="Times New Roman" w:hAnsi="Times New Roman"/>
          <w:sz w:val="14"/>
          <w:szCs w:val="14"/>
        </w:rPr>
        <w:t>a one-meter rise in sea level will inundat</w:t>
      </w:r>
      <w:r>
        <w:rPr>
          <w:rFonts w:ascii="Times New Roman" w:hAnsi="Times New Roman"/>
          <w:sz w:val="14"/>
          <w:szCs w:val="14"/>
        </w:rPr>
        <w:t>e about 8.7 per cent of total land area.</w:t>
      </w:r>
    </w:p>
  </w:footnote>
  <w:footnote w:id="24">
    <w:p w:rsidR="00A30AFE" w:rsidRPr="001679A7" w:rsidRDefault="00A30AFE" w:rsidP="001679A7">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sz w:val="14"/>
          <w:lang w:val="en-GB"/>
        </w:rPr>
        <w:t xml:space="preserve">Common Country </w:t>
      </w:r>
      <w:r w:rsidRPr="002E7856">
        <w:rPr>
          <w:rFonts w:ascii="Times New Roman" w:hAnsi="Times New Roman"/>
          <w:sz w:val="14"/>
          <w:szCs w:val="14"/>
          <w:lang w:val="en-GB"/>
        </w:rPr>
        <w:t>Assessment</w:t>
      </w:r>
      <w:r w:rsidRPr="001679A7">
        <w:rPr>
          <w:rFonts w:ascii="Times New Roman" w:hAnsi="Times New Roman"/>
          <w:sz w:val="14"/>
          <w:lang w:val="en-GB"/>
        </w:rPr>
        <w:t xml:space="preserve"> </w:t>
      </w:r>
    </w:p>
  </w:footnote>
  <w:footnote w:id="25">
    <w:p w:rsidR="00A30AFE" w:rsidRPr="00D818C8" w:rsidRDefault="00A30AFE">
      <w:pPr>
        <w:pStyle w:val="FootnoteText"/>
        <w:rPr>
          <w:rFonts w:ascii="Times New Roman" w:hAnsi="Times New Roman"/>
          <w:sz w:val="14"/>
          <w:szCs w:val="14"/>
        </w:rPr>
      </w:pPr>
      <w:r w:rsidRPr="00D818C8">
        <w:rPr>
          <w:rStyle w:val="FootnoteReference"/>
          <w:rFonts w:ascii="Times New Roman" w:hAnsi="Times New Roman"/>
          <w:sz w:val="14"/>
          <w:szCs w:val="14"/>
        </w:rPr>
        <w:footnoteRef/>
      </w:r>
      <w:r w:rsidRPr="00D818C8">
        <w:rPr>
          <w:rFonts w:ascii="Times New Roman" w:hAnsi="Times New Roman"/>
          <w:sz w:val="14"/>
          <w:szCs w:val="14"/>
        </w:rPr>
        <w:t xml:space="preserve"> </w:t>
      </w:r>
      <w:r w:rsidRPr="00D818C8">
        <w:rPr>
          <w:rFonts w:ascii="Times New Roman" w:hAnsi="Times New Roman"/>
          <w:color w:val="0D0D0D"/>
          <w:sz w:val="14"/>
          <w:szCs w:val="14"/>
        </w:rPr>
        <w:t>To address this challenge, t</w:t>
      </w:r>
      <w:r w:rsidRPr="00D818C8">
        <w:rPr>
          <w:rFonts w:ascii="Times New Roman" w:hAnsi="Times New Roman"/>
          <w:sz w:val="14"/>
          <w:szCs w:val="14"/>
          <w:lang w:val="en-GB"/>
        </w:rPr>
        <w:t xml:space="preserve">he </w:t>
      </w:r>
      <w:r>
        <w:rPr>
          <w:rFonts w:ascii="Times New Roman" w:hAnsi="Times New Roman"/>
          <w:sz w:val="14"/>
          <w:szCs w:val="14"/>
          <w:lang w:val="en-GB"/>
        </w:rPr>
        <w:t>G</w:t>
      </w:r>
      <w:r w:rsidRPr="00D818C8">
        <w:rPr>
          <w:rFonts w:ascii="Times New Roman" w:hAnsi="Times New Roman"/>
          <w:sz w:val="14"/>
          <w:szCs w:val="14"/>
          <w:lang w:val="en-GB"/>
        </w:rPr>
        <w:t xml:space="preserve">overnment formulated a </w:t>
      </w:r>
      <w:r>
        <w:rPr>
          <w:rFonts w:ascii="Times New Roman" w:hAnsi="Times New Roman"/>
          <w:sz w:val="14"/>
          <w:szCs w:val="14"/>
          <w:lang w:val="en-GB"/>
        </w:rPr>
        <w:t>n</w:t>
      </w:r>
      <w:r w:rsidRPr="00D818C8">
        <w:rPr>
          <w:rFonts w:ascii="Times New Roman" w:hAnsi="Times New Roman"/>
          <w:sz w:val="14"/>
          <w:szCs w:val="14"/>
          <w:lang w:val="en-GB"/>
        </w:rPr>
        <w:t xml:space="preserve">ational </w:t>
      </w:r>
      <w:r>
        <w:rPr>
          <w:rFonts w:ascii="Times New Roman" w:hAnsi="Times New Roman"/>
          <w:sz w:val="14"/>
          <w:szCs w:val="14"/>
          <w:lang w:val="en-GB"/>
        </w:rPr>
        <w:t>c</w:t>
      </w:r>
      <w:r w:rsidRPr="00D818C8">
        <w:rPr>
          <w:rFonts w:ascii="Times New Roman" w:hAnsi="Times New Roman"/>
          <w:sz w:val="14"/>
          <w:szCs w:val="14"/>
          <w:lang w:val="en-GB"/>
        </w:rPr>
        <w:t xml:space="preserve">limate </w:t>
      </w:r>
      <w:r>
        <w:rPr>
          <w:rFonts w:ascii="Times New Roman" w:hAnsi="Times New Roman"/>
          <w:sz w:val="14"/>
          <w:szCs w:val="14"/>
          <w:lang w:val="en-GB"/>
        </w:rPr>
        <w:t>c</w:t>
      </w:r>
      <w:r w:rsidRPr="00D818C8">
        <w:rPr>
          <w:rFonts w:ascii="Times New Roman" w:hAnsi="Times New Roman"/>
          <w:sz w:val="14"/>
          <w:szCs w:val="14"/>
          <w:lang w:val="en-GB"/>
        </w:rPr>
        <w:t xml:space="preserve">hange </w:t>
      </w:r>
      <w:r>
        <w:rPr>
          <w:rFonts w:ascii="Times New Roman" w:hAnsi="Times New Roman"/>
          <w:sz w:val="14"/>
          <w:szCs w:val="14"/>
          <w:lang w:val="en-GB"/>
        </w:rPr>
        <w:t>p</w:t>
      </w:r>
      <w:r w:rsidRPr="00D818C8">
        <w:rPr>
          <w:rFonts w:ascii="Times New Roman" w:hAnsi="Times New Roman"/>
          <w:sz w:val="14"/>
          <w:szCs w:val="14"/>
          <w:lang w:val="en-GB"/>
        </w:rPr>
        <w:t>olicy in 2015.</w:t>
      </w:r>
      <w:r w:rsidRPr="00D818C8">
        <w:rPr>
          <w:rFonts w:ascii="Times New Roman" w:hAnsi="Times New Roman"/>
          <w:sz w:val="14"/>
          <w:szCs w:val="14"/>
        </w:rPr>
        <w:t xml:space="preserve"> </w:t>
      </w:r>
    </w:p>
  </w:footnote>
  <w:footnote w:id="26">
    <w:p w:rsidR="00A30AFE" w:rsidRDefault="00A30AFE" w:rsidP="00227092">
      <w:pPr>
        <w:pStyle w:val="FootnoteText"/>
      </w:pPr>
      <w:r w:rsidRPr="00213C87">
        <w:rPr>
          <w:rStyle w:val="FootnoteReference"/>
          <w:rFonts w:ascii="Times New Roman" w:hAnsi="Times New Roman"/>
          <w:sz w:val="14"/>
        </w:rPr>
        <w:footnoteRef/>
      </w:r>
      <w:r>
        <w:rPr>
          <w:rFonts w:ascii="Times New Roman" w:hAnsi="Times New Roman"/>
          <w:sz w:val="14"/>
          <w:szCs w:val="14"/>
          <w:lang w:val="en-GB"/>
        </w:rPr>
        <w:t xml:space="preserve"> </w:t>
      </w:r>
      <w:r w:rsidRPr="00123649">
        <w:rPr>
          <w:rFonts w:ascii="Times New Roman" w:hAnsi="Times New Roman"/>
          <w:sz w:val="14"/>
          <w:szCs w:val="14"/>
          <w:lang w:val="en-GB"/>
        </w:rPr>
        <w:t xml:space="preserve">Women account </w:t>
      </w:r>
      <w:r>
        <w:rPr>
          <w:rFonts w:ascii="Times New Roman" w:hAnsi="Times New Roman"/>
          <w:sz w:val="14"/>
          <w:szCs w:val="14"/>
          <w:lang w:val="en-GB"/>
        </w:rPr>
        <w:t xml:space="preserve">for </w:t>
      </w:r>
      <w:r w:rsidRPr="00123649">
        <w:rPr>
          <w:rFonts w:ascii="Times New Roman" w:hAnsi="Times New Roman"/>
          <w:sz w:val="14"/>
          <w:szCs w:val="14"/>
          <w:lang w:val="en-GB"/>
        </w:rPr>
        <w:t xml:space="preserve">only 9.4 </w:t>
      </w:r>
      <w:r>
        <w:rPr>
          <w:rFonts w:ascii="Times New Roman" w:hAnsi="Times New Roman"/>
          <w:sz w:val="14"/>
          <w:szCs w:val="14"/>
          <w:lang w:val="en-GB"/>
        </w:rPr>
        <w:t xml:space="preserve"> per cent</w:t>
      </w:r>
      <w:r w:rsidRPr="00123649">
        <w:rPr>
          <w:rFonts w:ascii="Times New Roman" w:hAnsi="Times New Roman"/>
          <w:sz w:val="14"/>
          <w:szCs w:val="14"/>
          <w:lang w:val="en-GB"/>
        </w:rPr>
        <w:t xml:space="preserve"> parliament s</w:t>
      </w:r>
      <w:r>
        <w:rPr>
          <w:rFonts w:ascii="Times New Roman" w:hAnsi="Times New Roman"/>
          <w:sz w:val="14"/>
          <w:szCs w:val="14"/>
          <w:lang w:val="en-GB"/>
        </w:rPr>
        <w:t>ea</w:t>
      </w:r>
      <w:r w:rsidRPr="00123649">
        <w:rPr>
          <w:rFonts w:ascii="Times New Roman" w:hAnsi="Times New Roman"/>
          <w:sz w:val="14"/>
          <w:szCs w:val="14"/>
          <w:lang w:val="en-GB"/>
        </w:rPr>
        <w:t>ts</w:t>
      </w:r>
      <w:r>
        <w:rPr>
          <w:rFonts w:ascii="Times New Roman" w:hAnsi="Times New Roman"/>
          <w:sz w:val="14"/>
          <w:szCs w:val="14"/>
          <w:lang w:val="en-GB"/>
        </w:rPr>
        <w:t>,</w:t>
      </w:r>
      <w:r w:rsidRPr="00123649">
        <w:rPr>
          <w:rFonts w:ascii="Times New Roman" w:hAnsi="Times New Roman"/>
          <w:sz w:val="14"/>
          <w:szCs w:val="14"/>
          <w:lang w:val="en-GB"/>
        </w:rPr>
        <w:t xml:space="preserve"> </w:t>
      </w:r>
      <w:r>
        <w:rPr>
          <w:rFonts w:ascii="Times New Roman" w:hAnsi="Times New Roman"/>
          <w:sz w:val="14"/>
          <w:szCs w:val="14"/>
          <w:lang w:val="en-GB"/>
        </w:rPr>
        <w:t>according to</w:t>
      </w:r>
      <w:r w:rsidRPr="00123649">
        <w:rPr>
          <w:rFonts w:ascii="Times New Roman" w:hAnsi="Times New Roman"/>
          <w:sz w:val="14"/>
          <w:szCs w:val="14"/>
          <w:lang w:val="en-GB"/>
        </w:rPr>
        <w:t xml:space="preserve"> the MDG status report</w:t>
      </w:r>
      <w:r>
        <w:rPr>
          <w:rFonts w:ascii="Times New Roman" w:hAnsi="Times New Roman"/>
          <w:sz w:val="14"/>
          <w:szCs w:val="14"/>
          <w:lang w:val="en-GB"/>
        </w:rPr>
        <w:t xml:space="preserve">, </w:t>
      </w:r>
      <w:r w:rsidRPr="00123649">
        <w:rPr>
          <w:rFonts w:ascii="Times New Roman" w:hAnsi="Times New Roman"/>
          <w:sz w:val="14"/>
          <w:szCs w:val="14"/>
          <w:lang w:val="en-GB"/>
        </w:rPr>
        <w:t>2014</w:t>
      </w:r>
    </w:p>
  </w:footnote>
  <w:footnote w:id="27">
    <w:p w:rsidR="00A30AFE" w:rsidRPr="00767834" w:rsidRDefault="00A30AFE" w:rsidP="00C811E3">
      <w:pPr>
        <w:pStyle w:val="FootnoteText"/>
        <w:rPr>
          <w:rFonts w:ascii="Times New Roman" w:hAnsi="Times New Roman"/>
          <w:sz w:val="14"/>
          <w:szCs w:val="14"/>
        </w:rPr>
      </w:pPr>
      <w:r w:rsidRPr="00767834">
        <w:rPr>
          <w:rStyle w:val="FootnoteReference"/>
          <w:rFonts w:ascii="Times New Roman" w:hAnsi="Times New Roman"/>
          <w:sz w:val="14"/>
          <w:szCs w:val="14"/>
        </w:rPr>
        <w:footnoteRef/>
      </w:r>
      <w:r w:rsidRPr="00767834">
        <w:rPr>
          <w:rFonts w:ascii="Times New Roman" w:hAnsi="Times New Roman"/>
          <w:sz w:val="14"/>
          <w:szCs w:val="14"/>
        </w:rPr>
        <w:t xml:space="preserve"> </w:t>
      </w:r>
      <w:r w:rsidRPr="00767834">
        <w:rPr>
          <w:rFonts w:ascii="Times New Roman" w:hAnsi="Times New Roman"/>
          <w:sz w:val="14"/>
          <w:szCs w:val="14"/>
          <w:lang w:val="en-GB"/>
        </w:rPr>
        <w:t xml:space="preserve">According to </w:t>
      </w:r>
      <w:r>
        <w:rPr>
          <w:rFonts w:ascii="Times New Roman" w:hAnsi="Times New Roman"/>
          <w:sz w:val="14"/>
          <w:szCs w:val="14"/>
          <w:lang w:val="en-GB"/>
        </w:rPr>
        <w:t>Eurostat</w:t>
      </w:r>
      <w:r w:rsidRPr="00767834">
        <w:rPr>
          <w:rFonts w:ascii="Times New Roman" w:hAnsi="Times New Roman"/>
          <w:sz w:val="14"/>
          <w:szCs w:val="14"/>
          <w:lang w:val="en-GB"/>
        </w:rPr>
        <w:t xml:space="preserve"> data</w:t>
      </w:r>
      <w:r>
        <w:rPr>
          <w:rFonts w:ascii="Times New Roman" w:hAnsi="Times New Roman"/>
          <w:sz w:val="14"/>
          <w:szCs w:val="14"/>
          <w:lang w:val="en-GB"/>
        </w:rPr>
        <w:t>,</w:t>
      </w:r>
      <w:r w:rsidRPr="00767834">
        <w:rPr>
          <w:rFonts w:ascii="Times New Roman" w:hAnsi="Times New Roman"/>
          <w:sz w:val="14"/>
          <w:szCs w:val="14"/>
          <w:lang w:val="en-GB"/>
        </w:rPr>
        <w:t xml:space="preserve"> over 12, 000 Gambian migrants requested asylum in 2014</w:t>
      </w:r>
      <w:r>
        <w:rPr>
          <w:rFonts w:ascii="Times New Roman" w:hAnsi="Times New Roman"/>
          <w:sz w:val="14"/>
          <w:szCs w:val="14"/>
          <w:lang w:val="en-GB"/>
        </w:rPr>
        <w:t>.</w:t>
      </w:r>
      <w:r w:rsidRPr="00767834">
        <w:rPr>
          <w:rFonts w:ascii="Times New Roman" w:hAnsi="Times New Roman"/>
          <w:sz w:val="14"/>
          <w:szCs w:val="14"/>
          <w:lang w:val="en-GB"/>
        </w:rPr>
        <w:t xml:space="preserve"> </w:t>
      </w:r>
    </w:p>
  </w:footnote>
  <w:footnote w:id="28">
    <w:p w:rsidR="00A30AFE" w:rsidRPr="00AD5ADA" w:rsidRDefault="00A30AFE">
      <w:pPr>
        <w:pStyle w:val="FootnoteText"/>
        <w:rPr>
          <w:rFonts w:ascii="Times New Roman" w:hAnsi="Times New Roman"/>
          <w:sz w:val="14"/>
        </w:rPr>
      </w:pPr>
      <w:r w:rsidRPr="00213C87">
        <w:rPr>
          <w:rStyle w:val="FootnoteReference"/>
          <w:rFonts w:ascii="Times New Roman" w:hAnsi="Times New Roman"/>
          <w:sz w:val="14"/>
        </w:rPr>
        <w:footnoteRef/>
      </w:r>
      <w:r w:rsidRPr="00213C87">
        <w:rPr>
          <w:rStyle w:val="FootnoteReference"/>
        </w:rPr>
        <w:t xml:space="preserve"> </w:t>
      </w:r>
      <w:r>
        <w:rPr>
          <w:rFonts w:ascii="Times New Roman" w:hAnsi="Times New Roman"/>
          <w:sz w:val="14"/>
          <w:szCs w:val="14"/>
        </w:rPr>
        <w:t xml:space="preserve">Women represent </w:t>
      </w:r>
      <w:r w:rsidRPr="00AD5ADA">
        <w:rPr>
          <w:rFonts w:ascii="Times New Roman" w:hAnsi="Times New Roman"/>
          <w:sz w:val="14"/>
        </w:rPr>
        <w:t>9</w:t>
      </w:r>
      <w:r>
        <w:rPr>
          <w:rFonts w:ascii="Times New Roman" w:hAnsi="Times New Roman"/>
          <w:sz w:val="14"/>
        </w:rPr>
        <w:t xml:space="preserve"> per cent</w:t>
      </w:r>
      <w:r w:rsidRPr="00AD5ADA">
        <w:rPr>
          <w:rFonts w:ascii="Times New Roman" w:hAnsi="Times New Roman"/>
          <w:sz w:val="14"/>
        </w:rPr>
        <w:t xml:space="preserve"> in parliament and below 20</w:t>
      </w:r>
      <w:r>
        <w:rPr>
          <w:rFonts w:ascii="Times New Roman" w:hAnsi="Times New Roman"/>
          <w:sz w:val="14"/>
        </w:rPr>
        <w:t xml:space="preserve"> per cent</w:t>
      </w:r>
      <w:r w:rsidRPr="00AD5ADA">
        <w:rPr>
          <w:rFonts w:ascii="Times New Roman" w:hAnsi="Times New Roman"/>
          <w:sz w:val="14"/>
        </w:rPr>
        <w:t xml:space="preserve"> </w:t>
      </w:r>
      <w:r>
        <w:rPr>
          <w:rFonts w:ascii="Times New Roman" w:hAnsi="Times New Roman"/>
          <w:sz w:val="14"/>
        </w:rPr>
        <w:t xml:space="preserve">in </w:t>
      </w:r>
      <w:r w:rsidRPr="00AD5ADA">
        <w:rPr>
          <w:rFonts w:ascii="Times New Roman" w:hAnsi="Times New Roman"/>
          <w:sz w:val="14"/>
        </w:rPr>
        <w:t>local council</w:t>
      </w:r>
      <w:r>
        <w:rPr>
          <w:rFonts w:ascii="Times New Roman" w:hAnsi="Times New Roman"/>
          <w:sz w:val="14"/>
        </w:rPr>
        <w:t>s</w:t>
      </w:r>
      <w:r>
        <w:rPr>
          <w:rFonts w:ascii="Times New Roman" w:hAnsi="Times New Roman"/>
          <w:sz w:val="14"/>
          <w:szCs w:val="14"/>
        </w:rPr>
        <w:t>.</w:t>
      </w:r>
    </w:p>
  </w:footnote>
  <w:footnote w:id="29">
    <w:p w:rsidR="00A30AFE" w:rsidRPr="00FC1CF1" w:rsidRDefault="00A30AFE" w:rsidP="0089081D">
      <w:pPr>
        <w:pStyle w:val="FootnoteText"/>
        <w:tabs>
          <w:tab w:val="left" w:pos="1710"/>
        </w:tabs>
        <w:rPr>
          <w:rFonts w:ascii="Times New Roman" w:hAnsi="Times New Roman"/>
          <w:sz w:val="14"/>
          <w:szCs w:val="14"/>
        </w:rPr>
      </w:pPr>
      <w:r w:rsidRPr="00213C87">
        <w:rPr>
          <w:rStyle w:val="FootnoteReference"/>
          <w:rFonts w:ascii="Times New Roman" w:hAnsi="Times New Roman"/>
          <w:sz w:val="14"/>
        </w:rPr>
        <w:footnoteRef/>
      </w:r>
      <w:r>
        <w:rPr>
          <w:rFonts w:ascii="Times New Roman" w:hAnsi="Times New Roman"/>
          <w:sz w:val="14"/>
          <w:szCs w:val="14"/>
        </w:rPr>
        <w:t xml:space="preserve"> </w:t>
      </w:r>
      <w:r w:rsidRPr="00FC1CF1">
        <w:rPr>
          <w:rFonts w:ascii="Times New Roman" w:hAnsi="Times New Roman"/>
          <w:sz w:val="14"/>
          <w:szCs w:val="14"/>
        </w:rPr>
        <w:t xml:space="preserve">Terminal </w:t>
      </w:r>
      <w:r>
        <w:rPr>
          <w:rFonts w:ascii="Times New Roman" w:hAnsi="Times New Roman"/>
          <w:sz w:val="14"/>
          <w:szCs w:val="14"/>
        </w:rPr>
        <w:t>e</w:t>
      </w:r>
      <w:r w:rsidRPr="00FC1CF1">
        <w:rPr>
          <w:rFonts w:ascii="Times New Roman" w:hAnsi="Times New Roman"/>
          <w:sz w:val="14"/>
          <w:szCs w:val="14"/>
        </w:rPr>
        <w:t xml:space="preserve">valuation of </w:t>
      </w:r>
      <w:r>
        <w:rPr>
          <w:rFonts w:ascii="Times New Roman" w:hAnsi="Times New Roman"/>
          <w:sz w:val="14"/>
          <w:szCs w:val="14"/>
        </w:rPr>
        <w:t>p</w:t>
      </w:r>
      <w:r w:rsidRPr="00FC1CF1">
        <w:rPr>
          <w:rFonts w:ascii="Times New Roman" w:hAnsi="Times New Roman"/>
          <w:sz w:val="14"/>
          <w:szCs w:val="14"/>
        </w:rPr>
        <w:t xml:space="preserve">ublic </w:t>
      </w:r>
      <w:r>
        <w:rPr>
          <w:rFonts w:ascii="Times New Roman" w:hAnsi="Times New Roman"/>
          <w:sz w:val="14"/>
          <w:szCs w:val="14"/>
        </w:rPr>
        <w:t>s</w:t>
      </w:r>
      <w:r w:rsidRPr="00FC1CF1">
        <w:rPr>
          <w:rFonts w:ascii="Times New Roman" w:hAnsi="Times New Roman"/>
          <w:sz w:val="14"/>
          <w:szCs w:val="14"/>
        </w:rPr>
        <w:t xml:space="preserve">ervice </w:t>
      </w:r>
      <w:r>
        <w:rPr>
          <w:rFonts w:ascii="Times New Roman" w:hAnsi="Times New Roman"/>
          <w:sz w:val="14"/>
          <w:szCs w:val="14"/>
        </w:rPr>
        <w:t>r</w:t>
      </w:r>
      <w:r w:rsidRPr="00FC1CF1">
        <w:rPr>
          <w:rFonts w:ascii="Times New Roman" w:hAnsi="Times New Roman"/>
          <w:sz w:val="14"/>
          <w:szCs w:val="14"/>
        </w:rPr>
        <w:t xml:space="preserve">eform and </w:t>
      </w:r>
      <w:r>
        <w:rPr>
          <w:rFonts w:ascii="Times New Roman" w:hAnsi="Times New Roman"/>
          <w:sz w:val="14"/>
          <w:szCs w:val="14"/>
        </w:rPr>
        <w:t>i</w:t>
      </w:r>
      <w:r w:rsidRPr="00FC1CF1">
        <w:rPr>
          <w:rFonts w:ascii="Times New Roman" w:hAnsi="Times New Roman"/>
          <w:sz w:val="14"/>
          <w:szCs w:val="14"/>
        </w:rPr>
        <w:t xml:space="preserve">nstitutional </w:t>
      </w:r>
      <w:r>
        <w:rPr>
          <w:rFonts w:ascii="Times New Roman" w:hAnsi="Times New Roman"/>
          <w:sz w:val="14"/>
          <w:szCs w:val="14"/>
        </w:rPr>
        <w:t>s</w:t>
      </w:r>
      <w:r w:rsidRPr="00FC1CF1">
        <w:rPr>
          <w:rFonts w:ascii="Times New Roman" w:hAnsi="Times New Roman"/>
          <w:sz w:val="14"/>
          <w:szCs w:val="14"/>
        </w:rPr>
        <w:t>trengthening, 2012</w:t>
      </w:r>
    </w:p>
  </w:footnote>
  <w:footnote w:id="30">
    <w:p w:rsidR="00A30AFE" w:rsidRPr="001679A7" w:rsidRDefault="00A30AFE" w:rsidP="0089081D">
      <w:pPr>
        <w:pStyle w:val="FootnoteText"/>
        <w:tabs>
          <w:tab w:val="left" w:pos="1710"/>
        </w:tabs>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Gambia </w:t>
      </w:r>
      <w:r w:rsidRPr="00C7163E">
        <w:rPr>
          <w:rFonts w:ascii="Times New Roman" w:hAnsi="Times New Roman"/>
          <w:sz w:val="14"/>
          <w:szCs w:val="14"/>
          <w:lang w:val="en-GB"/>
        </w:rPr>
        <w:t>Demographic and Health Survey 2</w:t>
      </w:r>
      <w:r w:rsidRPr="001679A7">
        <w:rPr>
          <w:rFonts w:ascii="Times New Roman" w:hAnsi="Times New Roman"/>
          <w:sz w:val="14"/>
        </w:rPr>
        <w:t xml:space="preserve">013: Median age for </w:t>
      </w:r>
      <w:r>
        <w:rPr>
          <w:rFonts w:ascii="Times New Roman" w:hAnsi="Times New Roman"/>
          <w:sz w:val="14"/>
        </w:rPr>
        <w:t>fir</w:t>
      </w:r>
      <w:r w:rsidRPr="001679A7">
        <w:rPr>
          <w:rFonts w:ascii="Times New Roman" w:hAnsi="Times New Roman"/>
          <w:sz w:val="14"/>
        </w:rPr>
        <w:t xml:space="preserve">st </w:t>
      </w:r>
      <w:r>
        <w:rPr>
          <w:rFonts w:ascii="Times New Roman" w:hAnsi="Times New Roman"/>
          <w:sz w:val="14"/>
        </w:rPr>
        <w:t>m</w:t>
      </w:r>
      <w:r w:rsidRPr="001679A7">
        <w:rPr>
          <w:rFonts w:ascii="Times New Roman" w:hAnsi="Times New Roman"/>
          <w:sz w:val="14"/>
        </w:rPr>
        <w:t>arriage is 18.6 years. Women 15-19</w:t>
      </w:r>
      <w:r>
        <w:rPr>
          <w:rFonts w:ascii="Times New Roman" w:hAnsi="Times New Roman"/>
          <w:sz w:val="14"/>
        </w:rPr>
        <w:t xml:space="preserve"> years old,</w:t>
      </w:r>
      <w:r w:rsidRPr="001679A7">
        <w:rPr>
          <w:rFonts w:ascii="Times New Roman" w:hAnsi="Times New Roman"/>
          <w:sz w:val="14"/>
        </w:rPr>
        <w:t xml:space="preserve"> 23.8 married. </w:t>
      </w:r>
    </w:p>
  </w:footnote>
  <w:footnote w:id="31">
    <w:p w:rsidR="00A30AFE" w:rsidRPr="005C2F43" w:rsidRDefault="00A30AFE" w:rsidP="005F498B">
      <w:pPr>
        <w:pStyle w:val="FootnoteText"/>
        <w:rPr>
          <w:rFonts w:ascii="Times New Roman" w:hAnsi="Times New Roman"/>
          <w:sz w:val="14"/>
          <w:szCs w:val="14"/>
        </w:rPr>
      </w:pPr>
      <w:r w:rsidRPr="005C2F43">
        <w:rPr>
          <w:rStyle w:val="FootnoteReference"/>
          <w:rFonts w:ascii="Times New Roman" w:hAnsi="Times New Roman"/>
          <w:sz w:val="14"/>
          <w:szCs w:val="14"/>
        </w:rPr>
        <w:footnoteRef/>
      </w:r>
      <w:r w:rsidRPr="005C2F43">
        <w:rPr>
          <w:rFonts w:ascii="Times New Roman" w:hAnsi="Times New Roman"/>
          <w:sz w:val="14"/>
          <w:szCs w:val="14"/>
        </w:rPr>
        <w:t xml:space="preserve"> </w:t>
      </w:r>
      <w:r w:rsidRPr="005C2F43">
        <w:rPr>
          <w:rFonts w:ascii="Times New Roman" w:hAnsi="Times New Roman"/>
          <w:color w:val="000000"/>
          <w:sz w:val="14"/>
          <w:szCs w:val="14"/>
        </w:rPr>
        <w:t xml:space="preserve">MDG </w:t>
      </w:r>
      <w:r>
        <w:rPr>
          <w:rFonts w:ascii="Times New Roman" w:hAnsi="Times New Roman"/>
          <w:color w:val="000000"/>
          <w:sz w:val="14"/>
          <w:szCs w:val="14"/>
        </w:rPr>
        <w:t>s</w:t>
      </w:r>
      <w:r w:rsidRPr="005C2F43">
        <w:rPr>
          <w:rFonts w:ascii="Times New Roman" w:hAnsi="Times New Roman"/>
          <w:color w:val="000000"/>
          <w:sz w:val="14"/>
          <w:szCs w:val="14"/>
        </w:rPr>
        <w:t>tatus report of the Gambia</w:t>
      </w:r>
      <w:r>
        <w:rPr>
          <w:rFonts w:ascii="Times New Roman" w:hAnsi="Times New Roman"/>
          <w:color w:val="000000"/>
          <w:sz w:val="14"/>
          <w:szCs w:val="14"/>
        </w:rPr>
        <w:t xml:space="preserve">, </w:t>
      </w:r>
      <w:r w:rsidRPr="005C2F43">
        <w:rPr>
          <w:rFonts w:ascii="Times New Roman" w:hAnsi="Times New Roman"/>
          <w:color w:val="000000"/>
          <w:sz w:val="14"/>
          <w:szCs w:val="14"/>
        </w:rPr>
        <w:t>2014</w:t>
      </w:r>
    </w:p>
  </w:footnote>
  <w:footnote w:id="32">
    <w:p w:rsidR="00A30AFE" w:rsidRPr="007A22B7" w:rsidRDefault="00A30AFE" w:rsidP="00F6778E">
      <w:pPr>
        <w:pStyle w:val="FootnoteText"/>
        <w:rPr>
          <w:rFonts w:ascii="Times New Roman" w:hAnsi="Times New Roman"/>
          <w:sz w:val="14"/>
          <w:szCs w:val="14"/>
        </w:rPr>
      </w:pPr>
      <w:r w:rsidRPr="007A22B7">
        <w:rPr>
          <w:rStyle w:val="FootnoteReference"/>
          <w:rFonts w:ascii="Times New Roman" w:hAnsi="Times New Roman"/>
          <w:sz w:val="14"/>
          <w:szCs w:val="14"/>
        </w:rPr>
        <w:footnoteRef/>
      </w:r>
      <w:r w:rsidRPr="007A22B7">
        <w:rPr>
          <w:rFonts w:ascii="Times New Roman" w:hAnsi="Times New Roman"/>
          <w:sz w:val="14"/>
          <w:szCs w:val="14"/>
        </w:rPr>
        <w:t xml:space="preserve"> Gambia Ministry of Justice</w:t>
      </w:r>
      <w:r>
        <w:rPr>
          <w:rFonts w:ascii="Times New Roman" w:hAnsi="Times New Roman"/>
          <w:sz w:val="14"/>
          <w:szCs w:val="14"/>
        </w:rPr>
        <w:t>, a</w:t>
      </w:r>
      <w:r w:rsidRPr="007A22B7">
        <w:rPr>
          <w:rFonts w:ascii="Times New Roman" w:hAnsi="Times New Roman"/>
          <w:sz w:val="14"/>
          <w:szCs w:val="14"/>
        </w:rPr>
        <w:t xml:space="preserve">nnual </w:t>
      </w:r>
      <w:r>
        <w:rPr>
          <w:rFonts w:ascii="Times New Roman" w:hAnsi="Times New Roman"/>
          <w:sz w:val="14"/>
          <w:szCs w:val="14"/>
        </w:rPr>
        <w:t>r</w:t>
      </w:r>
      <w:r w:rsidRPr="007A22B7">
        <w:rPr>
          <w:rFonts w:ascii="Times New Roman" w:hAnsi="Times New Roman"/>
          <w:sz w:val="14"/>
          <w:szCs w:val="14"/>
        </w:rPr>
        <w:t xml:space="preserve">eport of </w:t>
      </w:r>
      <w:r>
        <w:rPr>
          <w:rFonts w:ascii="Times New Roman" w:hAnsi="Times New Roman"/>
          <w:sz w:val="14"/>
          <w:szCs w:val="14"/>
        </w:rPr>
        <w:t xml:space="preserve">the </w:t>
      </w:r>
      <w:r w:rsidRPr="00C7163E">
        <w:rPr>
          <w:rFonts w:ascii="Times New Roman" w:hAnsi="Times New Roman"/>
          <w:sz w:val="14"/>
          <w:szCs w:val="14"/>
        </w:rPr>
        <w:t>National Agency for Legal Aid</w:t>
      </w:r>
      <w:r w:rsidRPr="007A22B7">
        <w:rPr>
          <w:rFonts w:ascii="Times New Roman" w:hAnsi="Times New Roman"/>
          <w:sz w:val="14"/>
          <w:szCs w:val="14"/>
        </w:rPr>
        <w:t xml:space="preserve"> and </w:t>
      </w:r>
      <w:r>
        <w:rPr>
          <w:rFonts w:ascii="Times New Roman" w:hAnsi="Times New Roman"/>
          <w:sz w:val="14"/>
          <w:szCs w:val="14"/>
        </w:rPr>
        <w:t xml:space="preserve">the </w:t>
      </w:r>
      <w:r w:rsidRPr="00C7163E">
        <w:rPr>
          <w:rFonts w:ascii="Times New Roman" w:hAnsi="Times New Roman"/>
          <w:sz w:val="14"/>
          <w:szCs w:val="14"/>
        </w:rPr>
        <w:t>Alternative Dispute Resolution Secretariat</w:t>
      </w:r>
      <w:r>
        <w:rPr>
          <w:rFonts w:ascii="Times New Roman" w:hAnsi="Times New Roman"/>
          <w:sz w:val="14"/>
          <w:szCs w:val="14"/>
        </w:rPr>
        <w:t>,</w:t>
      </w:r>
      <w:r w:rsidRPr="007A22B7">
        <w:rPr>
          <w:rFonts w:ascii="Times New Roman" w:hAnsi="Times New Roman"/>
          <w:sz w:val="14"/>
          <w:szCs w:val="14"/>
        </w:rPr>
        <w:t xml:space="preserve"> 2015/2015</w:t>
      </w:r>
      <w:r>
        <w:rPr>
          <w:rFonts w:ascii="Times New Roman" w:hAnsi="Times New Roman"/>
          <w:sz w:val="14"/>
          <w:szCs w:val="14"/>
        </w:rPr>
        <w:t xml:space="preserve">. </w:t>
      </w:r>
    </w:p>
  </w:footnote>
  <w:footnote w:id="33">
    <w:p w:rsidR="00A30AFE" w:rsidRPr="00F85D2E" w:rsidRDefault="00A30AFE" w:rsidP="00213C87">
      <w:pPr>
        <w:tabs>
          <w:tab w:val="left" w:pos="1620"/>
        </w:tabs>
        <w:ind w:right="810"/>
        <w:contextualSpacing/>
        <w:jc w:val="both"/>
        <w:rPr>
          <w:sz w:val="14"/>
          <w:szCs w:val="14"/>
        </w:rPr>
      </w:pPr>
      <w:r w:rsidRPr="00F85D2E">
        <w:rPr>
          <w:rStyle w:val="FootnoteReference"/>
          <w:sz w:val="14"/>
          <w:szCs w:val="14"/>
        </w:rPr>
        <w:footnoteRef/>
      </w:r>
      <w:r w:rsidRPr="00F85D2E">
        <w:rPr>
          <w:sz w:val="14"/>
          <w:szCs w:val="14"/>
        </w:rPr>
        <w:t xml:space="preserve"> </w:t>
      </w:r>
      <w:r w:rsidRPr="00F85D2E">
        <w:rPr>
          <w:color w:val="000000"/>
          <w:sz w:val="14"/>
          <w:szCs w:val="14"/>
        </w:rPr>
        <w:t>The national human development report</w:t>
      </w:r>
      <w:r>
        <w:rPr>
          <w:color w:val="000000"/>
          <w:sz w:val="14"/>
          <w:szCs w:val="14"/>
        </w:rPr>
        <w:t>,</w:t>
      </w:r>
      <w:r w:rsidRPr="00F85D2E">
        <w:rPr>
          <w:color w:val="000000"/>
          <w:sz w:val="14"/>
          <w:szCs w:val="14"/>
        </w:rPr>
        <w:t xml:space="preserve"> focused on youth employment</w:t>
      </w:r>
      <w:r>
        <w:rPr>
          <w:color w:val="000000"/>
          <w:sz w:val="14"/>
          <w:szCs w:val="14"/>
        </w:rPr>
        <w:t>,</w:t>
      </w:r>
      <w:r w:rsidRPr="00F85D2E">
        <w:rPr>
          <w:color w:val="000000"/>
          <w:sz w:val="14"/>
          <w:szCs w:val="14"/>
        </w:rPr>
        <w:t xml:space="preserve"> has </w:t>
      </w:r>
      <w:r>
        <w:rPr>
          <w:color w:val="000000"/>
          <w:sz w:val="14"/>
          <w:szCs w:val="14"/>
        </w:rPr>
        <w:t>led to</w:t>
      </w:r>
      <w:r w:rsidRPr="00F85D2E">
        <w:rPr>
          <w:color w:val="000000"/>
          <w:sz w:val="14"/>
          <w:szCs w:val="14"/>
        </w:rPr>
        <w:t xml:space="preserve"> </w:t>
      </w:r>
      <w:r>
        <w:rPr>
          <w:color w:val="000000"/>
          <w:sz w:val="14"/>
          <w:szCs w:val="14"/>
        </w:rPr>
        <w:t xml:space="preserve">a </w:t>
      </w:r>
      <w:r w:rsidRPr="00F85D2E">
        <w:rPr>
          <w:color w:val="000000"/>
          <w:sz w:val="14"/>
          <w:szCs w:val="14"/>
        </w:rPr>
        <w:t>youth agenda in the policy sphere as well as the review and reformulation of the youth policy and strategy of the country.</w:t>
      </w:r>
      <w:r w:rsidRPr="00F85D2E">
        <w:rPr>
          <w:sz w:val="14"/>
          <w:szCs w:val="14"/>
          <w:lang w:val="en-GB"/>
        </w:rPr>
        <w:t xml:space="preserve"> </w:t>
      </w:r>
    </w:p>
  </w:footnote>
  <w:footnote w:id="34">
    <w:p w:rsidR="00A30AFE" w:rsidRPr="00F85D2E" w:rsidRDefault="00A30AF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sz w:val="14"/>
          <w:szCs w:val="14"/>
          <w:lang w:val="en-GB"/>
        </w:rPr>
        <w:t>Includes gender equality and women</w:t>
      </w:r>
      <w:r>
        <w:rPr>
          <w:rFonts w:ascii="Times New Roman" w:hAnsi="Times New Roman"/>
          <w:sz w:val="14"/>
          <w:szCs w:val="14"/>
          <w:lang w:val="en-GB"/>
        </w:rPr>
        <w:t>’s</w:t>
      </w:r>
      <w:r w:rsidRPr="00F85D2E">
        <w:rPr>
          <w:rFonts w:ascii="Times New Roman" w:hAnsi="Times New Roman"/>
          <w:sz w:val="14"/>
          <w:szCs w:val="14"/>
          <w:lang w:val="en-GB"/>
        </w:rPr>
        <w:t xml:space="preserve"> empowerment in legal and institutional frameworks.</w:t>
      </w:r>
    </w:p>
  </w:footnote>
  <w:footnote w:id="35">
    <w:p w:rsidR="00A30AFE" w:rsidRPr="00F85D2E" w:rsidRDefault="00A30AFE" w:rsidP="00F6778E">
      <w:pPr>
        <w:pStyle w:val="FootnoteText"/>
        <w:jc w:val="both"/>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sz w:val="14"/>
          <w:szCs w:val="14"/>
          <w:lang w:val="en-GB"/>
        </w:rPr>
        <w:t xml:space="preserve">Tax to </w:t>
      </w:r>
      <w:r>
        <w:rPr>
          <w:rFonts w:ascii="Times New Roman" w:hAnsi="Times New Roman"/>
          <w:sz w:val="14"/>
          <w:szCs w:val="14"/>
          <w:lang w:val="en-GB"/>
        </w:rPr>
        <w:t>gross domestic product</w:t>
      </w:r>
      <w:r w:rsidRPr="00F85D2E">
        <w:rPr>
          <w:rFonts w:ascii="Times New Roman" w:hAnsi="Times New Roman"/>
          <w:sz w:val="14"/>
          <w:szCs w:val="14"/>
          <w:lang w:val="en-GB"/>
        </w:rPr>
        <w:t xml:space="preserve"> ratio increased from 15</w:t>
      </w:r>
      <w:r>
        <w:rPr>
          <w:rFonts w:ascii="Times New Roman" w:hAnsi="Times New Roman"/>
          <w:sz w:val="14"/>
          <w:szCs w:val="14"/>
          <w:lang w:val="en-GB"/>
        </w:rPr>
        <w:t xml:space="preserve"> per cent</w:t>
      </w:r>
      <w:r w:rsidRPr="00F85D2E">
        <w:rPr>
          <w:rFonts w:ascii="Times New Roman" w:hAnsi="Times New Roman"/>
          <w:sz w:val="14"/>
          <w:szCs w:val="14"/>
          <w:lang w:val="en-GB"/>
        </w:rPr>
        <w:t xml:space="preserve"> in 2007 to 17</w:t>
      </w:r>
      <w:r>
        <w:rPr>
          <w:rFonts w:ascii="Times New Roman" w:hAnsi="Times New Roman"/>
          <w:sz w:val="14"/>
          <w:szCs w:val="14"/>
          <w:lang w:val="en-GB"/>
        </w:rPr>
        <w:t xml:space="preserve"> per cent</w:t>
      </w:r>
      <w:r w:rsidRPr="00F85D2E">
        <w:rPr>
          <w:rFonts w:ascii="Times New Roman" w:hAnsi="Times New Roman"/>
          <w:sz w:val="14"/>
          <w:szCs w:val="14"/>
          <w:lang w:val="en-GB"/>
        </w:rPr>
        <w:t xml:space="preserve"> in 2015 (UNDP 2015), Gambia policy brief on domestic resources mobili</w:t>
      </w:r>
      <w:r>
        <w:rPr>
          <w:rFonts w:ascii="Times New Roman" w:hAnsi="Times New Roman"/>
          <w:sz w:val="14"/>
          <w:szCs w:val="14"/>
          <w:lang w:val="en-GB"/>
        </w:rPr>
        <w:t>z</w:t>
      </w:r>
      <w:r w:rsidRPr="00F85D2E">
        <w:rPr>
          <w:rFonts w:ascii="Times New Roman" w:hAnsi="Times New Roman"/>
          <w:sz w:val="14"/>
          <w:szCs w:val="14"/>
          <w:lang w:val="en-GB"/>
        </w:rPr>
        <w:t>ation</w:t>
      </w:r>
      <w:r>
        <w:rPr>
          <w:rFonts w:ascii="Times New Roman" w:hAnsi="Times New Roman"/>
          <w:sz w:val="14"/>
          <w:szCs w:val="14"/>
          <w:lang w:val="en-GB"/>
        </w:rPr>
        <w:t>,</w:t>
      </w:r>
      <w:r w:rsidRPr="00F85D2E">
        <w:rPr>
          <w:rFonts w:ascii="Times New Roman" w:hAnsi="Times New Roman"/>
          <w:sz w:val="14"/>
          <w:szCs w:val="14"/>
          <w:lang w:val="en-GB"/>
        </w:rPr>
        <w:t xml:space="preserve"> 2015.</w:t>
      </w:r>
    </w:p>
  </w:footnote>
  <w:footnote w:id="36">
    <w:p w:rsidR="00A30AFE" w:rsidRPr="00F85D2E" w:rsidRDefault="00A30AFE" w:rsidP="00F6778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hAnsi="Times New Roman"/>
          <w:sz w:val="14"/>
          <w:szCs w:val="14"/>
          <w:lang w:val="en-GB"/>
        </w:rPr>
        <w:t xml:space="preserve">According to </w:t>
      </w:r>
      <w:r>
        <w:rPr>
          <w:rFonts w:ascii="Times New Roman" w:hAnsi="Times New Roman"/>
          <w:sz w:val="14"/>
          <w:szCs w:val="14"/>
          <w:lang w:val="en-GB"/>
        </w:rPr>
        <w:t xml:space="preserve">the 2011 report of the </w:t>
      </w:r>
      <w:r w:rsidRPr="00894CD0">
        <w:rPr>
          <w:rFonts w:ascii="Times New Roman" w:hAnsi="Times New Roman"/>
          <w:color w:val="000000"/>
          <w:sz w:val="14"/>
          <w:szCs w:val="14"/>
        </w:rPr>
        <w:t>Organization for Economic Cooperation and Development, the G</w:t>
      </w:r>
      <w:r w:rsidRPr="00F85D2E">
        <w:rPr>
          <w:rFonts w:ascii="Times New Roman" w:hAnsi="Times New Roman"/>
          <w:sz w:val="14"/>
          <w:szCs w:val="14"/>
          <w:lang w:val="en-GB"/>
        </w:rPr>
        <w:t>ambia is among the top ten least</w:t>
      </w:r>
      <w:r>
        <w:rPr>
          <w:rFonts w:ascii="Times New Roman" w:hAnsi="Times New Roman"/>
          <w:sz w:val="14"/>
          <w:szCs w:val="14"/>
          <w:lang w:val="en-GB"/>
        </w:rPr>
        <w:t>-</w:t>
      </w:r>
      <w:r w:rsidRPr="00F85D2E">
        <w:rPr>
          <w:rFonts w:ascii="Times New Roman" w:hAnsi="Times New Roman"/>
          <w:sz w:val="14"/>
          <w:szCs w:val="14"/>
          <w:lang w:val="en-GB"/>
        </w:rPr>
        <w:t>aided countr</w:t>
      </w:r>
      <w:r>
        <w:rPr>
          <w:rFonts w:ascii="Times New Roman" w:hAnsi="Times New Roman"/>
          <w:sz w:val="14"/>
          <w:szCs w:val="14"/>
          <w:lang w:val="en-GB"/>
        </w:rPr>
        <w:t>ies</w:t>
      </w:r>
      <w:r w:rsidRPr="00F85D2E">
        <w:rPr>
          <w:rFonts w:ascii="Times New Roman" w:hAnsi="Times New Roman"/>
          <w:sz w:val="14"/>
          <w:szCs w:val="14"/>
          <w:lang w:val="en-GB"/>
        </w:rPr>
        <w:t>. Only</w:t>
      </w:r>
      <w:r>
        <w:rPr>
          <w:rFonts w:ascii="Times New Roman" w:hAnsi="Times New Roman"/>
          <w:sz w:val="14"/>
          <w:szCs w:val="14"/>
          <w:lang w:val="en-GB"/>
        </w:rPr>
        <w:t xml:space="preserve"> a</w:t>
      </w:r>
      <w:r w:rsidRPr="00F85D2E">
        <w:rPr>
          <w:rFonts w:ascii="Times New Roman" w:hAnsi="Times New Roman"/>
          <w:sz w:val="14"/>
          <w:szCs w:val="14"/>
          <w:lang w:val="en-GB"/>
        </w:rPr>
        <w:t xml:space="preserve"> f</w:t>
      </w:r>
      <w:r>
        <w:rPr>
          <w:rFonts w:ascii="Times New Roman" w:hAnsi="Times New Roman"/>
          <w:sz w:val="14"/>
          <w:szCs w:val="14"/>
          <w:lang w:val="en-GB"/>
        </w:rPr>
        <w:t>e</w:t>
      </w:r>
      <w:r w:rsidRPr="00F85D2E">
        <w:rPr>
          <w:rFonts w:ascii="Times New Roman" w:hAnsi="Times New Roman"/>
          <w:sz w:val="14"/>
          <w:szCs w:val="14"/>
          <w:lang w:val="en-GB"/>
        </w:rPr>
        <w:t xml:space="preserve">w donor </w:t>
      </w:r>
      <w:r>
        <w:rPr>
          <w:rFonts w:ascii="Times New Roman" w:hAnsi="Times New Roman"/>
          <w:sz w:val="14"/>
          <w:szCs w:val="14"/>
          <w:lang w:val="en-GB"/>
        </w:rPr>
        <w:t>entit</w:t>
      </w:r>
      <w:r w:rsidRPr="00F85D2E">
        <w:rPr>
          <w:rFonts w:ascii="Times New Roman" w:hAnsi="Times New Roman"/>
          <w:sz w:val="14"/>
          <w:szCs w:val="14"/>
          <w:lang w:val="en-GB"/>
        </w:rPr>
        <w:t>ies</w:t>
      </w:r>
      <w:r>
        <w:rPr>
          <w:rFonts w:ascii="Times New Roman" w:hAnsi="Times New Roman"/>
          <w:sz w:val="14"/>
          <w:szCs w:val="14"/>
          <w:lang w:val="en-GB"/>
        </w:rPr>
        <w:t>,</w:t>
      </w:r>
      <w:r w:rsidRPr="00F85D2E">
        <w:rPr>
          <w:rFonts w:ascii="Times New Roman" w:hAnsi="Times New Roman"/>
          <w:sz w:val="14"/>
          <w:szCs w:val="14"/>
          <w:lang w:val="en-GB"/>
        </w:rPr>
        <w:t xml:space="preserve"> such as </w:t>
      </w:r>
      <w:r>
        <w:rPr>
          <w:rFonts w:ascii="Times New Roman" w:hAnsi="Times New Roman"/>
          <w:sz w:val="14"/>
          <w:szCs w:val="14"/>
          <w:lang w:val="en-GB"/>
        </w:rPr>
        <w:t>the European Commission</w:t>
      </w:r>
      <w:r w:rsidRPr="00F85D2E">
        <w:rPr>
          <w:rFonts w:ascii="Times New Roman" w:hAnsi="Times New Roman"/>
          <w:sz w:val="14"/>
          <w:szCs w:val="14"/>
          <w:lang w:val="en-GB"/>
        </w:rPr>
        <w:t>,</w:t>
      </w:r>
      <w:r>
        <w:rPr>
          <w:rFonts w:ascii="Times New Roman" w:hAnsi="Times New Roman"/>
          <w:sz w:val="14"/>
          <w:szCs w:val="14"/>
          <w:lang w:val="en-GB"/>
        </w:rPr>
        <w:t xml:space="preserve"> the</w:t>
      </w:r>
      <w:r w:rsidRPr="00F85D2E">
        <w:rPr>
          <w:rFonts w:ascii="Times New Roman" w:hAnsi="Times New Roman"/>
          <w:sz w:val="14"/>
          <w:szCs w:val="14"/>
          <w:lang w:val="en-GB"/>
        </w:rPr>
        <w:t xml:space="preserve"> IMF and the </w:t>
      </w:r>
      <w:r>
        <w:rPr>
          <w:rFonts w:ascii="Times New Roman" w:hAnsi="Times New Roman"/>
          <w:sz w:val="14"/>
          <w:szCs w:val="14"/>
          <w:lang w:val="en-GB"/>
        </w:rPr>
        <w:t>United Nations</w:t>
      </w:r>
      <w:r w:rsidRPr="00F85D2E">
        <w:rPr>
          <w:rFonts w:ascii="Times New Roman" w:hAnsi="Times New Roman"/>
          <w:sz w:val="14"/>
          <w:szCs w:val="14"/>
          <w:lang w:val="en-GB"/>
        </w:rPr>
        <w:t xml:space="preserve"> are resident in country.</w:t>
      </w:r>
      <w:r w:rsidRPr="00F85D2E">
        <w:rPr>
          <w:rFonts w:ascii="Times New Roman" w:hAnsi="Times New Roman"/>
          <w:sz w:val="14"/>
          <w:szCs w:val="14"/>
        </w:rPr>
        <w:t xml:space="preserve"> </w:t>
      </w:r>
    </w:p>
  </w:footnote>
  <w:footnote w:id="37">
    <w:p w:rsidR="00A30AFE" w:rsidRPr="00F85D2E" w:rsidRDefault="00A30AFE" w:rsidP="00F6778E">
      <w:pPr>
        <w:pStyle w:val="FootnoteText"/>
        <w:rPr>
          <w:rFonts w:ascii="Times New Roman" w:hAnsi="Times New Roman"/>
          <w:sz w:val="14"/>
          <w:szCs w:val="14"/>
        </w:rPr>
      </w:pPr>
      <w:r w:rsidRPr="00F85D2E">
        <w:rPr>
          <w:rStyle w:val="FootnoteReference"/>
          <w:rFonts w:ascii="Times New Roman" w:hAnsi="Times New Roman"/>
          <w:sz w:val="14"/>
          <w:szCs w:val="14"/>
        </w:rPr>
        <w:footnoteRef/>
      </w:r>
      <w:r w:rsidRPr="00F85D2E">
        <w:rPr>
          <w:rFonts w:ascii="Times New Roman" w:hAnsi="Times New Roman"/>
          <w:sz w:val="14"/>
          <w:szCs w:val="14"/>
          <w:lang w:val="en-GB"/>
        </w:rPr>
        <w:t>Youth</w:t>
      </w:r>
      <w:r>
        <w:rPr>
          <w:rFonts w:ascii="Times New Roman" w:hAnsi="Times New Roman"/>
          <w:sz w:val="14"/>
          <w:szCs w:val="14"/>
          <w:lang w:val="en-GB"/>
        </w:rPr>
        <w:t>,</w:t>
      </w:r>
      <w:r w:rsidRPr="00F85D2E">
        <w:rPr>
          <w:rFonts w:ascii="Times New Roman" w:hAnsi="Times New Roman"/>
          <w:sz w:val="14"/>
          <w:szCs w:val="14"/>
          <w:lang w:val="en-GB"/>
        </w:rPr>
        <w:t xml:space="preserve"> according to the </w:t>
      </w:r>
      <w:r>
        <w:rPr>
          <w:rFonts w:ascii="Times New Roman" w:hAnsi="Times New Roman"/>
          <w:sz w:val="14"/>
          <w:szCs w:val="14"/>
          <w:lang w:val="en-GB"/>
        </w:rPr>
        <w:t>n</w:t>
      </w:r>
      <w:r w:rsidRPr="00F85D2E">
        <w:rPr>
          <w:rFonts w:ascii="Times New Roman" w:hAnsi="Times New Roman"/>
          <w:sz w:val="14"/>
          <w:szCs w:val="14"/>
          <w:lang w:val="en-GB"/>
        </w:rPr>
        <w:t xml:space="preserve">ational </w:t>
      </w:r>
      <w:r>
        <w:rPr>
          <w:rFonts w:ascii="Times New Roman" w:hAnsi="Times New Roman"/>
          <w:sz w:val="14"/>
          <w:szCs w:val="14"/>
          <w:lang w:val="en-GB"/>
        </w:rPr>
        <w:t>y</w:t>
      </w:r>
      <w:r w:rsidRPr="00F85D2E">
        <w:rPr>
          <w:rFonts w:ascii="Times New Roman" w:hAnsi="Times New Roman"/>
          <w:sz w:val="14"/>
          <w:szCs w:val="14"/>
          <w:lang w:val="en-GB"/>
        </w:rPr>
        <w:t>outh policy</w:t>
      </w:r>
      <w:r>
        <w:rPr>
          <w:rFonts w:ascii="Times New Roman" w:hAnsi="Times New Roman"/>
          <w:sz w:val="14"/>
          <w:szCs w:val="14"/>
          <w:lang w:val="en-GB"/>
        </w:rPr>
        <w:t>,</w:t>
      </w:r>
      <w:r w:rsidRPr="00F85D2E">
        <w:rPr>
          <w:rFonts w:ascii="Times New Roman" w:hAnsi="Times New Roman"/>
          <w:sz w:val="14"/>
          <w:szCs w:val="14"/>
          <w:lang w:val="en-GB"/>
        </w:rPr>
        <w:t xml:space="preserve"> are 15-35 years</w:t>
      </w:r>
      <w:r>
        <w:rPr>
          <w:rFonts w:ascii="Times New Roman" w:hAnsi="Times New Roman"/>
          <w:sz w:val="14"/>
          <w:szCs w:val="14"/>
          <w:lang w:val="en-GB"/>
        </w:rPr>
        <w:t xml:space="preserve"> of age</w:t>
      </w:r>
      <w:r w:rsidRPr="00F85D2E">
        <w:rPr>
          <w:rFonts w:ascii="Times New Roman" w:hAnsi="Times New Roman"/>
          <w:sz w:val="14"/>
          <w:szCs w:val="14"/>
          <w:lang w:val="en-GB"/>
        </w:rPr>
        <w:t>.</w:t>
      </w:r>
      <w:r w:rsidRPr="00F85D2E">
        <w:rPr>
          <w:rFonts w:ascii="Times New Roman" w:hAnsi="Times New Roman"/>
          <w:sz w:val="14"/>
          <w:szCs w:val="14"/>
        </w:rPr>
        <w:t xml:space="preserve"> </w:t>
      </w:r>
    </w:p>
  </w:footnote>
  <w:footnote w:id="38">
    <w:p w:rsidR="00A30AFE" w:rsidRDefault="00A30AFE">
      <w:pPr>
        <w:pStyle w:val="FootnoteText"/>
      </w:pPr>
      <w:r w:rsidRPr="00F85D2E">
        <w:rPr>
          <w:rStyle w:val="FootnoteReference"/>
          <w:rFonts w:ascii="Times New Roman" w:hAnsi="Times New Roman"/>
          <w:sz w:val="14"/>
          <w:szCs w:val="14"/>
        </w:rPr>
        <w:footnoteRef/>
      </w:r>
      <w:r w:rsidRPr="00F85D2E">
        <w:rPr>
          <w:rFonts w:ascii="Times New Roman" w:hAnsi="Times New Roman"/>
          <w:sz w:val="14"/>
          <w:szCs w:val="14"/>
        </w:rPr>
        <w:t xml:space="preserve"> </w:t>
      </w:r>
      <w:r w:rsidRPr="00F85D2E">
        <w:rPr>
          <w:rFonts w:ascii="Times New Roman" w:eastAsiaTheme="minorEastAsia" w:hAnsi="Times New Roman"/>
          <w:bCs/>
          <w:sz w:val="14"/>
          <w:szCs w:val="14"/>
        </w:rPr>
        <w:t>Weak institutions for economic and social service provisions</w:t>
      </w:r>
      <w:r w:rsidRPr="00F85D2E">
        <w:rPr>
          <w:rFonts w:ascii="Times New Roman" w:hAnsi="Times New Roman"/>
          <w:bCs/>
          <w:sz w:val="14"/>
          <w:szCs w:val="14"/>
        </w:rPr>
        <w:t>, w</w:t>
      </w:r>
      <w:r w:rsidRPr="00F85D2E">
        <w:rPr>
          <w:rFonts w:ascii="Times New Roman" w:eastAsiaTheme="minorEastAsia" w:hAnsi="Times New Roman"/>
          <w:bCs/>
          <w:sz w:val="14"/>
          <w:szCs w:val="14"/>
        </w:rPr>
        <w:t>eak governance systems</w:t>
      </w:r>
      <w:r w:rsidRPr="00F85D2E">
        <w:rPr>
          <w:rFonts w:ascii="Times New Roman" w:hAnsi="Times New Roman"/>
          <w:bCs/>
          <w:sz w:val="14"/>
          <w:szCs w:val="14"/>
        </w:rPr>
        <w:t>, frequent extreme w</w:t>
      </w:r>
      <w:r w:rsidRPr="00F85D2E">
        <w:rPr>
          <w:rFonts w:ascii="Times New Roman" w:eastAsiaTheme="minorEastAsia" w:hAnsi="Times New Roman"/>
          <w:bCs/>
          <w:sz w:val="14"/>
          <w:szCs w:val="14"/>
        </w:rPr>
        <w:t>eather events</w:t>
      </w:r>
      <w:r w:rsidRPr="00F85D2E">
        <w:rPr>
          <w:rFonts w:ascii="Times New Roman" w:hAnsi="Times New Roman"/>
          <w:bCs/>
          <w:sz w:val="14"/>
          <w:szCs w:val="14"/>
        </w:rPr>
        <w:t>, l</w:t>
      </w:r>
      <w:r w:rsidRPr="00F85D2E">
        <w:rPr>
          <w:rFonts w:ascii="Times New Roman" w:eastAsiaTheme="minorHAnsi" w:hAnsi="Times New Roman"/>
          <w:bCs/>
          <w:sz w:val="14"/>
          <w:szCs w:val="14"/>
        </w:rPr>
        <w:t>ack of integrated early</w:t>
      </w:r>
      <w:r>
        <w:rPr>
          <w:rFonts w:ascii="Times New Roman" w:eastAsiaTheme="minorHAnsi" w:hAnsi="Times New Roman"/>
          <w:bCs/>
          <w:sz w:val="14"/>
          <w:szCs w:val="14"/>
        </w:rPr>
        <w:t>-</w:t>
      </w:r>
      <w:r w:rsidRPr="00F85D2E">
        <w:rPr>
          <w:rFonts w:ascii="Times New Roman" w:eastAsiaTheme="minorHAnsi" w:hAnsi="Times New Roman"/>
          <w:bCs/>
          <w:sz w:val="14"/>
          <w:szCs w:val="14"/>
        </w:rPr>
        <w:t xml:space="preserve">warning and </w:t>
      </w:r>
      <w:r>
        <w:rPr>
          <w:rFonts w:ascii="Times New Roman" w:hAnsi="Times New Roman"/>
          <w:bCs/>
          <w:sz w:val="14"/>
          <w:szCs w:val="14"/>
        </w:rPr>
        <w:t>d</w:t>
      </w:r>
      <w:r w:rsidRPr="00F85D2E">
        <w:rPr>
          <w:rFonts w:ascii="Times New Roman" w:hAnsi="Times New Roman"/>
          <w:bCs/>
          <w:sz w:val="14"/>
          <w:szCs w:val="14"/>
        </w:rPr>
        <w:t xml:space="preserve">isaster </w:t>
      </w:r>
      <w:r>
        <w:rPr>
          <w:rFonts w:ascii="Times New Roman" w:hAnsi="Times New Roman"/>
          <w:bCs/>
          <w:sz w:val="14"/>
          <w:szCs w:val="14"/>
        </w:rPr>
        <w:t>r</w:t>
      </w:r>
      <w:r w:rsidRPr="00F85D2E">
        <w:rPr>
          <w:rFonts w:ascii="Times New Roman" w:hAnsi="Times New Roman"/>
          <w:bCs/>
          <w:sz w:val="14"/>
          <w:szCs w:val="14"/>
        </w:rPr>
        <w:t xml:space="preserve">isk </w:t>
      </w:r>
      <w:r>
        <w:rPr>
          <w:rFonts w:ascii="Times New Roman" w:hAnsi="Times New Roman"/>
          <w:bCs/>
          <w:sz w:val="14"/>
          <w:szCs w:val="14"/>
        </w:rPr>
        <w:t>m</w:t>
      </w:r>
      <w:r w:rsidRPr="00F85D2E">
        <w:rPr>
          <w:rFonts w:ascii="Times New Roman" w:hAnsi="Times New Roman"/>
          <w:bCs/>
          <w:sz w:val="14"/>
          <w:szCs w:val="14"/>
        </w:rPr>
        <w:t>anagement system, l</w:t>
      </w:r>
      <w:r w:rsidRPr="00F85D2E">
        <w:rPr>
          <w:rFonts w:ascii="Times New Roman" w:eastAsiaTheme="minorHAnsi" w:hAnsi="Times New Roman"/>
          <w:bCs/>
          <w:sz w:val="14"/>
          <w:szCs w:val="14"/>
        </w:rPr>
        <w:t>imited endowment of natural resources</w:t>
      </w:r>
      <w:r>
        <w:rPr>
          <w:rFonts w:ascii="Times New Roman" w:eastAsiaTheme="minorHAnsi" w:hAnsi="Times New Roman"/>
          <w:bCs/>
          <w:sz w:val="14"/>
          <w:szCs w:val="14"/>
        </w:rPr>
        <w:t>,</w:t>
      </w:r>
      <w:r w:rsidRPr="00F85D2E">
        <w:rPr>
          <w:rFonts w:ascii="Times New Roman" w:hAnsi="Times New Roman"/>
          <w:bCs/>
          <w:sz w:val="14"/>
          <w:szCs w:val="14"/>
        </w:rPr>
        <w:t xml:space="preserve"> and high population growth</w:t>
      </w:r>
      <w:r w:rsidRPr="00AC603F">
        <w:rPr>
          <w:rFonts w:ascii="Times New Roman" w:hAnsi="Times New Roman"/>
          <w:bCs/>
          <w:sz w:val="14"/>
          <w:szCs w:val="14"/>
        </w:rPr>
        <w:t>.</w:t>
      </w:r>
    </w:p>
  </w:footnote>
  <w:footnote w:id="39">
    <w:p w:rsidR="00A30AFE" w:rsidRPr="001679A7" w:rsidRDefault="00A30AFE">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Pr>
          <w:rFonts w:ascii="Times New Roman" w:hAnsi="Times New Roman"/>
          <w:sz w:val="14"/>
          <w:lang w:val="en-GB"/>
        </w:rPr>
        <w:t>S</w:t>
      </w:r>
      <w:r w:rsidRPr="001679A7">
        <w:rPr>
          <w:rFonts w:ascii="Times New Roman" w:hAnsi="Times New Roman"/>
          <w:sz w:val="14"/>
          <w:lang w:val="en-GB"/>
        </w:rPr>
        <w:t>elected interventions from the E</w:t>
      </w:r>
      <w:r>
        <w:rPr>
          <w:rFonts w:ascii="Times New Roman" w:hAnsi="Times New Roman"/>
          <w:sz w:val="14"/>
          <w:lang w:val="en-GB"/>
        </w:rPr>
        <w:t>mpretec</w:t>
      </w:r>
      <w:r w:rsidRPr="001679A7">
        <w:rPr>
          <w:rFonts w:ascii="Times New Roman" w:hAnsi="Times New Roman"/>
          <w:sz w:val="14"/>
          <w:lang w:val="en-GB"/>
        </w:rPr>
        <w:t xml:space="preserve"> and Songhai initiatives </w:t>
      </w:r>
      <w:r>
        <w:rPr>
          <w:rFonts w:ascii="Times New Roman" w:hAnsi="Times New Roman"/>
          <w:sz w:val="14"/>
          <w:lang w:val="en-GB"/>
        </w:rPr>
        <w:t xml:space="preserve">will be scaled up </w:t>
      </w:r>
      <w:r w:rsidRPr="001679A7">
        <w:rPr>
          <w:rFonts w:ascii="Times New Roman" w:hAnsi="Times New Roman"/>
          <w:sz w:val="14"/>
          <w:lang w:val="en-GB"/>
        </w:rPr>
        <w:t>to reach more unemployed youths and women.</w:t>
      </w:r>
    </w:p>
  </w:footnote>
  <w:footnote w:id="40">
    <w:p w:rsidR="00A30AFE" w:rsidRPr="001679A7" w:rsidRDefault="00A30AFE">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sz w:val="14"/>
          <w:lang w:val="en-GB"/>
        </w:rPr>
        <w:t>S</w:t>
      </w:r>
      <w:r>
        <w:rPr>
          <w:rFonts w:ascii="Times New Roman" w:hAnsi="Times New Roman"/>
          <w:sz w:val="14"/>
          <w:lang w:val="en-GB"/>
        </w:rPr>
        <w:t>ustainable development goal</w:t>
      </w:r>
      <w:r w:rsidRPr="001679A7">
        <w:rPr>
          <w:rFonts w:ascii="Times New Roman" w:hAnsi="Times New Roman"/>
          <w:sz w:val="14"/>
          <w:lang w:val="en-GB"/>
        </w:rPr>
        <w:t xml:space="preserve">s, </w:t>
      </w:r>
      <w:r>
        <w:rPr>
          <w:rFonts w:ascii="Times New Roman" w:hAnsi="Times New Roman"/>
          <w:sz w:val="14"/>
          <w:lang w:val="en-GB"/>
        </w:rPr>
        <w:t>m</w:t>
      </w:r>
      <w:r w:rsidRPr="001679A7">
        <w:rPr>
          <w:rFonts w:ascii="Times New Roman" w:hAnsi="Times New Roman"/>
          <w:sz w:val="14"/>
          <w:lang w:val="en-GB"/>
        </w:rPr>
        <w:t xml:space="preserve">ultilateral </w:t>
      </w:r>
      <w:r>
        <w:rPr>
          <w:rFonts w:ascii="Times New Roman" w:hAnsi="Times New Roman"/>
          <w:sz w:val="14"/>
          <w:lang w:val="en-GB"/>
        </w:rPr>
        <w:t>e</w:t>
      </w:r>
      <w:r w:rsidRPr="001679A7">
        <w:rPr>
          <w:rFonts w:ascii="Times New Roman" w:hAnsi="Times New Roman"/>
          <w:sz w:val="14"/>
          <w:lang w:val="en-GB"/>
        </w:rPr>
        <w:t xml:space="preserve">nvironmental </w:t>
      </w:r>
      <w:r>
        <w:rPr>
          <w:rFonts w:ascii="Times New Roman" w:hAnsi="Times New Roman"/>
          <w:sz w:val="14"/>
          <w:lang w:val="en-GB"/>
        </w:rPr>
        <w:t>a</w:t>
      </w:r>
      <w:r w:rsidRPr="001679A7">
        <w:rPr>
          <w:rFonts w:ascii="Times New Roman" w:hAnsi="Times New Roman"/>
          <w:sz w:val="14"/>
          <w:lang w:val="en-GB"/>
        </w:rPr>
        <w:t xml:space="preserve">greements, </w:t>
      </w:r>
      <w:r>
        <w:rPr>
          <w:rFonts w:ascii="Times New Roman" w:hAnsi="Times New Roman"/>
          <w:sz w:val="14"/>
          <w:lang w:val="en-GB"/>
        </w:rPr>
        <w:t xml:space="preserve">the </w:t>
      </w:r>
      <w:r w:rsidRPr="001679A7">
        <w:rPr>
          <w:rFonts w:ascii="Times New Roman" w:hAnsi="Times New Roman"/>
          <w:sz w:val="14"/>
          <w:lang w:val="en-GB"/>
        </w:rPr>
        <w:t>Montreal Protocol and Capacity 21.</w:t>
      </w:r>
    </w:p>
  </w:footnote>
  <w:footnote w:id="41">
    <w:p w:rsidR="00A30AFE" w:rsidRPr="001679A7" w:rsidRDefault="00A30AFE" w:rsidP="00A200B1">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sidRPr="001679A7">
        <w:rPr>
          <w:rFonts w:ascii="Times New Roman" w:hAnsi="Times New Roman"/>
          <w:sz w:val="14"/>
          <w:lang w:val="en-GB"/>
        </w:rPr>
        <w:t>The obligations include</w:t>
      </w:r>
      <w:r w:rsidRPr="001679A7">
        <w:rPr>
          <w:rFonts w:ascii="Times New Roman" w:hAnsi="Times New Roman"/>
          <w:sz w:val="14"/>
        </w:rPr>
        <w:t xml:space="preserve"> </w:t>
      </w:r>
      <w:r w:rsidRPr="001679A7">
        <w:rPr>
          <w:rFonts w:ascii="Times New Roman" w:hAnsi="Times New Roman"/>
          <w:sz w:val="14"/>
          <w:lang w:val="en-GB"/>
        </w:rPr>
        <w:t>the Rio conventions</w:t>
      </w:r>
      <w:r>
        <w:rPr>
          <w:rFonts w:ascii="Times New Roman" w:hAnsi="Times New Roman"/>
          <w:sz w:val="14"/>
          <w:lang w:val="en-GB"/>
        </w:rPr>
        <w:t>:</w:t>
      </w:r>
      <w:r w:rsidRPr="001679A7">
        <w:rPr>
          <w:rFonts w:ascii="Times New Roman" w:hAnsi="Times New Roman"/>
          <w:sz w:val="14"/>
          <w:lang w:val="en-GB"/>
        </w:rPr>
        <w:t xml:space="preserve"> </w:t>
      </w:r>
      <w:r>
        <w:rPr>
          <w:rFonts w:ascii="Times New Roman" w:hAnsi="Times New Roman"/>
          <w:sz w:val="14"/>
          <w:lang w:val="en-GB"/>
        </w:rPr>
        <w:t xml:space="preserve">the </w:t>
      </w:r>
      <w:r w:rsidRPr="001679A7">
        <w:rPr>
          <w:rFonts w:ascii="Times New Roman" w:hAnsi="Times New Roman"/>
          <w:sz w:val="14"/>
          <w:lang w:val="en-GB"/>
        </w:rPr>
        <w:t xml:space="preserve">United Nations Convention on Biological Diversity, </w:t>
      </w:r>
      <w:r>
        <w:rPr>
          <w:rFonts w:ascii="Times New Roman" w:hAnsi="Times New Roman"/>
          <w:sz w:val="14"/>
          <w:lang w:val="en-GB"/>
        </w:rPr>
        <w:t xml:space="preserve">the </w:t>
      </w:r>
      <w:r w:rsidRPr="001679A7">
        <w:rPr>
          <w:rFonts w:ascii="Times New Roman" w:hAnsi="Times New Roman"/>
          <w:sz w:val="14"/>
          <w:lang w:val="en-GB"/>
        </w:rPr>
        <w:t xml:space="preserve">United Nations Conventions to Combat Desertification and </w:t>
      </w:r>
      <w:r>
        <w:rPr>
          <w:rFonts w:ascii="Times New Roman" w:hAnsi="Times New Roman"/>
          <w:sz w:val="14"/>
          <w:lang w:val="en-GB"/>
        </w:rPr>
        <w:t xml:space="preserve">the </w:t>
      </w:r>
      <w:r w:rsidRPr="001679A7">
        <w:rPr>
          <w:rFonts w:ascii="Times New Roman" w:hAnsi="Times New Roman"/>
          <w:sz w:val="14"/>
          <w:lang w:val="en-GB"/>
        </w:rPr>
        <w:t>U</w:t>
      </w:r>
      <w:r>
        <w:rPr>
          <w:rFonts w:ascii="Times New Roman" w:hAnsi="Times New Roman"/>
          <w:sz w:val="14"/>
          <w:lang w:val="en-GB"/>
        </w:rPr>
        <w:t>nited Nations</w:t>
      </w:r>
      <w:r w:rsidRPr="001679A7">
        <w:rPr>
          <w:rFonts w:ascii="Times New Roman" w:hAnsi="Times New Roman"/>
          <w:sz w:val="14"/>
          <w:lang w:val="en-GB"/>
        </w:rPr>
        <w:t xml:space="preserve"> Framework Convention on Climate Change</w:t>
      </w:r>
      <w:r>
        <w:rPr>
          <w:rFonts w:ascii="Times New Roman" w:hAnsi="Times New Roman"/>
          <w:sz w:val="14"/>
          <w:lang w:val="en-GB"/>
        </w:rPr>
        <w:t xml:space="preserve"> (UNFCCC)</w:t>
      </w:r>
    </w:p>
  </w:footnote>
  <w:footnote w:id="42">
    <w:p w:rsidR="00A30AFE" w:rsidRPr="001679A7" w:rsidRDefault="00A30AFE" w:rsidP="00D638B1">
      <w:pPr>
        <w:pStyle w:val="FootnoteText"/>
        <w:jc w:val="both"/>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Pr>
          <w:rFonts w:ascii="Times New Roman" w:hAnsi="Times New Roman"/>
          <w:sz w:val="14"/>
          <w:lang w:val="en-GB"/>
        </w:rPr>
        <w:t>K</w:t>
      </w:r>
      <w:r w:rsidRPr="001679A7">
        <w:rPr>
          <w:rFonts w:ascii="Times New Roman" w:hAnsi="Times New Roman"/>
          <w:sz w:val="14"/>
          <w:lang w:val="en-GB"/>
        </w:rPr>
        <w:t xml:space="preserve">ey </w:t>
      </w:r>
      <w:r>
        <w:rPr>
          <w:rFonts w:ascii="Times New Roman" w:hAnsi="Times New Roman"/>
          <w:sz w:val="14"/>
          <w:lang w:val="en-GB"/>
        </w:rPr>
        <w:t xml:space="preserve">sustainable development goals to which </w:t>
      </w:r>
      <w:r w:rsidRPr="001679A7">
        <w:rPr>
          <w:rFonts w:ascii="Times New Roman" w:hAnsi="Times New Roman"/>
          <w:sz w:val="14"/>
          <w:lang w:val="en-GB"/>
        </w:rPr>
        <w:t xml:space="preserve">the </w:t>
      </w:r>
      <w:r>
        <w:rPr>
          <w:rFonts w:ascii="Times New Roman" w:hAnsi="Times New Roman"/>
          <w:sz w:val="14"/>
          <w:lang w:val="en-GB"/>
        </w:rPr>
        <w:t>country programme</w:t>
      </w:r>
      <w:r w:rsidRPr="001679A7">
        <w:rPr>
          <w:rFonts w:ascii="Times New Roman" w:hAnsi="Times New Roman"/>
          <w:sz w:val="14"/>
          <w:lang w:val="en-GB"/>
        </w:rPr>
        <w:t xml:space="preserve"> will contribute: 1, 5. 8, 10, 12, 13, 15, 16 and 17.</w:t>
      </w:r>
    </w:p>
  </w:footnote>
  <w:footnote w:id="43">
    <w:p w:rsidR="00A30AFE" w:rsidRDefault="00A30AFE">
      <w:pPr>
        <w:pStyle w:val="FootnoteText"/>
      </w:pPr>
      <w:r w:rsidRPr="00AD07F4">
        <w:rPr>
          <w:rStyle w:val="FootnoteReference"/>
          <w:rFonts w:ascii="Times New Roman" w:hAnsi="Times New Roman"/>
          <w:sz w:val="14"/>
        </w:rPr>
        <w:footnoteRef/>
      </w:r>
      <w:r w:rsidRPr="00AD07F4">
        <w:rPr>
          <w:rFonts w:ascii="Times New Roman" w:hAnsi="Times New Roman"/>
          <w:sz w:val="14"/>
        </w:rPr>
        <w:t xml:space="preserve"> </w:t>
      </w:r>
      <w:r w:rsidRPr="00213C87">
        <w:rPr>
          <w:rFonts w:ascii="Times New Roman" w:hAnsi="Times New Roman"/>
          <w:sz w:val="14"/>
          <w:lang w:val="en-GB"/>
        </w:rPr>
        <w:t xml:space="preserve">Government contributions towards local office costs </w:t>
      </w:r>
      <w:r>
        <w:rPr>
          <w:rFonts w:ascii="Times New Roman" w:hAnsi="Times New Roman"/>
          <w:sz w:val="14"/>
          <w:lang w:val="en-GB"/>
        </w:rPr>
        <w:t xml:space="preserve">have been collected partially during the current country programme. The country office will put in place a mechanism for full payment of future costs in the Gambia. </w:t>
      </w:r>
    </w:p>
  </w:footnote>
  <w:footnote w:id="44">
    <w:p w:rsidR="00A30AFE" w:rsidRDefault="00A30AFE">
      <w:pPr>
        <w:pStyle w:val="FootnoteText"/>
      </w:pPr>
      <w:r w:rsidRPr="00736EA4">
        <w:rPr>
          <w:rStyle w:val="FootnoteReference"/>
          <w:rFonts w:ascii="Times New Roman" w:hAnsi="Times New Roman"/>
          <w:sz w:val="14"/>
        </w:rPr>
        <w:footnoteRef/>
      </w:r>
      <w:r w:rsidRPr="00AD07F4">
        <w:rPr>
          <w:rFonts w:ascii="Times New Roman" w:hAnsi="Times New Roman"/>
          <w:sz w:val="14"/>
        </w:rPr>
        <w:t xml:space="preserve"> </w:t>
      </w:r>
      <w:r w:rsidRPr="00736EA4">
        <w:rPr>
          <w:rFonts w:ascii="Times New Roman" w:hAnsi="Times New Roman"/>
          <w:sz w:val="14"/>
          <w:lang w:val="en-GB"/>
        </w:rPr>
        <w:t xml:space="preserve">The </w:t>
      </w:r>
      <w:r>
        <w:rPr>
          <w:rFonts w:ascii="Times New Roman" w:hAnsi="Times New Roman"/>
          <w:sz w:val="14"/>
          <w:lang w:val="en-GB"/>
        </w:rPr>
        <w:t>country office</w:t>
      </w:r>
      <w:r w:rsidRPr="00736EA4">
        <w:rPr>
          <w:rFonts w:ascii="Times New Roman" w:hAnsi="Times New Roman"/>
          <w:sz w:val="14"/>
          <w:lang w:val="en-GB"/>
        </w:rPr>
        <w:t xml:space="preserve"> will work with </w:t>
      </w:r>
      <w:r>
        <w:rPr>
          <w:rFonts w:ascii="Times New Roman" w:hAnsi="Times New Roman"/>
          <w:sz w:val="14"/>
          <w:lang w:val="en-GB"/>
        </w:rPr>
        <w:t>e</w:t>
      </w:r>
      <w:r w:rsidRPr="00736EA4">
        <w:rPr>
          <w:rFonts w:ascii="Times New Roman" w:hAnsi="Times New Roman"/>
          <w:sz w:val="14"/>
          <w:lang w:val="en-GB"/>
        </w:rPr>
        <w:t>merging donors such as China</w:t>
      </w:r>
      <w:r w:rsidRPr="00A47A47">
        <w:rPr>
          <w:rFonts w:ascii="Times New Roman" w:hAnsi="Times New Roman"/>
          <w:sz w:val="14"/>
          <w:lang w:val="en-GB"/>
        </w:rPr>
        <w:t xml:space="preserve"> to explore options for cooperation while </w:t>
      </w:r>
      <w:r>
        <w:rPr>
          <w:rFonts w:ascii="Times New Roman" w:hAnsi="Times New Roman"/>
          <w:sz w:val="14"/>
          <w:lang w:val="en-GB"/>
        </w:rPr>
        <w:t>t</w:t>
      </w:r>
      <w:r w:rsidRPr="00A47A47">
        <w:rPr>
          <w:rFonts w:ascii="Times New Roman" w:hAnsi="Times New Roman"/>
          <w:sz w:val="14"/>
          <w:lang w:val="en-GB"/>
        </w:rPr>
        <w:t>arget</w:t>
      </w:r>
      <w:r>
        <w:rPr>
          <w:rFonts w:ascii="Times New Roman" w:hAnsi="Times New Roman"/>
          <w:sz w:val="14"/>
          <w:lang w:val="en-GB"/>
        </w:rPr>
        <w:t>ing</w:t>
      </w:r>
      <w:r w:rsidRPr="00A47A47">
        <w:rPr>
          <w:rFonts w:ascii="Times New Roman" w:hAnsi="Times New Roman"/>
          <w:sz w:val="14"/>
          <w:lang w:val="en-GB"/>
        </w:rPr>
        <w:t xml:space="preserve"> </w:t>
      </w:r>
      <w:r>
        <w:rPr>
          <w:rFonts w:ascii="Times New Roman" w:hAnsi="Times New Roman"/>
          <w:sz w:val="14"/>
          <w:lang w:val="en-GB"/>
        </w:rPr>
        <w:t xml:space="preserve">thematic </w:t>
      </w:r>
      <w:r w:rsidRPr="00A47A47">
        <w:rPr>
          <w:rFonts w:ascii="Times New Roman" w:hAnsi="Times New Roman"/>
          <w:sz w:val="14"/>
          <w:lang w:val="en-GB"/>
        </w:rPr>
        <w:t xml:space="preserve">funds such as the </w:t>
      </w:r>
      <w:r>
        <w:rPr>
          <w:rFonts w:ascii="Times New Roman" w:hAnsi="Times New Roman"/>
          <w:sz w:val="14"/>
          <w:lang w:val="en-GB"/>
        </w:rPr>
        <w:t>European Commission</w:t>
      </w:r>
      <w:r w:rsidRPr="00A47A47">
        <w:rPr>
          <w:rFonts w:ascii="Times New Roman" w:hAnsi="Times New Roman"/>
          <w:sz w:val="14"/>
          <w:lang w:val="en-GB"/>
        </w:rPr>
        <w:t xml:space="preserve"> Migration Fund</w:t>
      </w:r>
      <w:r>
        <w:rPr>
          <w:rFonts w:ascii="Times New Roman" w:hAnsi="Times New Roman"/>
          <w:sz w:val="14"/>
          <w:lang w:val="en-GB"/>
        </w:rPr>
        <w:t>, GEF</w:t>
      </w:r>
      <w:r w:rsidRPr="00A47A47">
        <w:rPr>
          <w:rFonts w:ascii="Times New Roman" w:hAnsi="Times New Roman"/>
          <w:sz w:val="14"/>
          <w:lang w:val="en-GB"/>
        </w:rPr>
        <w:t xml:space="preserve"> and </w:t>
      </w:r>
      <w:r>
        <w:rPr>
          <w:rFonts w:ascii="Times New Roman" w:hAnsi="Times New Roman"/>
          <w:sz w:val="14"/>
          <w:lang w:val="en-GB"/>
        </w:rPr>
        <w:t xml:space="preserve">the </w:t>
      </w:r>
      <w:r w:rsidRPr="00A47A47">
        <w:rPr>
          <w:rFonts w:ascii="Times New Roman" w:hAnsi="Times New Roman"/>
          <w:sz w:val="14"/>
          <w:lang w:val="en-GB"/>
        </w:rPr>
        <w:t>Green Fund</w:t>
      </w:r>
      <w:r>
        <w:rPr>
          <w:rFonts w:ascii="Times New Roman" w:hAnsi="Times New Roman"/>
          <w:sz w:val="14"/>
          <w:lang w:val="en-GB"/>
        </w:rPr>
        <w:t>.</w:t>
      </w:r>
    </w:p>
  </w:footnote>
  <w:footnote w:id="45">
    <w:p w:rsidR="00A30AFE" w:rsidRDefault="00A30AFE" w:rsidP="005E1E7D">
      <w:pPr>
        <w:pStyle w:val="FootnoteText"/>
      </w:pPr>
      <w:r w:rsidRPr="00213C87">
        <w:rPr>
          <w:rStyle w:val="FootnoteReference"/>
          <w:rFonts w:ascii="Times New Roman" w:hAnsi="Times New Roman"/>
          <w:sz w:val="14"/>
        </w:rPr>
        <w:footnoteRef/>
      </w:r>
      <w:r w:rsidRPr="00213C87">
        <w:rPr>
          <w:rStyle w:val="FootnoteReference"/>
          <w:rFonts w:ascii="Times New Roman" w:hAnsi="Times New Roman"/>
          <w:sz w:val="14"/>
        </w:rPr>
        <w:t xml:space="preserve"> </w:t>
      </w:r>
      <w:r>
        <w:rPr>
          <w:rFonts w:ascii="Times New Roman" w:hAnsi="Times New Roman"/>
          <w:sz w:val="14"/>
        </w:rPr>
        <w:t xml:space="preserve"> Within the country programme and as part of the monitoring and evaluation system</w:t>
      </w:r>
      <w:r w:rsidRPr="00213C87">
        <w:rPr>
          <w:rFonts w:ascii="Times New Roman" w:hAnsi="Times New Roman"/>
          <w:sz w:val="14"/>
          <w:lang w:val="en-GB"/>
        </w:rPr>
        <w:t>, multi-year, issues-based policy research and studies will be commissioned through think tanks, universities and the private sector</w:t>
      </w:r>
      <w:r w:rsidRPr="00E93AEA">
        <w:rPr>
          <w:rFonts w:ascii="Times New Roman" w:hAnsi="Times New Roman"/>
          <w:sz w:val="14"/>
          <w:lang w:val="en-GB"/>
        </w:rPr>
        <w:t xml:space="preserve"> </w:t>
      </w:r>
      <w:r>
        <w:rPr>
          <w:rFonts w:ascii="Times New Roman" w:hAnsi="Times New Roman"/>
          <w:sz w:val="14"/>
          <w:lang w:val="en-GB"/>
        </w:rPr>
        <w:t>t</w:t>
      </w:r>
      <w:r w:rsidRPr="002B1658">
        <w:rPr>
          <w:rFonts w:ascii="Times New Roman" w:hAnsi="Times New Roman"/>
          <w:sz w:val="14"/>
          <w:lang w:val="en-GB"/>
        </w:rPr>
        <w:t>o test underlying theories of change</w:t>
      </w:r>
      <w:r w:rsidRPr="00213C87">
        <w:rPr>
          <w:rFonts w:ascii="Times New Roman" w:hAnsi="Times New Roman"/>
          <w:sz w:val="14"/>
          <w:lang w:val="en-GB"/>
        </w:rPr>
        <w:t>. The findings will contribute to learning and adjustments to the programme strategies and outputs.</w:t>
      </w:r>
    </w:p>
  </w:footnote>
  <w:footnote w:id="46">
    <w:p w:rsidR="00A30AFE" w:rsidRDefault="00A30AFE">
      <w:pPr>
        <w:pStyle w:val="FootnoteText"/>
      </w:pPr>
      <w:r w:rsidRPr="00736EA4">
        <w:rPr>
          <w:rStyle w:val="FootnoteReference"/>
          <w:rFonts w:ascii="Times New Roman" w:hAnsi="Times New Roman"/>
          <w:sz w:val="14"/>
        </w:rPr>
        <w:footnoteRef/>
      </w:r>
      <w:r>
        <w:rPr>
          <w:rFonts w:ascii="Times New Roman" w:hAnsi="Times New Roman"/>
          <w:sz w:val="14"/>
          <w:lang w:val="en-GB"/>
        </w:rPr>
        <w:t xml:space="preserve"> </w:t>
      </w:r>
      <w:r w:rsidRPr="00736EA4">
        <w:rPr>
          <w:rFonts w:ascii="Times New Roman" w:hAnsi="Times New Roman"/>
          <w:sz w:val="14"/>
          <w:lang w:val="en-GB"/>
        </w:rPr>
        <w:t xml:space="preserve">Preliminary assessment of the data for </w:t>
      </w:r>
      <w:r>
        <w:rPr>
          <w:rFonts w:ascii="Times New Roman" w:hAnsi="Times New Roman"/>
          <w:sz w:val="14"/>
          <w:lang w:val="en-GB"/>
        </w:rPr>
        <w:t>sustainable development goals</w:t>
      </w:r>
      <w:r w:rsidRPr="00736EA4">
        <w:rPr>
          <w:rFonts w:ascii="Times New Roman" w:hAnsi="Times New Roman"/>
          <w:sz w:val="14"/>
          <w:lang w:val="en-GB"/>
        </w:rPr>
        <w:t xml:space="preserve"> reporting in the Gambia shows that </w:t>
      </w:r>
      <w:r>
        <w:rPr>
          <w:rFonts w:ascii="Times New Roman" w:hAnsi="Times New Roman"/>
          <w:sz w:val="14"/>
          <w:lang w:val="en-GB"/>
        </w:rPr>
        <w:t>about</w:t>
      </w:r>
      <w:r w:rsidRPr="00736EA4">
        <w:rPr>
          <w:rFonts w:ascii="Times New Roman" w:hAnsi="Times New Roman"/>
          <w:sz w:val="14"/>
          <w:lang w:val="en-GB"/>
        </w:rPr>
        <w:t xml:space="preserve"> 36</w:t>
      </w:r>
      <w:r>
        <w:rPr>
          <w:rFonts w:ascii="Times New Roman" w:hAnsi="Times New Roman"/>
          <w:sz w:val="14"/>
          <w:lang w:val="en-GB"/>
        </w:rPr>
        <w:t xml:space="preserve"> per cent</w:t>
      </w:r>
      <w:r w:rsidRPr="00736EA4">
        <w:rPr>
          <w:rFonts w:ascii="Times New Roman" w:hAnsi="Times New Roman"/>
          <w:sz w:val="14"/>
          <w:lang w:val="en-GB"/>
        </w:rPr>
        <w:t xml:space="preserve"> of the data</w:t>
      </w:r>
      <w:r>
        <w:rPr>
          <w:rFonts w:ascii="Times New Roman" w:hAnsi="Times New Roman"/>
          <w:sz w:val="14"/>
          <w:lang w:val="en-GB"/>
        </w:rPr>
        <w:t xml:space="preserve"> </w:t>
      </w:r>
      <w:r w:rsidRPr="00736EA4">
        <w:rPr>
          <w:rFonts w:ascii="Times New Roman" w:hAnsi="Times New Roman"/>
          <w:sz w:val="14"/>
          <w:lang w:val="en-GB"/>
        </w:rPr>
        <w:t>was available for monitoring M</w:t>
      </w:r>
      <w:r>
        <w:rPr>
          <w:rFonts w:ascii="Times New Roman" w:hAnsi="Times New Roman"/>
          <w:sz w:val="14"/>
          <w:lang w:val="en-GB"/>
        </w:rPr>
        <w:t>illennium Development Goals progress</w:t>
      </w:r>
      <w:r w:rsidRPr="00736EA4">
        <w:rPr>
          <w:rFonts w:ascii="Times New Roman" w:hAnsi="Times New Roman"/>
          <w:sz w:val="14"/>
          <w:lang w:val="en-GB"/>
        </w:rPr>
        <w:t xml:space="preserve"> over the last 15 years. </w:t>
      </w:r>
      <w:r w:rsidR="00710E70">
        <w:rPr>
          <w:rFonts w:ascii="Times New Roman" w:hAnsi="Times New Roman"/>
          <w:sz w:val="14"/>
          <w:lang w:val="en-GB"/>
        </w:rPr>
        <w:t>For the already-</w:t>
      </w:r>
      <w:r>
        <w:rPr>
          <w:rFonts w:ascii="Times New Roman" w:hAnsi="Times New Roman"/>
          <w:sz w:val="14"/>
          <w:lang w:val="en-GB"/>
        </w:rPr>
        <w:t xml:space="preserve">finalized </w:t>
      </w:r>
      <w:r w:rsidRPr="00E73956">
        <w:rPr>
          <w:rFonts w:ascii="Times New Roman" w:hAnsi="Times New Roman"/>
          <w:sz w:val="14"/>
          <w:lang w:val="en-GB"/>
        </w:rPr>
        <w:t xml:space="preserve">100 </w:t>
      </w:r>
      <w:r>
        <w:rPr>
          <w:rFonts w:ascii="Times New Roman" w:hAnsi="Times New Roman"/>
          <w:sz w:val="14"/>
          <w:lang w:val="en-GB"/>
        </w:rPr>
        <w:t xml:space="preserve">goals </w:t>
      </w:r>
      <w:r w:rsidRPr="00736EA4">
        <w:rPr>
          <w:rFonts w:ascii="Times New Roman" w:hAnsi="Times New Roman"/>
          <w:sz w:val="14"/>
          <w:lang w:val="en-GB"/>
        </w:rPr>
        <w:t>indicators</w:t>
      </w:r>
      <w:r>
        <w:rPr>
          <w:rFonts w:ascii="Times New Roman" w:hAnsi="Times New Roman"/>
          <w:sz w:val="14"/>
          <w:lang w:val="en-GB"/>
        </w:rPr>
        <w:t>, there is limited</w:t>
      </w:r>
      <w:r w:rsidRPr="00736EA4">
        <w:rPr>
          <w:rFonts w:ascii="Times New Roman" w:hAnsi="Times New Roman"/>
          <w:sz w:val="14"/>
          <w:lang w:val="en-GB"/>
        </w:rPr>
        <w:t xml:space="preserve"> </w:t>
      </w:r>
      <w:r w:rsidRPr="008911FC">
        <w:rPr>
          <w:rFonts w:ascii="Times New Roman" w:hAnsi="Times New Roman"/>
          <w:sz w:val="14"/>
          <w:lang w:val="en-GB"/>
        </w:rPr>
        <w:t>up-to-date data</w:t>
      </w:r>
      <w:r>
        <w:rPr>
          <w:rFonts w:ascii="Times New Roman" w:hAnsi="Times New Roman"/>
          <w:sz w:val="14"/>
          <w:lang w:val="en-GB"/>
        </w:rPr>
        <w:t>. Thirty-two per cent</w:t>
      </w:r>
      <w:r w:rsidRPr="00736EA4">
        <w:rPr>
          <w:rFonts w:ascii="Times New Roman" w:hAnsi="Times New Roman"/>
          <w:sz w:val="14"/>
          <w:lang w:val="en-GB"/>
        </w:rPr>
        <w:t xml:space="preserve"> </w:t>
      </w:r>
      <w:r w:rsidR="00710E70">
        <w:rPr>
          <w:rFonts w:ascii="Times New Roman" w:hAnsi="Times New Roman"/>
          <w:sz w:val="14"/>
          <w:lang w:val="en-GB"/>
        </w:rPr>
        <w:t>h</w:t>
      </w:r>
      <w:r w:rsidRPr="00736EA4">
        <w:rPr>
          <w:rFonts w:ascii="Times New Roman" w:hAnsi="Times New Roman"/>
          <w:sz w:val="14"/>
          <w:lang w:val="en-GB"/>
        </w:rPr>
        <w:t>ave data less than 3 years old</w:t>
      </w:r>
      <w:r>
        <w:rPr>
          <w:rFonts w:ascii="Times New Roman" w:hAnsi="Times New Roman"/>
          <w:sz w:val="14"/>
          <w:lang w:val="en-GB"/>
        </w:rPr>
        <w:t xml:space="preserve"> (UNDP policy brief: Data gap to implement and monitor SDGs. 2015</w:t>
      </w:r>
      <w:r w:rsidR="00710E70">
        <w:rPr>
          <w:rFonts w:ascii="Times New Roman" w:hAnsi="Times New Roman"/>
          <w:sz w:val="14"/>
          <w:lang w:val="en-GB"/>
        </w:rPr>
        <w:t>)</w:t>
      </w:r>
      <w:r w:rsidRPr="00736EA4">
        <w:rPr>
          <w:rFonts w:ascii="Times New Roman" w:hAnsi="Times New Roman"/>
          <w:sz w:val="14"/>
          <w:lang w:val="en-GB"/>
        </w:rPr>
        <w:t>.</w:t>
      </w:r>
    </w:p>
  </w:footnote>
  <w:footnote w:id="47">
    <w:p w:rsidR="00A30AFE" w:rsidRDefault="00A30AFE" w:rsidP="005E1E7D">
      <w:pPr>
        <w:pStyle w:val="FootnoteText"/>
      </w:pPr>
      <w:r w:rsidRPr="00736EA4">
        <w:rPr>
          <w:rStyle w:val="FootnoteReference"/>
          <w:rFonts w:ascii="Times New Roman" w:hAnsi="Times New Roman"/>
          <w:sz w:val="14"/>
        </w:rPr>
        <w:footnoteRef/>
      </w:r>
      <w:r>
        <w:rPr>
          <w:rFonts w:ascii="Times New Roman" w:hAnsi="Times New Roman"/>
          <w:sz w:val="14"/>
          <w:lang w:val="en-GB"/>
        </w:rPr>
        <w:t xml:space="preserve"> </w:t>
      </w:r>
      <w:r w:rsidRPr="00736EA4">
        <w:rPr>
          <w:rFonts w:ascii="Times New Roman" w:hAnsi="Times New Roman"/>
          <w:sz w:val="14"/>
          <w:lang w:val="en-GB"/>
        </w:rPr>
        <w:t>World Bank, IMF, Af</w:t>
      </w:r>
      <w:r>
        <w:rPr>
          <w:rFonts w:ascii="Times New Roman" w:hAnsi="Times New Roman"/>
          <w:sz w:val="14"/>
          <w:lang w:val="en-GB"/>
        </w:rPr>
        <w:t xml:space="preserve">rican </w:t>
      </w:r>
      <w:r w:rsidRPr="00736EA4">
        <w:rPr>
          <w:rFonts w:ascii="Times New Roman" w:hAnsi="Times New Roman"/>
          <w:sz w:val="14"/>
          <w:lang w:val="en-GB"/>
        </w:rPr>
        <w:t>D</w:t>
      </w:r>
      <w:r>
        <w:rPr>
          <w:rFonts w:ascii="Times New Roman" w:hAnsi="Times New Roman"/>
          <w:sz w:val="14"/>
          <w:lang w:val="en-GB"/>
        </w:rPr>
        <w:t xml:space="preserve">evelopment </w:t>
      </w:r>
      <w:r w:rsidRPr="00736EA4">
        <w:rPr>
          <w:rFonts w:ascii="Times New Roman" w:hAnsi="Times New Roman"/>
          <w:sz w:val="14"/>
          <w:lang w:val="en-GB"/>
        </w:rPr>
        <w:t>B</w:t>
      </w:r>
      <w:r>
        <w:rPr>
          <w:rFonts w:ascii="Times New Roman" w:hAnsi="Times New Roman"/>
          <w:sz w:val="14"/>
          <w:lang w:val="en-GB"/>
        </w:rPr>
        <w:t>ank</w:t>
      </w:r>
      <w:r w:rsidRPr="00736EA4">
        <w:rPr>
          <w:rFonts w:ascii="Times New Roman" w:hAnsi="Times New Roman"/>
          <w:sz w:val="14"/>
          <w:lang w:val="en-GB"/>
        </w:rPr>
        <w:t xml:space="preserve"> and other </w:t>
      </w:r>
      <w:r>
        <w:rPr>
          <w:rFonts w:ascii="Times New Roman" w:hAnsi="Times New Roman"/>
          <w:sz w:val="14"/>
          <w:lang w:val="en-GB"/>
        </w:rPr>
        <w:t>United Nations organizations.</w:t>
      </w:r>
    </w:p>
  </w:footnote>
  <w:footnote w:id="48">
    <w:p w:rsidR="00A30AFE" w:rsidRPr="00AD07F4" w:rsidRDefault="00A30AFE" w:rsidP="0095175F">
      <w:pPr>
        <w:jc w:val="both"/>
        <w:rPr>
          <w:sz w:val="14"/>
          <w:szCs w:val="14"/>
        </w:rPr>
      </w:pPr>
      <w:r w:rsidRPr="006B64F9">
        <w:rPr>
          <w:rStyle w:val="FootnoteReference"/>
          <w:sz w:val="14"/>
          <w:szCs w:val="14"/>
        </w:rPr>
        <w:footnoteRef/>
      </w:r>
      <w:r w:rsidRPr="006B64F9">
        <w:rPr>
          <w:sz w:val="14"/>
          <w:szCs w:val="14"/>
        </w:rPr>
        <w:t xml:space="preserve"> </w:t>
      </w:r>
      <w:r w:rsidRPr="00AD07F4">
        <w:rPr>
          <w:sz w:val="14"/>
          <w:szCs w:val="14"/>
        </w:rPr>
        <w:t xml:space="preserve">Data source: </w:t>
      </w:r>
      <w:r w:rsidRPr="006B64F9">
        <w:rPr>
          <w:sz w:val="14"/>
          <w:szCs w:val="14"/>
        </w:rPr>
        <w:t xml:space="preserve">Government budget and MOTIE reports. </w:t>
      </w:r>
      <w:r w:rsidRPr="00AD07F4">
        <w:rPr>
          <w:sz w:val="14"/>
          <w:szCs w:val="14"/>
        </w:rPr>
        <w:t xml:space="preserve">Frequency: </w:t>
      </w:r>
      <w:r>
        <w:rPr>
          <w:sz w:val="14"/>
          <w:szCs w:val="14"/>
        </w:rPr>
        <w:t>a</w:t>
      </w:r>
      <w:r w:rsidRPr="006B64F9">
        <w:rPr>
          <w:sz w:val="14"/>
          <w:szCs w:val="14"/>
        </w:rPr>
        <w:t>nnual</w:t>
      </w:r>
    </w:p>
  </w:footnote>
  <w:footnote w:id="49">
    <w:p w:rsidR="00A30AFE" w:rsidRPr="006B64F9" w:rsidRDefault="00A30AFE" w:rsidP="003F3C85">
      <w:pPr>
        <w:jc w:val="both"/>
      </w:pPr>
      <w:r w:rsidRPr="006B64F9">
        <w:rPr>
          <w:rStyle w:val="FootnoteReference"/>
          <w:sz w:val="14"/>
          <w:szCs w:val="14"/>
        </w:rPr>
        <w:footnoteRef/>
      </w:r>
      <w:r w:rsidRPr="006B64F9">
        <w:rPr>
          <w:sz w:val="14"/>
          <w:szCs w:val="14"/>
        </w:rPr>
        <w:t xml:space="preserve"> </w:t>
      </w:r>
      <w:r w:rsidRPr="00AD07F4">
        <w:rPr>
          <w:sz w:val="14"/>
          <w:szCs w:val="14"/>
        </w:rPr>
        <w:t xml:space="preserve">Data source: </w:t>
      </w:r>
      <w:r w:rsidRPr="006B64F9">
        <w:rPr>
          <w:sz w:val="14"/>
          <w:szCs w:val="14"/>
        </w:rPr>
        <w:t xml:space="preserve">Government budget and sectoral reports. </w:t>
      </w:r>
      <w:r w:rsidRPr="00AD07F4">
        <w:rPr>
          <w:sz w:val="14"/>
          <w:szCs w:val="14"/>
        </w:rPr>
        <w:t>Frequency:</w:t>
      </w:r>
      <w:r w:rsidRPr="006B64F9">
        <w:rPr>
          <w:sz w:val="14"/>
          <w:szCs w:val="14"/>
        </w:rPr>
        <w:t xml:space="preserve"> </w:t>
      </w:r>
      <w:r>
        <w:rPr>
          <w:sz w:val="14"/>
          <w:szCs w:val="14"/>
        </w:rPr>
        <w:t>a</w:t>
      </w:r>
      <w:r w:rsidRPr="006B64F9">
        <w:rPr>
          <w:sz w:val="14"/>
          <w:szCs w:val="14"/>
        </w:rPr>
        <w:t>nnual</w:t>
      </w:r>
    </w:p>
  </w:footnote>
  <w:footnote w:id="50">
    <w:p w:rsidR="00A30AFE" w:rsidRPr="006B64F9" w:rsidRDefault="00A30AFE" w:rsidP="00962C41">
      <w:pPr>
        <w:pStyle w:val="FootnoteText"/>
      </w:pPr>
      <w:r w:rsidRPr="006B64F9">
        <w:rPr>
          <w:rStyle w:val="FootnoteReference"/>
          <w:rFonts w:ascii="Times New Roman" w:hAnsi="Times New Roman"/>
          <w:sz w:val="14"/>
          <w:szCs w:val="14"/>
        </w:rPr>
        <w:footnoteRef/>
      </w:r>
      <w:r w:rsidRPr="006B64F9">
        <w:rPr>
          <w:rStyle w:val="FootnoteReference"/>
          <w:rFonts w:ascii="Times New Roman" w:hAnsi="Times New Roman"/>
          <w:sz w:val="14"/>
          <w:szCs w:val="14"/>
        </w:rPr>
        <w:t xml:space="preserve"> </w:t>
      </w:r>
      <w:r w:rsidRPr="006B64F9">
        <w:rPr>
          <w:rFonts w:ascii="Times New Roman" w:hAnsi="Times New Roman"/>
          <w:sz w:val="14"/>
          <w:szCs w:val="14"/>
        </w:rPr>
        <w:t>Estimated based on the assumption that only 5 per cent of the total vulnerable groups as per the SP policy are covered currently.</w:t>
      </w:r>
      <w:r w:rsidRPr="006B64F9">
        <w:t xml:space="preserve"> </w:t>
      </w:r>
    </w:p>
  </w:footnote>
  <w:footnote w:id="51">
    <w:p w:rsidR="00A30AFE" w:rsidRPr="001F4B1B" w:rsidRDefault="00A30AFE" w:rsidP="001F4B1B">
      <w:pPr>
        <w:jc w:val="both"/>
        <w:rPr>
          <w:b/>
          <w:i/>
          <w:sz w:val="14"/>
          <w:szCs w:val="14"/>
        </w:rPr>
      </w:pPr>
      <w:r w:rsidRPr="006B64F9">
        <w:rPr>
          <w:rStyle w:val="FootnoteReference"/>
          <w:sz w:val="14"/>
          <w:szCs w:val="14"/>
        </w:rPr>
        <w:footnoteRef/>
      </w:r>
      <w:r w:rsidRPr="006B64F9">
        <w:rPr>
          <w:sz w:val="14"/>
          <w:szCs w:val="14"/>
        </w:rPr>
        <w:t xml:space="preserve"> </w:t>
      </w:r>
      <w:r w:rsidRPr="007A75EC">
        <w:rPr>
          <w:sz w:val="14"/>
          <w:szCs w:val="14"/>
        </w:rPr>
        <w:t xml:space="preserve">Source: Social Protection Survey report. Frequency: </w:t>
      </w:r>
      <w:r>
        <w:rPr>
          <w:sz w:val="14"/>
          <w:szCs w:val="14"/>
        </w:rPr>
        <w:t>e</w:t>
      </w:r>
      <w:r w:rsidRPr="007A75EC">
        <w:rPr>
          <w:sz w:val="14"/>
          <w:szCs w:val="14"/>
        </w:rPr>
        <w:t>very two years</w:t>
      </w:r>
      <w:r w:rsidRPr="001F4B1B">
        <w:rPr>
          <w:b/>
          <w:i/>
          <w:sz w:val="14"/>
          <w:szCs w:val="14"/>
        </w:rPr>
        <w:t xml:space="preserve"> </w:t>
      </w:r>
    </w:p>
  </w:footnote>
  <w:footnote w:id="52">
    <w:p w:rsidR="00A30AFE" w:rsidRDefault="00A30AFE" w:rsidP="00213C87">
      <w:pPr>
        <w:jc w:val="both"/>
      </w:pPr>
      <w:r w:rsidRPr="00736EA4">
        <w:rPr>
          <w:rStyle w:val="FootnoteReference"/>
          <w:sz w:val="14"/>
          <w:szCs w:val="14"/>
        </w:rPr>
        <w:footnoteRef/>
      </w:r>
      <w:r>
        <w:t xml:space="preserve"> </w:t>
      </w:r>
      <w:r>
        <w:rPr>
          <w:sz w:val="14"/>
          <w:szCs w:val="14"/>
        </w:rPr>
        <w:t>MOFEA</w:t>
      </w:r>
      <w:r w:rsidRPr="00736EA4">
        <w:rPr>
          <w:sz w:val="14"/>
          <w:szCs w:val="14"/>
        </w:rPr>
        <w:t xml:space="preserve"> and </w:t>
      </w:r>
      <w:r>
        <w:rPr>
          <w:sz w:val="14"/>
          <w:szCs w:val="14"/>
        </w:rPr>
        <w:t>MOTIE</w:t>
      </w:r>
    </w:p>
  </w:footnote>
  <w:footnote w:id="53">
    <w:p w:rsidR="00A30AFE" w:rsidRDefault="00A30AFE" w:rsidP="00213C87">
      <w:pPr>
        <w:jc w:val="both"/>
      </w:pPr>
      <w:r w:rsidRPr="00736EA4">
        <w:rPr>
          <w:rStyle w:val="FootnoteReference"/>
          <w:sz w:val="14"/>
          <w:szCs w:val="14"/>
        </w:rPr>
        <w:footnoteRef/>
      </w:r>
      <w:r>
        <w:t xml:space="preserve"> </w:t>
      </w:r>
      <w:r>
        <w:rPr>
          <w:sz w:val="14"/>
          <w:szCs w:val="14"/>
        </w:rPr>
        <w:t>Two</w:t>
      </w:r>
      <w:r w:rsidRPr="00736EA4">
        <w:rPr>
          <w:sz w:val="14"/>
          <w:szCs w:val="14"/>
        </w:rPr>
        <w:t xml:space="preserve"> </w:t>
      </w:r>
      <w:r>
        <w:rPr>
          <w:sz w:val="14"/>
          <w:szCs w:val="14"/>
        </w:rPr>
        <w:t>n</w:t>
      </w:r>
      <w:r w:rsidRPr="00736EA4">
        <w:rPr>
          <w:sz w:val="14"/>
          <w:szCs w:val="14"/>
        </w:rPr>
        <w:t xml:space="preserve">ational </w:t>
      </w:r>
      <w:r>
        <w:rPr>
          <w:sz w:val="14"/>
          <w:szCs w:val="14"/>
        </w:rPr>
        <w:t>i</w:t>
      </w:r>
      <w:r w:rsidRPr="00736EA4">
        <w:rPr>
          <w:sz w:val="14"/>
          <w:szCs w:val="14"/>
        </w:rPr>
        <w:t>nstitutions</w:t>
      </w:r>
      <w:r>
        <w:rPr>
          <w:sz w:val="14"/>
          <w:szCs w:val="14"/>
        </w:rPr>
        <w:t xml:space="preserve"> (</w:t>
      </w:r>
      <w:r w:rsidRPr="00736EA4">
        <w:rPr>
          <w:sz w:val="14"/>
          <w:szCs w:val="14"/>
        </w:rPr>
        <w:t xml:space="preserve">Ministry of Policy and Planning and </w:t>
      </w:r>
      <w:r>
        <w:rPr>
          <w:sz w:val="14"/>
          <w:szCs w:val="14"/>
        </w:rPr>
        <w:t>MOFEA)</w:t>
      </w:r>
      <w:r w:rsidRPr="00736EA4">
        <w:rPr>
          <w:sz w:val="14"/>
          <w:szCs w:val="14"/>
        </w:rPr>
        <w:t xml:space="preserve"> and </w:t>
      </w:r>
      <w:r>
        <w:rPr>
          <w:sz w:val="14"/>
          <w:szCs w:val="14"/>
        </w:rPr>
        <w:t>four</w:t>
      </w:r>
      <w:r w:rsidRPr="00736EA4">
        <w:rPr>
          <w:sz w:val="14"/>
          <w:szCs w:val="14"/>
        </w:rPr>
        <w:t xml:space="preserve"> </w:t>
      </w:r>
      <w:r>
        <w:rPr>
          <w:sz w:val="14"/>
          <w:szCs w:val="14"/>
        </w:rPr>
        <w:t>s</w:t>
      </w:r>
      <w:r w:rsidRPr="00736EA4">
        <w:rPr>
          <w:sz w:val="14"/>
          <w:szCs w:val="14"/>
        </w:rPr>
        <w:t xml:space="preserve">ubnational institutions.  </w:t>
      </w:r>
    </w:p>
  </w:footnote>
  <w:footnote w:id="54">
    <w:p w:rsidR="00A30AFE" w:rsidRDefault="00A30AFE" w:rsidP="007A75EC">
      <w:pPr>
        <w:pStyle w:val="CommentText"/>
      </w:pPr>
      <w:r w:rsidRPr="001F4B1B">
        <w:rPr>
          <w:rStyle w:val="FootnoteReference"/>
          <w:sz w:val="14"/>
          <w:szCs w:val="14"/>
        </w:rPr>
        <w:footnoteRef/>
      </w:r>
      <w:r w:rsidRPr="001F4B1B">
        <w:rPr>
          <w:sz w:val="14"/>
          <w:szCs w:val="14"/>
        </w:rPr>
        <w:t xml:space="preserve"> Rating scale of 1-5: 1=</w:t>
      </w:r>
      <w:r>
        <w:rPr>
          <w:sz w:val="14"/>
          <w:szCs w:val="14"/>
        </w:rPr>
        <w:t>l</w:t>
      </w:r>
      <w:r w:rsidRPr="001F4B1B">
        <w:rPr>
          <w:sz w:val="14"/>
          <w:szCs w:val="14"/>
        </w:rPr>
        <w:t>ow; 2=</w:t>
      </w:r>
      <w:r>
        <w:rPr>
          <w:sz w:val="14"/>
          <w:szCs w:val="14"/>
        </w:rPr>
        <w:t>b</w:t>
      </w:r>
      <w:r w:rsidRPr="001F4B1B">
        <w:rPr>
          <w:sz w:val="14"/>
          <w:szCs w:val="14"/>
        </w:rPr>
        <w:t>elow average; 3=</w:t>
      </w:r>
      <w:r>
        <w:rPr>
          <w:sz w:val="14"/>
          <w:szCs w:val="14"/>
        </w:rPr>
        <w:t>a</w:t>
      </w:r>
      <w:r w:rsidRPr="001F4B1B">
        <w:rPr>
          <w:sz w:val="14"/>
          <w:szCs w:val="14"/>
        </w:rPr>
        <w:t>verage; 4=</w:t>
      </w:r>
      <w:r>
        <w:rPr>
          <w:sz w:val="14"/>
          <w:szCs w:val="14"/>
        </w:rPr>
        <w:t>a</w:t>
      </w:r>
      <w:r w:rsidRPr="001F4B1B">
        <w:rPr>
          <w:sz w:val="14"/>
          <w:szCs w:val="14"/>
        </w:rPr>
        <w:t>bove average; 5=</w:t>
      </w:r>
      <w:r>
        <w:rPr>
          <w:sz w:val="14"/>
          <w:szCs w:val="14"/>
        </w:rPr>
        <w:t>h</w:t>
      </w:r>
      <w:r w:rsidRPr="001F4B1B">
        <w:rPr>
          <w:sz w:val="14"/>
          <w:szCs w:val="14"/>
        </w:rPr>
        <w:t>igh</w:t>
      </w:r>
    </w:p>
  </w:footnote>
  <w:footnote w:id="55">
    <w:p w:rsidR="00A30AFE" w:rsidRPr="00971930" w:rsidRDefault="00A30AFE" w:rsidP="00C36512">
      <w:pPr>
        <w:jc w:val="both"/>
        <w:rPr>
          <w:sz w:val="14"/>
          <w:szCs w:val="14"/>
        </w:rPr>
      </w:pPr>
      <w:r w:rsidRPr="0094722C">
        <w:rPr>
          <w:rStyle w:val="FootnoteReference"/>
          <w:sz w:val="14"/>
          <w:szCs w:val="14"/>
        </w:rPr>
        <w:footnoteRef/>
      </w:r>
      <w:r w:rsidRPr="0094722C">
        <w:rPr>
          <w:sz w:val="14"/>
          <w:szCs w:val="14"/>
        </w:rPr>
        <w:t xml:space="preserve"> </w:t>
      </w:r>
      <w:r w:rsidRPr="00971930">
        <w:rPr>
          <w:sz w:val="14"/>
          <w:szCs w:val="14"/>
        </w:rPr>
        <w:t>Data source:</w:t>
      </w:r>
      <w:r w:rsidRPr="00971930">
        <w:rPr>
          <w:i/>
          <w:sz w:val="14"/>
          <w:szCs w:val="14"/>
        </w:rPr>
        <w:t xml:space="preserve"> </w:t>
      </w:r>
      <w:r w:rsidRPr="001404CD">
        <w:rPr>
          <w:sz w:val="14"/>
          <w:szCs w:val="14"/>
        </w:rPr>
        <w:t xml:space="preserve">Independent Electoral Commission reports. </w:t>
      </w:r>
      <w:r w:rsidRPr="00971930">
        <w:rPr>
          <w:sz w:val="14"/>
          <w:szCs w:val="14"/>
        </w:rPr>
        <w:t xml:space="preserve">Frequency: </w:t>
      </w:r>
      <w:r>
        <w:rPr>
          <w:sz w:val="14"/>
          <w:szCs w:val="14"/>
        </w:rPr>
        <w:t>a</w:t>
      </w:r>
      <w:r w:rsidRPr="00971930">
        <w:rPr>
          <w:sz w:val="14"/>
          <w:szCs w:val="14"/>
        </w:rPr>
        <w:t>nnual</w:t>
      </w:r>
    </w:p>
  </w:footnote>
  <w:footnote w:id="56">
    <w:p w:rsidR="00A30AFE" w:rsidRPr="001404CD" w:rsidRDefault="00A30AFE" w:rsidP="00C36512">
      <w:pPr>
        <w:jc w:val="both"/>
        <w:rPr>
          <w:sz w:val="14"/>
          <w:szCs w:val="14"/>
        </w:rPr>
      </w:pPr>
      <w:r w:rsidRPr="001404CD">
        <w:rPr>
          <w:rStyle w:val="FootnoteReference"/>
          <w:sz w:val="14"/>
          <w:szCs w:val="14"/>
        </w:rPr>
        <w:footnoteRef/>
      </w:r>
      <w:r w:rsidRPr="001404CD">
        <w:rPr>
          <w:sz w:val="14"/>
          <w:szCs w:val="14"/>
        </w:rPr>
        <w:t xml:space="preserve"> </w:t>
      </w:r>
      <w:r w:rsidRPr="007A75EC">
        <w:rPr>
          <w:sz w:val="14"/>
          <w:szCs w:val="14"/>
        </w:rPr>
        <w:t>Data source</w:t>
      </w:r>
      <w:r w:rsidRPr="001404CD">
        <w:rPr>
          <w:sz w:val="14"/>
          <w:szCs w:val="14"/>
        </w:rPr>
        <w:t xml:space="preserve">: National Council for </w:t>
      </w:r>
      <w:r>
        <w:rPr>
          <w:sz w:val="14"/>
          <w:szCs w:val="14"/>
        </w:rPr>
        <w:t>C</w:t>
      </w:r>
      <w:r w:rsidRPr="001404CD">
        <w:rPr>
          <w:sz w:val="14"/>
          <w:szCs w:val="14"/>
        </w:rPr>
        <w:t xml:space="preserve">ivic </w:t>
      </w:r>
      <w:r>
        <w:rPr>
          <w:sz w:val="14"/>
          <w:szCs w:val="14"/>
        </w:rPr>
        <w:t>E</w:t>
      </w:r>
      <w:r w:rsidRPr="001404CD">
        <w:rPr>
          <w:sz w:val="14"/>
          <w:szCs w:val="14"/>
        </w:rPr>
        <w:t xml:space="preserve">ducation. </w:t>
      </w:r>
      <w:r w:rsidRPr="007A75EC">
        <w:rPr>
          <w:sz w:val="14"/>
          <w:szCs w:val="14"/>
        </w:rPr>
        <w:t>Frequency</w:t>
      </w:r>
      <w:r w:rsidRPr="001404CD">
        <w:rPr>
          <w:sz w:val="14"/>
          <w:szCs w:val="14"/>
        </w:rPr>
        <w:t xml:space="preserve">: </w:t>
      </w:r>
      <w:r>
        <w:rPr>
          <w:sz w:val="14"/>
          <w:szCs w:val="14"/>
        </w:rPr>
        <w:t>a</w:t>
      </w:r>
      <w:r w:rsidRPr="001404CD">
        <w:rPr>
          <w:sz w:val="14"/>
          <w:szCs w:val="14"/>
        </w:rPr>
        <w:t>nnual</w:t>
      </w:r>
    </w:p>
  </w:footnote>
  <w:footnote w:id="57">
    <w:p w:rsidR="00A30AFE" w:rsidRPr="00845B2D" w:rsidRDefault="00A30AFE" w:rsidP="007A75EC">
      <w:pPr>
        <w:jc w:val="both"/>
        <w:rPr>
          <w:sz w:val="14"/>
          <w:szCs w:val="14"/>
        </w:rPr>
      </w:pPr>
      <w:r w:rsidRPr="00AD6EC2">
        <w:rPr>
          <w:rStyle w:val="FootnoteReference"/>
          <w:sz w:val="14"/>
          <w:szCs w:val="14"/>
        </w:rPr>
        <w:footnoteRef/>
      </w:r>
      <w:r>
        <w:t xml:space="preserve"> </w:t>
      </w:r>
      <w:r w:rsidRPr="007A75EC">
        <w:rPr>
          <w:sz w:val="14"/>
          <w:szCs w:val="14"/>
        </w:rPr>
        <w:t xml:space="preserve">Data </w:t>
      </w:r>
      <w:r>
        <w:rPr>
          <w:sz w:val="14"/>
          <w:szCs w:val="14"/>
        </w:rPr>
        <w:t>s</w:t>
      </w:r>
      <w:r w:rsidRPr="007A75EC">
        <w:rPr>
          <w:sz w:val="14"/>
          <w:szCs w:val="14"/>
        </w:rPr>
        <w:t>ource:</w:t>
      </w:r>
      <w:r w:rsidRPr="00845B2D">
        <w:rPr>
          <w:b/>
          <w:sz w:val="14"/>
          <w:szCs w:val="14"/>
        </w:rPr>
        <w:t xml:space="preserve"> </w:t>
      </w:r>
      <w:r>
        <w:rPr>
          <w:sz w:val="14"/>
          <w:szCs w:val="14"/>
        </w:rPr>
        <w:t>r</w:t>
      </w:r>
      <w:r w:rsidRPr="00845B2D">
        <w:rPr>
          <w:sz w:val="14"/>
          <w:szCs w:val="14"/>
        </w:rPr>
        <w:t>eport of TANGO</w:t>
      </w:r>
      <w:r>
        <w:rPr>
          <w:sz w:val="14"/>
          <w:szCs w:val="14"/>
        </w:rPr>
        <w:t xml:space="preserve">. </w:t>
      </w:r>
      <w:r w:rsidRPr="00845B2D">
        <w:rPr>
          <w:sz w:val="14"/>
          <w:szCs w:val="14"/>
        </w:rPr>
        <w:t xml:space="preserve">Frequency: </w:t>
      </w:r>
      <w:r>
        <w:rPr>
          <w:sz w:val="14"/>
          <w:szCs w:val="14"/>
        </w:rPr>
        <w:t>a</w:t>
      </w:r>
      <w:r w:rsidRPr="00845B2D">
        <w:rPr>
          <w:sz w:val="14"/>
          <w:szCs w:val="14"/>
        </w:rPr>
        <w:t>nnual.</w:t>
      </w:r>
    </w:p>
  </w:footnote>
  <w:footnote w:id="58">
    <w:p w:rsidR="00A30AFE" w:rsidRPr="001679A7" w:rsidRDefault="00A30AFE">
      <w:pPr>
        <w:pStyle w:val="FootnoteText"/>
        <w:rPr>
          <w:rFonts w:ascii="Times New Roman" w:hAnsi="Times New Roman"/>
          <w:sz w:val="14"/>
        </w:rPr>
      </w:pPr>
      <w:r w:rsidRPr="001679A7">
        <w:rPr>
          <w:rStyle w:val="FootnoteReference"/>
          <w:rFonts w:ascii="Times New Roman" w:hAnsi="Times New Roman"/>
          <w:sz w:val="14"/>
        </w:rPr>
        <w:footnoteRef/>
      </w:r>
      <w:r w:rsidRPr="001679A7">
        <w:rPr>
          <w:rFonts w:ascii="Times New Roman" w:hAnsi="Times New Roman"/>
          <w:sz w:val="14"/>
        </w:rPr>
        <w:t xml:space="preserve"> </w:t>
      </w:r>
      <w:r>
        <w:rPr>
          <w:rFonts w:ascii="Times New Roman" w:hAnsi="Times New Roman"/>
          <w:sz w:val="14"/>
        </w:rPr>
        <w:t>G</w:t>
      </w:r>
      <w:r w:rsidRPr="001679A7">
        <w:rPr>
          <w:rFonts w:ascii="Times New Roman" w:eastAsia="Calibri" w:hAnsi="Times New Roman"/>
          <w:sz w:val="14"/>
        </w:rPr>
        <w:t>eo-physical</w:t>
      </w:r>
      <w:r>
        <w:rPr>
          <w:rFonts w:ascii="Times New Roman" w:eastAsia="Calibri" w:hAnsi="Times New Roman"/>
          <w:sz w:val="14"/>
        </w:rPr>
        <w:t xml:space="preserve">, </w:t>
      </w:r>
      <w:r w:rsidRPr="001679A7">
        <w:rPr>
          <w:rFonts w:ascii="Times New Roman" w:eastAsia="Calibri" w:hAnsi="Times New Roman"/>
          <w:sz w:val="14"/>
        </w:rPr>
        <w:t>climate related and man-made crisis at all levels of government and community.</w:t>
      </w:r>
    </w:p>
  </w:footnote>
  <w:footnote w:id="59">
    <w:p w:rsidR="00A30AFE" w:rsidRPr="009E3ED6" w:rsidRDefault="00A30AFE" w:rsidP="00335AC7">
      <w:pPr>
        <w:rPr>
          <w:sz w:val="14"/>
          <w:szCs w:val="14"/>
        </w:rPr>
      </w:pPr>
      <w:r w:rsidRPr="00D90810">
        <w:rPr>
          <w:rStyle w:val="FootnoteReference"/>
          <w:sz w:val="14"/>
          <w:szCs w:val="14"/>
        </w:rPr>
        <w:footnoteRef/>
      </w:r>
      <w:r w:rsidRPr="00D90810">
        <w:rPr>
          <w:sz w:val="14"/>
          <w:szCs w:val="14"/>
        </w:rPr>
        <w:t xml:space="preserve"> </w:t>
      </w:r>
      <w:r w:rsidRPr="007A75EC">
        <w:rPr>
          <w:sz w:val="14"/>
          <w:szCs w:val="14"/>
        </w:rPr>
        <w:t>Data source</w:t>
      </w:r>
      <w:r w:rsidRPr="009E3ED6">
        <w:rPr>
          <w:sz w:val="14"/>
          <w:szCs w:val="14"/>
        </w:rPr>
        <w:t xml:space="preserve">: NDMA and </w:t>
      </w:r>
      <w:r>
        <w:rPr>
          <w:sz w:val="14"/>
          <w:szCs w:val="14"/>
        </w:rPr>
        <w:t>w</w:t>
      </w:r>
      <w:r w:rsidRPr="009E3ED6">
        <w:rPr>
          <w:sz w:val="14"/>
          <w:szCs w:val="14"/>
        </w:rPr>
        <w:t xml:space="preserve">ater </w:t>
      </w:r>
      <w:r>
        <w:rPr>
          <w:sz w:val="14"/>
          <w:szCs w:val="14"/>
        </w:rPr>
        <w:t>r</w:t>
      </w:r>
      <w:r w:rsidRPr="009E3ED6">
        <w:rPr>
          <w:sz w:val="14"/>
          <w:szCs w:val="14"/>
        </w:rPr>
        <w:t xml:space="preserve">esources reports. </w:t>
      </w:r>
      <w:r w:rsidRPr="007A75EC">
        <w:rPr>
          <w:sz w:val="14"/>
          <w:szCs w:val="14"/>
        </w:rPr>
        <w:t>Frequency</w:t>
      </w:r>
      <w:r w:rsidRPr="009E3ED6">
        <w:rPr>
          <w:sz w:val="14"/>
          <w:szCs w:val="14"/>
        </w:rPr>
        <w:t xml:space="preserve">: </w:t>
      </w:r>
      <w:r>
        <w:rPr>
          <w:sz w:val="14"/>
          <w:szCs w:val="14"/>
        </w:rPr>
        <w:t>a</w:t>
      </w:r>
      <w:r w:rsidRPr="009E3ED6">
        <w:rPr>
          <w:sz w:val="14"/>
          <w:szCs w:val="14"/>
        </w:rPr>
        <w:t>nnual</w:t>
      </w:r>
    </w:p>
  </w:footnote>
  <w:footnote w:id="60">
    <w:p w:rsidR="00A30AFE" w:rsidRPr="009E3ED6" w:rsidRDefault="00A30AFE" w:rsidP="00335AC7">
      <w:pPr>
        <w:jc w:val="both"/>
        <w:rPr>
          <w:rFonts w:eastAsia="Calibri"/>
          <w:sz w:val="14"/>
          <w:szCs w:val="14"/>
        </w:rPr>
      </w:pPr>
      <w:r w:rsidRPr="009E3ED6">
        <w:rPr>
          <w:rStyle w:val="FootnoteReference"/>
          <w:sz w:val="14"/>
          <w:szCs w:val="14"/>
        </w:rPr>
        <w:footnoteRef/>
      </w:r>
      <w:r w:rsidRPr="009E3ED6">
        <w:rPr>
          <w:sz w:val="14"/>
          <w:szCs w:val="14"/>
        </w:rPr>
        <w:t xml:space="preserve"> </w:t>
      </w:r>
      <w:r>
        <w:rPr>
          <w:rFonts w:eastAsia="Calibri"/>
          <w:sz w:val="14"/>
          <w:szCs w:val="14"/>
        </w:rPr>
        <w:t>E</w:t>
      </w:r>
      <w:r w:rsidRPr="009E3ED6">
        <w:rPr>
          <w:rFonts w:eastAsia="Calibri"/>
          <w:sz w:val="14"/>
          <w:szCs w:val="14"/>
        </w:rPr>
        <w:t>vacuation procedures, stockpiles, search and rescue, communication protocols and recovery preparedness plans</w:t>
      </w:r>
    </w:p>
  </w:footnote>
  <w:footnote w:id="61">
    <w:p w:rsidR="00A30AFE" w:rsidRPr="009E3ED6" w:rsidRDefault="00A30AFE">
      <w:pPr>
        <w:pStyle w:val="FootnoteText"/>
        <w:rPr>
          <w:rFonts w:ascii="Times New Roman" w:hAnsi="Times New Roman"/>
          <w:sz w:val="14"/>
        </w:rPr>
      </w:pPr>
      <w:r w:rsidRPr="009E3ED6">
        <w:rPr>
          <w:rStyle w:val="FootnoteReference"/>
          <w:rFonts w:ascii="Times New Roman" w:hAnsi="Times New Roman"/>
          <w:sz w:val="14"/>
        </w:rPr>
        <w:footnoteRef/>
      </w:r>
      <w:r w:rsidRPr="009E3ED6">
        <w:rPr>
          <w:rFonts w:ascii="Times New Roman" w:hAnsi="Times New Roman"/>
          <w:sz w:val="14"/>
        </w:rPr>
        <w:t xml:space="preserve"> </w:t>
      </w:r>
      <w:r w:rsidRPr="009E3ED6">
        <w:rPr>
          <w:rFonts w:ascii="Times New Roman" w:eastAsia="Calibri" w:hAnsi="Times New Roman"/>
          <w:sz w:val="14"/>
        </w:rPr>
        <w:t>Water, agriculture, health and education.</w:t>
      </w:r>
    </w:p>
  </w:footnote>
  <w:footnote w:id="62">
    <w:p w:rsidR="00A30AFE" w:rsidRPr="007A75EC" w:rsidRDefault="00A30AFE" w:rsidP="00057C90">
      <w:pPr>
        <w:jc w:val="both"/>
        <w:rPr>
          <w:sz w:val="14"/>
          <w:szCs w:val="14"/>
        </w:rPr>
      </w:pPr>
      <w:r w:rsidRPr="009E3ED6">
        <w:rPr>
          <w:rStyle w:val="FootnoteReference"/>
          <w:sz w:val="14"/>
          <w:szCs w:val="14"/>
        </w:rPr>
        <w:footnoteRef/>
      </w:r>
      <w:r w:rsidRPr="009E3ED6">
        <w:rPr>
          <w:sz w:val="14"/>
          <w:szCs w:val="14"/>
        </w:rPr>
        <w:t xml:space="preserve"> </w:t>
      </w:r>
      <w:r w:rsidRPr="007A75EC">
        <w:rPr>
          <w:sz w:val="14"/>
          <w:szCs w:val="14"/>
        </w:rPr>
        <w:t xml:space="preserve">Data source: </w:t>
      </w:r>
      <w:r w:rsidRPr="009E3ED6">
        <w:rPr>
          <w:sz w:val="14"/>
          <w:szCs w:val="14"/>
        </w:rPr>
        <w:t xml:space="preserve">NDMA, </w:t>
      </w:r>
      <w:r>
        <w:rPr>
          <w:sz w:val="14"/>
          <w:szCs w:val="14"/>
        </w:rPr>
        <w:t>Department of Water Resources (DWR)</w:t>
      </w:r>
      <w:r w:rsidRPr="009E3ED6">
        <w:rPr>
          <w:sz w:val="14"/>
          <w:szCs w:val="14"/>
        </w:rPr>
        <w:t xml:space="preserve"> reports.</w:t>
      </w:r>
      <w:r w:rsidRPr="007A75EC">
        <w:rPr>
          <w:sz w:val="14"/>
          <w:szCs w:val="14"/>
        </w:rPr>
        <w:t xml:space="preserve"> Frequency: </w:t>
      </w:r>
      <w:r>
        <w:rPr>
          <w:sz w:val="14"/>
          <w:szCs w:val="14"/>
        </w:rPr>
        <w:t>a</w:t>
      </w:r>
      <w:r w:rsidRPr="009E3ED6">
        <w:rPr>
          <w:sz w:val="14"/>
          <w:szCs w:val="14"/>
        </w:rPr>
        <w:t>nnual</w:t>
      </w:r>
    </w:p>
  </w:footnote>
  <w:footnote w:id="63">
    <w:p w:rsidR="00A30AFE" w:rsidRPr="007A75EC" w:rsidRDefault="00A30AFE" w:rsidP="00F45604">
      <w:pPr>
        <w:jc w:val="both"/>
        <w:rPr>
          <w:sz w:val="14"/>
          <w:szCs w:val="14"/>
        </w:rPr>
      </w:pPr>
      <w:r w:rsidRPr="009E3ED6">
        <w:rPr>
          <w:rStyle w:val="FootnoteReference"/>
          <w:sz w:val="14"/>
          <w:szCs w:val="14"/>
        </w:rPr>
        <w:footnoteRef/>
      </w:r>
      <w:r w:rsidRPr="009E3ED6">
        <w:rPr>
          <w:sz w:val="14"/>
          <w:szCs w:val="14"/>
        </w:rPr>
        <w:t xml:space="preserve"> </w:t>
      </w:r>
      <w:r w:rsidRPr="007A75EC">
        <w:rPr>
          <w:sz w:val="14"/>
          <w:szCs w:val="14"/>
        </w:rPr>
        <w:t xml:space="preserve">Data source: </w:t>
      </w:r>
      <w:r w:rsidRPr="009E3ED6">
        <w:rPr>
          <w:sz w:val="14"/>
          <w:szCs w:val="14"/>
        </w:rPr>
        <w:t>NDMA, DWR reports.</w:t>
      </w:r>
      <w:r w:rsidRPr="007A75EC">
        <w:rPr>
          <w:sz w:val="14"/>
          <w:szCs w:val="14"/>
        </w:rPr>
        <w:t xml:space="preserve"> Frequency: </w:t>
      </w:r>
      <w:r>
        <w:rPr>
          <w:sz w:val="14"/>
          <w:szCs w:val="14"/>
        </w:rPr>
        <w:t>a</w:t>
      </w:r>
      <w:r w:rsidRPr="009E3ED6">
        <w:rPr>
          <w:sz w:val="14"/>
          <w:szCs w:val="14"/>
        </w:rPr>
        <w:t>nnual</w:t>
      </w:r>
    </w:p>
  </w:footnote>
  <w:footnote w:id="64">
    <w:p w:rsidR="00A30AFE" w:rsidRPr="007310D8" w:rsidRDefault="00A30AFE">
      <w:pPr>
        <w:pStyle w:val="FootnoteText"/>
        <w:rPr>
          <w:rFonts w:ascii="Times New Roman" w:hAnsi="Times New Roman"/>
          <w:sz w:val="14"/>
          <w:szCs w:val="14"/>
        </w:rPr>
      </w:pPr>
      <w:r w:rsidRPr="00402F67">
        <w:rPr>
          <w:rStyle w:val="FootnoteReference"/>
          <w:rFonts w:ascii="Times New Roman" w:hAnsi="Times New Roman"/>
          <w:sz w:val="14"/>
          <w:szCs w:val="14"/>
        </w:rPr>
        <w:footnoteRef/>
      </w:r>
      <w:r w:rsidRPr="00402F67">
        <w:rPr>
          <w:rFonts w:ascii="Times New Roman" w:hAnsi="Times New Roman"/>
          <w:sz w:val="14"/>
          <w:szCs w:val="14"/>
        </w:rPr>
        <w:t xml:space="preserve"> </w:t>
      </w:r>
      <w:r w:rsidRPr="007310D8">
        <w:rPr>
          <w:rFonts w:ascii="Times New Roman" w:hAnsi="Times New Roman"/>
          <w:sz w:val="14"/>
          <w:szCs w:val="14"/>
        </w:rPr>
        <w:t>Off-grid renewable energy</w:t>
      </w:r>
    </w:p>
  </w:footnote>
  <w:footnote w:id="65">
    <w:p w:rsidR="00A30AFE" w:rsidRPr="007310D8" w:rsidRDefault="00A30AFE" w:rsidP="00F24793">
      <w:pPr>
        <w:jc w:val="both"/>
        <w:rPr>
          <w:sz w:val="14"/>
          <w:szCs w:val="14"/>
        </w:rPr>
      </w:pPr>
      <w:r w:rsidRPr="007310D8">
        <w:rPr>
          <w:rStyle w:val="FootnoteReference"/>
          <w:sz w:val="14"/>
          <w:szCs w:val="14"/>
        </w:rPr>
        <w:footnoteRef/>
      </w:r>
      <w:r w:rsidRPr="007310D8">
        <w:rPr>
          <w:sz w:val="14"/>
          <w:szCs w:val="14"/>
        </w:rPr>
        <w:t xml:space="preserve"> </w:t>
      </w:r>
      <w:r w:rsidRPr="007A75EC">
        <w:rPr>
          <w:sz w:val="14"/>
          <w:szCs w:val="14"/>
        </w:rPr>
        <w:t xml:space="preserve">Data source: </w:t>
      </w:r>
      <w:r>
        <w:rPr>
          <w:sz w:val="14"/>
          <w:szCs w:val="14"/>
        </w:rPr>
        <w:t>s</w:t>
      </w:r>
      <w:r w:rsidRPr="007310D8">
        <w:rPr>
          <w:sz w:val="14"/>
          <w:szCs w:val="14"/>
        </w:rPr>
        <w:t xml:space="preserve">ectoral reports. </w:t>
      </w:r>
      <w:r w:rsidRPr="007A75EC">
        <w:rPr>
          <w:sz w:val="14"/>
          <w:szCs w:val="14"/>
        </w:rPr>
        <w:t>Frequency</w:t>
      </w:r>
      <w:r w:rsidRPr="007310D8">
        <w:rPr>
          <w:sz w:val="14"/>
          <w:szCs w:val="14"/>
        </w:rPr>
        <w:t>: annual</w:t>
      </w:r>
    </w:p>
  </w:footnote>
  <w:footnote w:id="66">
    <w:p w:rsidR="00A30AFE" w:rsidRPr="007A75EC" w:rsidRDefault="00A30AFE" w:rsidP="00F24793">
      <w:pPr>
        <w:jc w:val="both"/>
        <w:rPr>
          <w:sz w:val="14"/>
          <w:szCs w:val="14"/>
        </w:rPr>
      </w:pPr>
      <w:r w:rsidRPr="007310D8">
        <w:rPr>
          <w:rStyle w:val="FootnoteReference"/>
          <w:sz w:val="14"/>
          <w:szCs w:val="14"/>
        </w:rPr>
        <w:footnoteRef/>
      </w:r>
      <w:r w:rsidRPr="007310D8">
        <w:rPr>
          <w:sz w:val="14"/>
          <w:szCs w:val="14"/>
        </w:rPr>
        <w:t xml:space="preserve"> </w:t>
      </w:r>
      <w:r w:rsidRPr="00B9059B">
        <w:rPr>
          <w:sz w:val="14"/>
          <w:szCs w:val="14"/>
        </w:rPr>
        <w:t>Data</w:t>
      </w:r>
      <w:r w:rsidRPr="007A75EC">
        <w:rPr>
          <w:sz w:val="14"/>
          <w:szCs w:val="14"/>
        </w:rPr>
        <w:t xml:space="preserve"> source: National Water and Electricity Company</w:t>
      </w:r>
      <w:r w:rsidRPr="007310D8" w:rsidDel="007310D8">
        <w:rPr>
          <w:sz w:val="14"/>
          <w:szCs w:val="14"/>
        </w:rPr>
        <w:t xml:space="preserve"> </w:t>
      </w:r>
      <w:r w:rsidRPr="007310D8">
        <w:rPr>
          <w:sz w:val="14"/>
          <w:szCs w:val="14"/>
        </w:rPr>
        <w:t>and basic services reports</w:t>
      </w:r>
      <w:r w:rsidRPr="007A75EC">
        <w:rPr>
          <w:sz w:val="14"/>
          <w:szCs w:val="14"/>
        </w:rPr>
        <w:t xml:space="preserve">. Frequency: </w:t>
      </w:r>
      <w:r w:rsidRPr="007310D8">
        <w:rPr>
          <w:sz w:val="14"/>
          <w:szCs w:val="14"/>
        </w:rPr>
        <w:t>annual</w:t>
      </w:r>
    </w:p>
    <w:p w:rsidR="00A30AFE" w:rsidRPr="007310D8" w:rsidRDefault="00A30AF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A30AFE" w:rsidRPr="00407FEE" w:rsidTr="00FE2C04">
      <w:trPr>
        <w:trHeight w:hRule="exact" w:val="864"/>
      </w:trPr>
      <w:tc>
        <w:tcPr>
          <w:tcW w:w="4838" w:type="dxa"/>
          <w:shd w:val="clear" w:color="auto" w:fill="auto"/>
          <w:vAlign w:val="bottom"/>
        </w:tcPr>
        <w:p w:rsidR="00A30AFE" w:rsidRPr="00407FEE" w:rsidRDefault="00A30AFE" w:rsidP="00D34E17">
          <w:pPr>
            <w:tabs>
              <w:tab w:val="center" w:pos="4320"/>
              <w:tab w:val="right" w:pos="8640"/>
            </w:tabs>
            <w:spacing w:after="80"/>
            <w:rPr>
              <w:b/>
              <w:noProof/>
              <w:sz w:val="17"/>
            </w:rPr>
          </w:pPr>
          <w:r w:rsidRPr="00407FEE">
            <w:rPr>
              <w:b/>
              <w:noProof/>
              <w:sz w:val="17"/>
            </w:rPr>
            <w:t>D</w:t>
          </w:r>
          <w:r>
            <w:rPr>
              <w:b/>
              <w:noProof/>
              <w:sz w:val="17"/>
            </w:rPr>
            <w:t>P/DCP/GMB/3</w:t>
          </w:r>
        </w:p>
      </w:tc>
      <w:tc>
        <w:tcPr>
          <w:tcW w:w="5033" w:type="dxa"/>
          <w:shd w:val="clear" w:color="auto" w:fill="auto"/>
          <w:vAlign w:val="bottom"/>
        </w:tcPr>
        <w:p w:rsidR="00A30AFE" w:rsidRPr="00407FEE" w:rsidRDefault="00A30AFE" w:rsidP="00D34E17">
          <w:pPr>
            <w:tabs>
              <w:tab w:val="center" w:pos="4320"/>
              <w:tab w:val="right" w:pos="8640"/>
            </w:tabs>
            <w:jc w:val="right"/>
            <w:rPr>
              <w:noProof/>
              <w:sz w:val="17"/>
            </w:rPr>
          </w:pPr>
        </w:p>
      </w:tc>
    </w:tr>
  </w:tbl>
  <w:p w:rsidR="00A30AFE" w:rsidRPr="007F3034" w:rsidRDefault="00A30AFE">
    <w:pPr>
      <w:pStyle w:val="Header"/>
      <w:rPr>
        <w:b/>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A30AFE" w:rsidRPr="00D64B78" w:rsidTr="00FE2C04">
      <w:trPr>
        <w:trHeight w:hRule="exact" w:val="864"/>
      </w:trPr>
      <w:tc>
        <w:tcPr>
          <w:tcW w:w="4838" w:type="dxa"/>
          <w:tcBorders>
            <w:bottom w:val="single" w:sz="4" w:space="0" w:color="auto"/>
          </w:tcBorders>
          <w:vAlign w:val="bottom"/>
        </w:tcPr>
        <w:p w:rsidR="00A30AFE" w:rsidRPr="00D64B78" w:rsidRDefault="00A30AFE" w:rsidP="007F3034">
          <w:pPr>
            <w:widowControl w:val="0"/>
            <w:tabs>
              <w:tab w:val="center" w:pos="4320"/>
              <w:tab w:val="right" w:pos="8640"/>
            </w:tabs>
            <w:spacing w:after="80"/>
            <w:rPr>
              <w:b/>
              <w:sz w:val="17"/>
              <w:szCs w:val="17"/>
            </w:rPr>
          </w:pPr>
        </w:p>
      </w:tc>
      <w:tc>
        <w:tcPr>
          <w:tcW w:w="5047" w:type="dxa"/>
          <w:tcBorders>
            <w:bottom w:val="single" w:sz="4" w:space="0" w:color="auto"/>
          </w:tcBorders>
          <w:vAlign w:val="bottom"/>
        </w:tcPr>
        <w:p w:rsidR="00A30AFE" w:rsidRPr="00D64B78" w:rsidRDefault="00A30AFE" w:rsidP="007F3034">
          <w:pPr>
            <w:widowControl w:val="0"/>
            <w:tabs>
              <w:tab w:val="center" w:pos="4320"/>
              <w:tab w:val="right" w:pos="8640"/>
            </w:tabs>
            <w:jc w:val="right"/>
            <w:rPr>
              <w:sz w:val="17"/>
              <w:szCs w:val="17"/>
            </w:rPr>
          </w:pPr>
          <w:r w:rsidRPr="00D64B78">
            <w:rPr>
              <w:b/>
              <w:sz w:val="17"/>
              <w:szCs w:val="17"/>
            </w:rPr>
            <w:t>DP/DCP/</w:t>
          </w:r>
          <w:r>
            <w:rPr>
              <w:b/>
              <w:sz w:val="17"/>
              <w:szCs w:val="17"/>
            </w:rPr>
            <w:t>GMB</w:t>
          </w:r>
          <w:r w:rsidRPr="00D64B78">
            <w:rPr>
              <w:b/>
              <w:sz w:val="17"/>
              <w:szCs w:val="17"/>
            </w:rPr>
            <w:t>/</w:t>
          </w:r>
          <w:r>
            <w:rPr>
              <w:b/>
              <w:sz w:val="17"/>
              <w:szCs w:val="17"/>
            </w:rPr>
            <w:t>3</w:t>
          </w:r>
        </w:p>
      </w:tc>
    </w:tr>
  </w:tbl>
  <w:p w:rsidR="00A30AFE" w:rsidRPr="007F3034" w:rsidRDefault="00A30AFE">
    <w:pPr>
      <w:pStyle w:val="Header"/>
      <w:rPr>
        <w:b/>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A30AFE" w:rsidRPr="006A7669" w:rsidTr="006B38F4">
      <w:trPr>
        <w:trHeight w:hRule="exact" w:val="864"/>
      </w:trPr>
      <w:tc>
        <w:tcPr>
          <w:tcW w:w="1267" w:type="dxa"/>
          <w:tcBorders>
            <w:bottom w:val="single" w:sz="4" w:space="0" w:color="auto"/>
          </w:tcBorders>
          <w:shd w:val="clear" w:color="auto" w:fill="auto"/>
          <w:vAlign w:val="bottom"/>
        </w:tcPr>
        <w:p w:rsidR="00A30AFE" w:rsidRPr="006A7669" w:rsidRDefault="00A30AFE" w:rsidP="006B38F4">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rsidR="00A30AFE" w:rsidRPr="006A7669" w:rsidRDefault="00A30AFE" w:rsidP="006B38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6A7669">
            <w:rPr>
              <w:spacing w:val="2"/>
              <w:w w:val="96"/>
              <w:kern w:val="14"/>
              <w:sz w:val="28"/>
              <w:lang w:val="en-GB"/>
            </w:rPr>
            <w:t>United Nations</w:t>
          </w:r>
        </w:p>
      </w:tc>
      <w:tc>
        <w:tcPr>
          <w:tcW w:w="245" w:type="dxa"/>
          <w:tcBorders>
            <w:bottom w:val="single" w:sz="4" w:space="0" w:color="auto"/>
          </w:tcBorders>
          <w:shd w:val="clear" w:color="auto" w:fill="auto"/>
          <w:vAlign w:val="bottom"/>
        </w:tcPr>
        <w:p w:rsidR="00A30AFE" w:rsidRPr="006A7669" w:rsidRDefault="00A30AFE" w:rsidP="006B38F4">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rsidR="00A30AFE" w:rsidRPr="006A7669" w:rsidRDefault="00A30AFE" w:rsidP="00D34E17">
          <w:pPr>
            <w:suppressAutoHyphens/>
            <w:spacing w:after="80"/>
            <w:jc w:val="right"/>
            <w:rPr>
              <w:spacing w:val="4"/>
              <w:w w:val="103"/>
              <w:kern w:val="14"/>
              <w:position w:val="-4"/>
              <w:lang w:val="en-GB"/>
            </w:rPr>
          </w:pPr>
          <w:r w:rsidRPr="006A7669">
            <w:rPr>
              <w:spacing w:val="4"/>
              <w:w w:val="103"/>
              <w:kern w:val="14"/>
              <w:position w:val="-4"/>
              <w:sz w:val="40"/>
              <w:lang w:val="en-GB"/>
            </w:rPr>
            <w:t>DP</w:t>
          </w:r>
          <w:r w:rsidRPr="006A7669">
            <w:rPr>
              <w:spacing w:val="4"/>
              <w:w w:val="103"/>
              <w:kern w:val="14"/>
              <w:position w:val="-4"/>
              <w:lang w:val="en-GB"/>
            </w:rPr>
            <w:t>/DCP/</w:t>
          </w:r>
          <w:r>
            <w:rPr>
              <w:spacing w:val="4"/>
              <w:w w:val="103"/>
              <w:kern w:val="14"/>
              <w:position w:val="-4"/>
              <w:lang w:val="en-GB"/>
            </w:rPr>
            <w:t>GMB</w:t>
          </w:r>
          <w:r w:rsidRPr="006A7669">
            <w:rPr>
              <w:spacing w:val="4"/>
              <w:w w:val="103"/>
              <w:kern w:val="14"/>
              <w:position w:val="-4"/>
              <w:lang w:val="en-GB"/>
            </w:rPr>
            <w:t>/</w:t>
          </w:r>
          <w:r>
            <w:rPr>
              <w:spacing w:val="4"/>
              <w:w w:val="103"/>
              <w:kern w:val="14"/>
              <w:position w:val="-4"/>
              <w:lang w:val="en-GB"/>
            </w:rPr>
            <w:t>3</w:t>
          </w:r>
        </w:p>
      </w:tc>
    </w:tr>
    <w:tr w:rsidR="00A30AFE" w:rsidRPr="006A7669" w:rsidTr="006B38F4">
      <w:trPr>
        <w:gridAfter w:val="1"/>
        <w:wAfter w:w="28" w:type="dxa"/>
        <w:trHeight w:hRule="exact" w:val="2880"/>
      </w:trPr>
      <w:tc>
        <w:tcPr>
          <w:tcW w:w="1267" w:type="dxa"/>
          <w:tcBorders>
            <w:top w:val="single" w:sz="4" w:space="0" w:color="auto"/>
            <w:bottom w:val="single" w:sz="12" w:space="0" w:color="auto"/>
          </w:tcBorders>
          <w:shd w:val="clear" w:color="auto" w:fill="auto"/>
        </w:tcPr>
        <w:p w:rsidR="00A30AFE" w:rsidRPr="006A7669" w:rsidRDefault="00A30AFE" w:rsidP="006B38F4">
          <w:pPr>
            <w:tabs>
              <w:tab w:val="center" w:pos="4320"/>
              <w:tab w:val="right" w:pos="8640"/>
            </w:tabs>
            <w:spacing w:before="109"/>
            <w:rPr>
              <w:noProof/>
              <w:sz w:val="17"/>
            </w:rPr>
          </w:pPr>
          <w:r w:rsidRPr="006A7669">
            <w:rPr>
              <w:noProof/>
              <w:sz w:val="17"/>
            </w:rPr>
            <w:t xml:space="preserve"> </w:t>
          </w:r>
          <w:r w:rsidRPr="006A7669">
            <w:rPr>
              <w:noProof/>
              <w:sz w:val="17"/>
            </w:rPr>
            <w:drawing>
              <wp:inline distT="0" distB="0" distL="0" distR="0" wp14:anchorId="1619C432" wp14:editId="75885EF8">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rsidR="00A30AFE" w:rsidRPr="006A7669" w:rsidRDefault="00A30AFE" w:rsidP="006B38F4">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rsidR="00A30AFE" w:rsidRDefault="00A30AFE" w:rsidP="006B38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z w:val="34"/>
            </w:rPr>
          </w:pPr>
          <w:r w:rsidRPr="006A7669">
            <w:rPr>
              <w:b/>
              <w:sz w:val="34"/>
            </w:rPr>
            <w:t>Executive Board of the</w:t>
          </w:r>
          <w:r w:rsidRPr="006A7669">
            <w:rPr>
              <w:b/>
              <w:sz w:val="34"/>
            </w:rPr>
            <w:br/>
            <w:t>United Nations Development</w:t>
          </w:r>
          <w:r w:rsidRPr="006A7669">
            <w:rPr>
              <w:b/>
              <w:sz w:val="34"/>
            </w:rPr>
            <w:br/>
            <w:t xml:space="preserve">Programme, the United Nations Population Fund and the </w:t>
          </w:r>
        </w:p>
        <w:p w:rsidR="00A30AFE" w:rsidRDefault="00A30AFE" w:rsidP="006B38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z w:val="34"/>
            </w:rPr>
          </w:pPr>
          <w:r w:rsidRPr="006A7669">
            <w:rPr>
              <w:b/>
              <w:sz w:val="34"/>
            </w:rPr>
            <w:t xml:space="preserve">United Nations Office for </w:t>
          </w:r>
        </w:p>
        <w:p w:rsidR="00A30AFE" w:rsidRPr="006A7669" w:rsidRDefault="00A30AFE" w:rsidP="006B38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r w:rsidRPr="006A7669">
            <w:rPr>
              <w:b/>
              <w:sz w:val="34"/>
            </w:rPr>
            <w:t>Project Services</w:t>
          </w:r>
        </w:p>
      </w:tc>
      <w:tc>
        <w:tcPr>
          <w:tcW w:w="245" w:type="dxa"/>
          <w:tcBorders>
            <w:top w:val="single" w:sz="4" w:space="0" w:color="auto"/>
            <w:bottom w:val="single" w:sz="12" w:space="0" w:color="auto"/>
          </w:tcBorders>
          <w:shd w:val="clear" w:color="auto" w:fill="auto"/>
        </w:tcPr>
        <w:p w:rsidR="00A30AFE" w:rsidRPr="006A7669" w:rsidRDefault="00A30AFE" w:rsidP="006B38F4">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rsidR="00A30AFE" w:rsidRPr="006A7669" w:rsidRDefault="00A30AFE" w:rsidP="006B38F4">
          <w:pPr>
            <w:suppressAutoHyphens/>
            <w:spacing w:before="240" w:line="240" w:lineRule="exact"/>
            <w:rPr>
              <w:spacing w:val="4"/>
              <w:w w:val="103"/>
              <w:kern w:val="14"/>
              <w:lang w:val="en-GB"/>
            </w:rPr>
          </w:pPr>
          <w:r w:rsidRPr="006A7669">
            <w:rPr>
              <w:spacing w:val="4"/>
              <w:w w:val="103"/>
              <w:kern w:val="14"/>
              <w:lang w:val="en-GB"/>
            </w:rPr>
            <w:t>Distr.: General</w:t>
          </w:r>
        </w:p>
        <w:p w:rsidR="00A30AFE" w:rsidRPr="006A7669" w:rsidRDefault="00E702BA" w:rsidP="006B38F4">
          <w:pPr>
            <w:suppressAutoHyphens/>
            <w:spacing w:line="240" w:lineRule="exact"/>
            <w:rPr>
              <w:spacing w:val="4"/>
              <w:w w:val="103"/>
              <w:kern w:val="14"/>
              <w:lang w:val="en-GB"/>
            </w:rPr>
          </w:pPr>
          <w:r>
            <w:rPr>
              <w:spacing w:val="4"/>
              <w:w w:val="103"/>
              <w:kern w:val="14"/>
              <w:lang w:val="en-GB"/>
            </w:rPr>
            <w:t>13</w:t>
          </w:r>
          <w:r w:rsidR="00A30AFE">
            <w:rPr>
              <w:spacing w:val="4"/>
              <w:w w:val="103"/>
              <w:kern w:val="14"/>
              <w:lang w:val="en-GB"/>
            </w:rPr>
            <w:t xml:space="preserve"> June 2016</w:t>
          </w:r>
        </w:p>
        <w:p w:rsidR="00A30AFE" w:rsidRPr="006A7669" w:rsidRDefault="00A30AFE" w:rsidP="006B38F4">
          <w:pPr>
            <w:suppressAutoHyphens/>
            <w:spacing w:line="240" w:lineRule="exact"/>
            <w:rPr>
              <w:spacing w:val="4"/>
              <w:w w:val="103"/>
              <w:kern w:val="14"/>
              <w:lang w:val="en-GB"/>
            </w:rPr>
          </w:pPr>
        </w:p>
        <w:p w:rsidR="00A30AFE" w:rsidRPr="006A7669" w:rsidRDefault="00A30AFE" w:rsidP="006B38F4">
          <w:pPr>
            <w:suppressAutoHyphens/>
            <w:spacing w:line="240" w:lineRule="exact"/>
            <w:rPr>
              <w:spacing w:val="4"/>
              <w:w w:val="103"/>
              <w:kern w:val="14"/>
              <w:lang w:val="en-GB"/>
            </w:rPr>
          </w:pPr>
          <w:r w:rsidRPr="006A7669">
            <w:rPr>
              <w:spacing w:val="4"/>
              <w:w w:val="103"/>
              <w:kern w:val="14"/>
              <w:lang w:val="en-GB"/>
            </w:rPr>
            <w:t>Original: English</w:t>
          </w:r>
        </w:p>
      </w:tc>
    </w:tr>
  </w:tbl>
  <w:p w:rsidR="00A30AFE" w:rsidRPr="006B38F4" w:rsidRDefault="00A30AFE">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22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382"/>
    </w:tblGrid>
    <w:tr w:rsidR="00A30AFE" w:rsidRPr="00407FEE" w:rsidTr="00BF2B5D">
      <w:trPr>
        <w:trHeight w:hRule="exact" w:val="864"/>
      </w:trPr>
      <w:tc>
        <w:tcPr>
          <w:tcW w:w="4838" w:type="dxa"/>
          <w:shd w:val="clear" w:color="auto" w:fill="auto"/>
          <w:vAlign w:val="bottom"/>
        </w:tcPr>
        <w:p w:rsidR="00A30AFE" w:rsidRPr="00407FEE" w:rsidRDefault="00A30AFE" w:rsidP="00D34E17">
          <w:pPr>
            <w:tabs>
              <w:tab w:val="center" w:pos="4320"/>
              <w:tab w:val="right" w:pos="8640"/>
            </w:tabs>
            <w:spacing w:after="80"/>
            <w:rPr>
              <w:b/>
              <w:noProof/>
              <w:sz w:val="17"/>
            </w:rPr>
          </w:pPr>
          <w:r w:rsidRPr="00407FEE">
            <w:rPr>
              <w:b/>
              <w:noProof/>
              <w:sz w:val="17"/>
            </w:rPr>
            <w:t>D</w:t>
          </w:r>
          <w:r>
            <w:rPr>
              <w:b/>
              <w:noProof/>
              <w:sz w:val="17"/>
            </w:rPr>
            <w:t>P/DCP/GMB/3</w:t>
          </w:r>
        </w:p>
      </w:tc>
      <w:tc>
        <w:tcPr>
          <w:tcW w:w="8382" w:type="dxa"/>
          <w:shd w:val="clear" w:color="auto" w:fill="auto"/>
          <w:vAlign w:val="bottom"/>
        </w:tcPr>
        <w:p w:rsidR="00A30AFE" w:rsidRPr="00407FEE" w:rsidRDefault="00A30AFE" w:rsidP="00D34E17">
          <w:pPr>
            <w:tabs>
              <w:tab w:val="center" w:pos="4320"/>
              <w:tab w:val="right" w:pos="8640"/>
            </w:tabs>
            <w:jc w:val="right"/>
            <w:rPr>
              <w:noProof/>
              <w:sz w:val="17"/>
            </w:rPr>
          </w:pPr>
        </w:p>
      </w:tc>
    </w:tr>
  </w:tbl>
  <w:p w:rsidR="00A30AFE" w:rsidRPr="007F3034" w:rsidRDefault="00A30AFE">
    <w:pPr>
      <w:pStyle w:val="Header"/>
      <w:rPr>
        <w:b/>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A30AFE" w:rsidRPr="00D64B78" w:rsidTr="00A97732">
      <w:trPr>
        <w:trHeight w:hRule="exact" w:val="864"/>
      </w:trPr>
      <w:tc>
        <w:tcPr>
          <w:tcW w:w="4838" w:type="dxa"/>
          <w:tcBorders>
            <w:bottom w:val="single" w:sz="4" w:space="0" w:color="auto"/>
          </w:tcBorders>
          <w:vAlign w:val="bottom"/>
        </w:tcPr>
        <w:p w:rsidR="00A30AFE" w:rsidRPr="00D64B78" w:rsidRDefault="00A30AFE" w:rsidP="007F3034">
          <w:pPr>
            <w:widowControl w:val="0"/>
            <w:tabs>
              <w:tab w:val="center" w:pos="4320"/>
              <w:tab w:val="right" w:pos="8640"/>
            </w:tabs>
            <w:spacing w:after="80"/>
            <w:rPr>
              <w:b/>
              <w:sz w:val="17"/>
              <w:szCs w:val="17"/>
            </w:rPr>
          </w:pPr>
        </w:p>
      </w:tc>
      <w:tc>
        <w:tcPr>
          <w:tcW w:w="8212" w:type="dxa"/>
          <w:tcBorders>
            <w:bottom w:val="single" w:sz="4" w:space="0" w:color="auto"/>
          </w:tcBorders>
          <w:vAlign w:val="bottom"/>
        </w:tcPr>
        <w:p w:rsidR="00A30AFE" w:rsidRPr="00D64B78" w:rsidRDefault="00A30AFE" w:rsidP="007F3034">
          <w:pPr>
            <w:widowControl w:val="0"/>
            <w:tabs>
              <w:tab w:val="center" w:pos="4320"/>
              <w:tab w:val="right" w:pos="8640"/>
            </w:tabs>
            <w:jc w:val="right"/>
            <w:rPr>
              <w:sz w:val="17"/>
              <w:szCs w:val="17"/>
            </w:rPr>
          </w:pPr>
          <w:r w:rsidRPr="00D64B78">
            <w:rPr>
              <w:b/>
              <w:sz w:val="17"/>
              <w:szCs w:val="17"/>
            </w:rPr>
            <w:t>DP/DCP/</w:t>
          </w:r>
          <w:r>
            <w:rPr>
              <w:b/>
              <w:sz w:val="17"/>
              <w:szCs w:val="17"/>
            </w:rPr>
            <w:t>GMB</w:t>
          </w:r>
          <w:r w:rsidRPr="00D64B78">
            <w:rPr>
              <w:b/>
              <w:sz w:val="17"/>
              <w:szCs w:val="17"/>
            </w:rPr>
            <w:t>/</w:t>
          </w:r>
          <w:r>
            <w:rPr>
              <w:b/>
              <w:sz w:val="17"/>
              <w:szCs w:val="17"/>
            </w:rPr>
            <w:t>3</w:t>
          </w:r>
        </w:p>
      </w:tc>
    </w:tr>
  </w:tbl>
  <w:p w:rsidR="00A30AFE" w:rsidRPr="007F3034" w:rsidRDefault="00A30AFE">
    <w:pPr>
      <w:pStyle w:val="Header"/>
      <w:rPr>
        <w:b/>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C94"/>
    <w:multiLevelType w:val="hybridMultilevel"/>
    <w:tmpl w:val="E048C926"/>
    <w:lvl w:ilvl="0" w:tplc="0409000F">
      <w:start w:val="1"/>
      <w:numFmt w:val="decimal"/>
      <w:lvlText w:val="%1."/>
      <w:lvlJc w:val="left"/>
      <w:pPr>
        <w:ind w:left="540" w:hanging="360"/>
      </w:pPr>
    </w:lvl>
    <w:lvl w:ilvl="1" w:tplc="040C0019" w:tentative="1">
      <w:start w:val="1"/>
      <w:numFmt w:val="lowerLetter"/>
      <w:lvlText w:val="%2."/>
      <w:lvlJc w:val="left"/>
      <w:pPr>
        <w:ind w:left="1904" w:hanging="360"/>
      </w:pPr>
    </w:lvl>
    <w:lvl w:ilvl="2" w:tplc="040C001B" w:tentative="1">
      <w:start w:val="1"/>
      <w:numFmt w:val="lowerRoman"/>
      <w:lvlText w:val="%3."/>
      <w:lvlJc w:val="right"/>
      <w:pPr>
        <w:ind w:left="2624" w:hanging="180"/>
      </w:pPr>
    </w:lvl>
    <w:lvl w:ilvl="3" w:tplc="040C000F" w:tentative="1">
      <w:start w:val="1"/>
      <w:numFmt w:val="decimal"/>
      <w:lvlText w:val="%4."/>
      <w:lvlJc w:val="left"/>
      <w:pPr>
        <w:ind w:left="3344" w:hanging="360"/>
      </w:pPr>
    </w:lvl>
    <w:lvl w:ilvl="4" w:tplc="040C0019" w:tentative="1">
      <w:start w:val="1"/>
      <w:numFmt w:val="lowerLetter"/>
      <w:lvlText w:val="%5."/>
      <w:lvlJc w:val="left"/>
      <w:pPr>
        <w:ind w:left="4064" w:hanging="360"/>
      </w:pPr>
    </w:lvl>
    <w:lvl w:ilvl="5" w:tplc="040C001B" w:tentative="1">
      <w:start w:val="1"/>
      <w:numFmt w:val="lowerRoman"/>
      <w:lvlText w:val="%6."/>
      <w:lvlJc w:val="right"/>
      <w:pPr>
        <w:ind w:left="4784" w:hanging="180"/>
      </w:pPr>
    </w:lvl>
    <w:lvl w:ilvl="6" w:tplc="040C000F" w:tentative="1">
      <w:start w:val="1"/>
      <w:numFmt w:val="decimal"/>
      <w:lvlText w:val="%7."/>
      <w:lvlJc w:val="left"/>
      <w:pPr>
        <w:ind w:left="5504" w:hanging="360"/>
      </w:pPr>
    </w:lvl>
    <w:lvl w:ilvl="7" w:tplc="040C0019" w:tentative="1">
      <w:start w:val="1"/>
      <w:numFmt w:val="lowerLetter"/>
      <w:lvlText w:val="%8."/>
      <w:lvlJc w:val="left"/>
      <w:pPr>
        <w:ind w:left="6224" w:hanging="360"/>
      </w:pPr>
    </w:lvl>
    <w:lvl w:ilvl="8" w:tplc="040C001B" w:tentative="1">
      <w:start w:val="1"/>
      <w:numFmt w:val="lowerRoman"/>
      <w:lvlText w:val="%9."/>
      <w:lvlJc w:val="right"/>
      <w:pPr>
        <w:ind w:left="6944" w:hanging="180"/>
      </w:pPr>
    </w:lvl>
  </w:abstractNum>
  <w:abstractNum w:abstractNumId="1" w15:restartNumberingAfterBreak="0">
    <w:nsid w:val="07F43993"/>
    <w:multiLevelType w:val="hybridMultilevel"/>
    <w:tmpl w:val="0FDCE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C123B"/>
    <w:multiLevelType w:val="hybridMultilevel"/>
    <w:tmpl w:val="641C19FE"/>
    <w:lvl w:ilvl="0" w:tplc="624A2DB2">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10F82927"/>
    <w:multiLevelType w:val="hybridMultilevel"/>
    <w:tmpl w:val="01E64FB2"/>
    <w:lvl w:ilvl="0" w:tplc="CFD240CA">
      <w:start w:val="1"/>
      <w:numFmt w:val="upp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4" w15:restartNumberingAfterBreak="0">
    <w:nsid w:val="13A1420B"/>
    <w:multiLevelType w:val="hybridMultilevel"/>
    <w:tmpl w:val="9F5C0820"/>
    <w:lvl w:ilvl="0" w:tplc="0409000F">
      <w:start w:val="1"/>
      <w:numFmt w:val="decimal"/>
      <w:lvlText w:val="%1."/>
      <w:lvlJc w:val="left"/>
      <w:pPr>
        <w:ind w:left="1627" w:hanging="360"/>
      </w:pPr>
      <w:rPr>
        <w:rFonts w:hint="default"/>
        <w:b w:val="0"/>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22FDF"/>
    <w:multiLevelType w:val="hybridMultilevel"/>
    <w:tmpl w:val="E4F090A6"/>
    <w:lvl w:ilvl="0" w:tplc="201082A2">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F0987"/>
    <w:multiLevelType w:val="hybridMultilevel"/>
    <w:tmpl w:val="C2305A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411ED"/>
    <w:multiLevelType w:val="hybridMultilevel"/>
    <w:tmpl w:val="D5B4EE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6118D"/>
    <w:multiLevelType w:val="hybridMultilevel"/>
    <w:tmpl w:val="B288AF0E"/>
    <w:lvl w:ilvl="0" w:tplc="0409000F">
      <w:start w:val="1"/>
      <w:numFmt w:val="decimal"/>
      <w:lvlText w:val="%1."/>
      <w:lvlJc w:val="left"/>
      <w:pPr>
        <w:ind w:left="1627"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8373F"/>
    <w:multiLevelType w:val="hybridMultilevel"/>
    <w:tmpl w:val="6510759E"/>
    <w:lvl w:ilvl="0" w:tplc="F200A39E">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2BEE0F1F"/>
    <w:multiLevelType w:val="hybridMultilevel"/>
    <w:tmpl w:val="827C74B4"/>
    <w:lvl w:ilvl="0" w:tplc="04090017">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1" w15:restartNumberingAfterBreak="0">
    <w:nsid w:val="3038180C"/>
    <w:multiLevelType w:val="hybridMultilevel"/>
    <w:tmpl w:val="2BF6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832F4"/>
    <w:multiLevelType w:val="hybridMultilevel"/>
    <w:tmpl w:val="E048C926"/>
    <w:lvl w:ilvl="0" w:tplc="0409000F">
      <w:start w:val="1"/>
      <w:numFmt w:val="decimal"/>
      <w:lvlText w:val="%1."/>
      <w:lvlJc w:val="left"/>
      <w:pPr>
        <w:ind w:left="540" w:hanging="360"/>
      </w:pPr>
    </w:lvl>
    <w:lvl w:ilvl="1" w:tplc="040C0019" w:tentative="1">
      <w:start w:val="1"/>
      <w:numFmt w:val="lowerLetter"/>
      <w:lvlText w:val="%2."/>
      <w:lvlJc w:val="left"/>
      <w:pPr>
        <w:ind w:left="1904" w:hanging="360"/>
      </w:pPr>
    </w:lvl>
    <w:lvl w:ilvl="2" w:tplc="040C001B" w:tentative="1">
      <w:start w:val="1"/>
      <w:numFmt w:val="lowerRoman"/>
      <w:lvlText w:val="%3."/>
      <w:lvlJc w:val="right"/>
      <w:pPr>
        <w:ind w:left="2624" w:hanging="180"/>
      </w:pPr>
    </w:lvl>
    <w:lvl w:ilvl="3" w:tplc="040C000F" w:tentative="1">
      <w:start w:val="1"/>
      <w:numFmt w:val="decimal"/>
      <w:lvlText w:val="%4."/>
      <w:lvlJc w:val="left"/>
      <w:pPr>
        <w:ind w:left="3344" w:hanging="360"/>
      </w:pPr>
    </w:lvl>
    <w:lvl w:ilvl="4" w:tplc="040C0019" w:tentative="1">
      <w:start w:val="1"/>
      <w:numFmt w:val="lowerLetter"/>
      <w:lvlText w:val="%5."/>
      <w:lvlJc w:val="left"/>
      <w:pPr>
        <w:ind w:left="4064" w:hanging="360"/>
      </w:pPr>
    </w:lvl>
    <w:lvl w:ilvl="5" w:tplc="040C001B" w:tentative="1">
      <w:start w:val="1"/>
      <w:numFmt w:val="lowerRoman"/>
      <w:lvlText w:val="%6."/>
      <w:lvlJc w:val="right"/>
      <w:pPr>
        <w:ind w:left="4784" w:hanging="180"/>
      </w:pPr>
    </w:lvl>
    <w:lvl w:ilvl="6" w:tplc="040C000F" w:tentative="1">
      <w:start w:val="1"/>
      <w:numFmt w:val="decimal"/>
      <w:lvlText w:val="%7."/>
      <w:lvlJc w:val="left"/>
      <w:pPr>
        <w:ind w:left="5504" w:hanging="360"/>
      </w:pPr>
    </w:lvl>
    <w:lvl w:ilvl="7" w:tplc="040C0019" w:tentative="1">
      <w:start w:val="1"/>
      <w:numFmt w:val="lowerLetter"/>
      <w:lvlText w:val="%8."/>
      <w:lvlJc w:val="left"/>
      <w:pPr>
        <w:ind w:left="6224" w:hanging="360"/>
      </w:pPr>
    </w:lvl>
    <w:lvl w:ilvl="8" w:tplc="040C001B" w:tentative="1">
      <w:start w:val="1"/>
      <w:numFmt w:val="lowerRoman"/>
      <w:lvlText w:val="%9."/>
      <w:lvlJc w:val="right"/>
      <w:pPr>
        <w:ind w:left="6944" w:hanging="180"/>
      </w:pPr>
    </w:lvl>
  </w:abstractNum>
  <w:abstractNum w:abstractNumId="13" w15:restartNumberingAfterBreak="0">
    <w:nsid w:val="3B736799"/>
    <w:multiLevelType w:val="hybridMultilevel"/>
    <w:tmpl w:val="4C82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5" w15:restartNumberingAfterBreak="0">
    <w:nsid w:val="41215A1F"/>
    <w:multiLevelType w:val="hybridMultilevel"/>
    <w:tmpl w:val="AD84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054A6"/>
    <w:multiLevelType w:val="hybridMultilevel"/>
    <w:tmpl w:val="0F1CFC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6D800DF"/>
    <w:multiLevelType w:val="hybridMultilevel"/>
    <w:tmpl w:val="4E686388"/>
    <w:lvl w:ilvl="0" w:tplc="0C847454">
      <w:start w:val="13"/>
      <w:numFmt w:val="bullet"/>
      <w:lvlText w:val="-"/>
      <w:lvlJc w:val="left"/>
      <w:pPr>
        <w:ind w:left="405" w:hanging="360"/>
      </w:pPr>
      <w:rPr>
        <w:rFonts w:ascii="Times New Roman" w:eastAsia="Times New Roman" w:hAnsi="Times New Roman" w:cs="Times New Roman"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19" w15:restartNumberingAfterBreak="0">
    <w:nsid w:val="48D67F86"/>
    <w:multiLevelType w:val="hybridMultilevel"/>
    <w:tmpl w:val="0F2C6C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D8445B"/>
    <w:multiLevelType w:val="hybridMultilevel"/>
    <w:tmpl w:val="1E0631E6"/>
    <w:lvl w:ilvl="0" w:tplc="0409000F">
      <w:start w:val="1"/>
      <w:numFmt w:val="decimal"/>
      <w:lvlText w:val="%1."/>
      <w:lvlJc w:val="left"/>
      <w:pPr>
        <w:ind w:left="91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B755B"/>
    <w:multiLevelType w:val="multilevel"/>
    <w:tmpl w:val="00063A0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555" w:hanging="55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7697D93"/>
    <w:multiLevelType w:val="hybridMultilevel"/>
    <w:tmpl w:val="65C6B6B2"/>
    <w:lvl w:ilvl="0" w:tplc="492EB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A92CC9"/>
    <w:multiLevelType w:val="hybridMultilevel"/>
    <w:tmpl w:val="A9967C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6B51618D"/>
    <w:multiLevelType w:val="hybridMultilevel"/>
    <w:tmpl w:val="563EE0D2"/>
    <w:lvl w:ilvl="0" w:tplc="C25A7942">
      <w:start w:val="9"/>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6C8162C5"/>
    <w:multiLevelType w:val="hybridMultilevel"/>
    <w:tmpl w:val="C874C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D4CEE"/>
    <w:multiLevelType w:val="multilevel"/>
    <w:tmpl w:val="1E1C6E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604B1C"/>
    <w:multiLevelType w:val="hybridMultilevel"/>
    <w:tmpl w:val="FC3C2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9"/>
  </w:num>
  <w:num w:numId="4">
    <w:abstractNumId w:val="16"/>
  </w:num>
  <w:num w:numId="5">
    <w:abstractNumId w:val="1"/>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
  </w:num>
  <w:num w:numId="10">
    <w:abstractNumId w:val="15"/>
  </w:num>
  <w:num w:numId="11">
    <w:abstractNumId w:val="7"/>
  </w:num>
  <w:num w:numId="12">
    <w:abstractNumId w:val="11"/>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0"/>
  </w:num>
  <w:num w:numId="26">
    <w:abstractNumId w:val="12"/>
  </w:num>
  <w:num w:numId="27">
    <w:abstractNumId w:val="27"/>
  </w:num>
  <w:num w:numId="28">
    <w:abstractNumId w:val="5"/>
  </w:num>
  <w:num w:numId="29">
    <w:abstractNumId w:val="18"/>
  </w:num>
  <w:num w:numId="30">
    <w:abstractNumId w:val="30"/>
  </w:num>
  <w:num w:numId="31">
    <w:abstractNumId w:val="26"/>
  </w:num>
  <w:num w:numId="32">
    <w:abstractNumId w:val="10"/>
  </w:num>
  <w:num w:numId="33">
    <w:abstractNumId w:val="9"/>
  </w:num>
  <w:num w:numId="34">
    <w:abstractNumId w:val="24"/>
  </w:num>
  <w:num w:numId="35">
    <w:abstractNumId w:val="3"/>
  </w:num>
  <w:num w:numId="36">
    <w:abstractNumId w:val="2"/>
  </w:num>
  <w:num w:numId="37">
    <w:abstractNumId w:val="23"/>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1A3C"/>
    <w:rsid w:val="00001F61"/>
    <w:rsid w:val="000027D2"/>
    <w:rsid w:val="00005E26"/>
    <w:rsid w:val="000069DB"/>
    <w:rsid w:val="00007479"/>
    <w:rsid w:val="00010BB9"/>
    <w:rsid w:val="000120F2"/>
    <w:rsid w:val="00012208"/>
    <w:rsid w:val="00012A56"/>
    <w:rsid w:val="00013769"/>
    <w:rsid w:val="00013FCC"/>
    <w:rsid w:val="00014AFD"/>
    <w:rsid w:val="0001521B"/>
    <w:rsid w:val="00015FDE"/>
    <w:rsid w:val="00016217"/>
    <w:rsid w:val="00016861"/>
    <w:rsid w:val="000200CF"/>
    <w:rsid w:val="000205F1"/>
    <w:rsid w:val="00020922"/>
    <w:rsid w:val="00021C03"/>
    <w:rsid w:val="00022047"/>
    <w:rsid w:val="0002289D"/>
    <w:rsid w:val="00023D33"/>
    <w:rsid w:val="000254FF"/>
    <w:rsid w:val="00025DD1"/>
    <w:rsid w:val="00026ACE"/>
    <w:rsid w:val="000274B9"/>
    <w:rsid w:val="0002758B"/>
    <w:rsid w:val="000276A0"/>
    <w:rsid w:val="00030513"/>
    <w:rsid w:val="000330DB"/>
    <w:rsid w:val="00033E8E"/>
    <w:rsid w:val="000341F9"/>
    <w:rsid w:val="0003429F"/>
    <w:rsid w:val="0003562A"/>
    <w:rsid w:val="00036095"/>
    <w:rsid w:val="00036402"/>
    <w:rsid w:val="00036AF4"/>
    <w:rsid w:val="0004001D"/>
    <w:rsid w:val="000411C3"/>
    <w:rsid w:val="0004137A"/>
    <w:rsid w:val="00041C10"/>
    <w:rsid w:val="00043804"/>
    <w:rsid w:val="000441A1"/>
    <w:rsid w:val="00045E34"/>
    <w:rsid w:val="0004629A"/>
    <w:rsid w:val="00046534"/>
    <w:rsid w:val="000475B3"/>
    <w:rsid w:val="00050869"/>
    <w:rsid w:val="00051C80"/>
    <w:rsid w:val="0005269B"/>
    <w:rsid w:val="0005273C"/>
    <w:rsid w:val="0005366F"/>
    <w:rsid w:val="000557E9"/>
    <w:rsid w:val="0005580B"/>
    <w:rsid w:val="00055BA6"/>
    <w:rsid w:val="000561C1"/>
    <w:rsid w:val="00056204"/>
    <w:rsid w:val="000570D1"/>
    <w:rsid w:val="000571A9"/>
    <w:rsid w:val="00057C90"/>
    <w:rsid w:val="00060290"/>
    <w:rsid w:val="00062E6B"/>
    <w:rsid w:val="000635E9"/>
    <w:rsid w:val="00063E24"/>
    <w:rsid w:val="00066BE2"/>
    <w:rsid w:val="00066C20"/>
    <w:rsid w:val="00066E1E"/>
    <w:rsid w:val="00070051"/>
    <w:rsid w:val="00070227"/>
    <w:rsid w:val="00072229"/>
    <w:rsid w:val="00073114"/>
    <w:rsid w:val="00073CF1"/>
    <w:rsid w:val="000747AB"/>
    <w:rsid w:val="0007492D"/>
    <w:rsid w:val="00074BD0"/>
    <w:rsid w:val="00074D9A"/>
    <w:rsid w:val="00074DB9"/>
    <w:rsid w:val="000753C4"/>
    <w:rsid w:val="00075DF0"/>
    <w:rsid w:val="00075FDD"/>
    <w:rsid w:val="000762CA"/>
    <w:rsid w:val="0007704E"/>
    <w:rsid w:val="0008009C"/>
    <w:rsid w:val="000803A4"/>
    <w:rsid w:val="000806E3"/>
    <w:rsid w:val="0008339E"/>
    <w:rsid w:val="0008381E"/>
    <w:rsid w:val="000869FF"/>
    <w:rsid w:val="00090AD1"/>
    <w:rsid w:val="00090F4F"/>
    <w:rsid w:val="00091476"/>
    <w:rsid w:val="00091716"/>
    <w:rsid w:val="00092879"/>
    <w:rsid w:val="000940C6"/>
    <w:rsid w:val="0009413D"/>
    <w:rsid w:val="00094E87"/>
    <w:rsid w:val="00097FB2"/>
    <w:rsid w:val="000A049B"/>
    <w:rsid w:val="000A151D"/>
    <w:rsid w:val="000A24C5"/>
    <w:rsid w:val="000A2974"/>
    <w:rsid w:val="000A3CFD"/>
    <w:rsid w:val="000A3F7F"/>
    <w:rsid w:val="000A42A2"/>
    <w:rsid w:val="000A7D43"/>
    <w:rsid w:val="000B15A2"/>
    <w:rsid w:val="000B2CD4"/>
    <w:rsid w:val="000B3A13"/>
    <w:rsid w:val="000B4BB2"/>
    <w:rsid w:val="000C235B"/>
    <w:rsid w:val="000C4667"/>
    <w:rsid w:val="000C6833"/>
    <w:rsid w:val="000C76B0"/>
    <w:rsid w:val="000C7BBE"/>
    <w:rsid w:val="000D067D"/>
    <w:rsid w:val="000D11B0"/>
    <w:rsid w:val="000D1CF9"/>
    <w:rsid w:val="000D1E4B"/>
    <w:rsid w:val="000D2475"/>
    <w:rsid w:val="000D27A6"/>
    <w:rsid w:val="000D29EA"/>
    <w:rsid w:val="000D3FC1"/>
    <w:rsid w:val="000D442C"/>
    <w:rsid w:val="000D4DC4"/>
    <w:rsid w:val="000D5997"/>
    <w:rsid w:val="000E1733"/>
    <w:rsid w:val="000E2B80"/>
    <w:rsid w:val="000E3EBA"/>
    <w:rsid w:val="000E4F35"/>
    <w:rsid w:val="000E612D"/>
    <w:rsid w:val="000E7265"/>
    <w:rsid w:val="000E745A"/>
    <w:rsid w:val="000E7E17"/>
    <w:rsid w:val="000E7E9E"/>
    <w:rsid w:val="000E7F2C"/>
    <w:rsid w:val="000E7FA9"/>
    <w:rsid w:val="000F0044"/>
    <w:rsid w:val="000F17E4"/>
    <w:rsid w:val="000F27A1"/>
    <w:rsid w:val="000F298C"/>
    <w:rsid w:val="000F30F5"/>
    <w:rsid w:val="000F39D3"/>
    <w:rsid w:val="000F3A2D"/>
    <w:rsid w:val="000F4EC0"/>
    <w:rsid w:val="000F5ED5"/>
    <w:rsid w:val="000F703B"/>
    <w:rsid w:val="00102BAF"/>
    <w:rsid w:val="00102C70"/>
    <w:rsid w:val="00104B37"/>
    <w:rsid w:val="001056EE"/>
    <w:rsid w:val="00106EF8"/>
    <w:rsid w:val="0010741B"/>
    <w:rsid w:val="0010754B"/>
    <w:rsid w:val="001101A2"/>
    <w:rsid w:val="00110722"/>
    <w:rsid w:val="00111489"/>
    <w:rsid w:val="001116DA"/>
    <w:rsid w:val="00111797"/>
    <w:rsid w:val="00111B19"/>
    <w:rsid w:val="00111D56"/>
    <w:rsid w:val="001123E5"/>
    <w:rsid w:val="001129E9"/>
    <w:rsid w:val="00113770"/>
    <w:rsid w:val="001148EB"/>
    <w:rsid w:val="00114A64"/>
    <w:rsid w:val="00115361"/>
    <w:rsid w:val="00115A81"/>
    <w:rsid w:val="00115EB9"/>
    <w:rsid w:val="00115F59"/>
    <w:rsid w:val="00116C1A"/>
    <w:rsid w:val="00121166"/>
    <w:rsid w:val="00121E99"/>
    <w:rsid w:val="00121F3E"/>
    <w:rsid w:val="00121F7C"/>
    <w:rsid w:val="0012229E"/>
    <w:rsid w:val="00122770"/>
    <w:rsid w:val="00122A15"/>
    <w:rsid w:val="00123849"/>
    <w:rsid w:val="0012394C"/>
    <w:rsid w:val="00123A5E"/>
    <w:rsid w:val="00125010"/>
    <w:rsid w:val="00125266"/>
    <w:rsid w:val="00125B82"/>
    <w:rsid w:val="001278EA"/>
    <w:rsid w:val="001305E6"/>
    <w:rsid w:val="00130DB9"/>
    <w:rsid w:val="0013121B"/>
    <w:rsid w:val="00131246"/>
    <w:rsid w:val="0013239A"/>
    <w:rsid w:val="00132F6D"/>
    <w:rsid w:val="0013761A"/>
    <w:rsid w:val="001404CD"/>
    <w:rsid w:val="0014109E"/>
    <w:rsid w:val="00141D82"/>
    <w:rsid w:val="001425A4"/>
    <w:rsid w:val="0014423A"/>
    <w:rsid w:val="00146094"/>
    <w:rsid w:val="00147042"/>
    <w:rsid w:val="001471A7"/>
    <w:rsid w:val="001506F6"/>
    <w:rsid w:val="001523E7"/>
    <w:rsid w:val="001528E8"/>
    <w:rsid w:val="00152CDE"/>
    <w:rsid w:val="00154032"/>
    <w:rsid w:val="001547D3"/>
    <w:rsid w:val="001559BD"/>
    <w:rsid w:val="00155FE8"/>
    <w:rsid w:val="001569BA"/>
    <w:rsid w:val="00157F79"/>
    <w:rsid w:val="00162439"/>
    <w:rsid w:val="0016255C"/>
    <w:rsid w:val="00163DC3"/>
    <w:rsid w:val="00163E84"/>
    <w:rsid w:val="00165A1F"/>
    <w:rsid w:val="001668AA"/>
    <w:rsid w:val="001675B1"/>
    <w:rsid w:val="0016789D"/>
    <w:rsid w:val="001679A7"/>
    <w:rsid w:val="00167C87"/>
    <w:rsid w:val="0017015E"/>
    <w:rsid w:val="00170777"/>
    <w:rsid w:val="00170D16"/>
    <w:rsid w:val="00170EC9"/>
    <w:rsid w:val="00171821"/>
    <w:rsid w:val="00172EE3"/>
    <w:rsid w:val="00173480"/>
    <w:rsid w:val="00174C3A"/>
    <w:rsid w:val="00174E24"/>
    <w:rsid w:val="00176071"/>
    <w:rsid w:val="00177E7E"/>
    <w:rsid w:val="00180959"/>
    <w:rsid w:val="00181491"/>
    <w:rsid w:val="00181A4D"/>
    <w:rsid w:val="0018356F"/>
    <w:rsid w:val="00183F5E"/>
    <w:rsid w:val="00184BF1"/>
    <w:rsid w:val="001856EB"/>
    <w:rsid w:val="00186048"/>
    <w:rsid w:val="001876C5"/>
    <w:rsid w:val="00187D0C"/>
    <w:rsid w:val="00187D68"/>
    <w:rsid w:val="00190155"/>
    <w:rsid w:val="001906B5"/>
    <w:rsid w:val="00193834"/>
    <w:rsid w:val="00194163"/>
    <w:rsid w:val="00194C64"/>
    <w:rsid w:val="00194FEB"/>
    <w:rsid w:val="00196C4D"/>
    <w:rsid w:val="00196EF2"/>
    <w:rsid w:val="001970A4"/>
    <w:rsid w:val="001971B0"/>
    <w:rsid w:val="00197AD1"/>
    <w:rsid w:val="001A537D"/>
    <w:rsid w:val="001A563F"/>
    <w:rsid w:val="001B0020"/>
    <w:rsid w:val="001B3F87"/>
    <w:rsid w:val="001B4026"/>
    <w:rsid w:val="001B4111"/>
    <w:rsid w:val="001B494A"/>
    <w:rsid w:val="001B598C"/>
    <w:rsid w:val="001B5DAA"/>
    <w:rsid w:val="001B71E9"/>
    <w:rsid w:val="001B734F"/>
    <w:rsid w:val="001B76A6"/>
    <w:rsid w:val="001C07F8"/>
    <w:rsid w:val="001C1BCF"/>
    <w:rsid w:val="001C25D9"/>
    <w:rsid w:val="001C2F59"/>
    <w:rsid w:val="001C3FD8"/>
    <w:rsid w:val="001C3FE2"/>
    <w:rsid w:val="001C628E"/>
    <w:rsid w:val="001C695D"/>
    <w:rsid w:val="001C6AC3"/>
    <w:rsid w:val="001C6C08"/>
    <w:rsid w:val="001C73E0"/>
    <w:rsid w:val="001C783C"/>
    <w:rsid w:val="001D1378"/>
    <w:rsid w:val="001D1C48"/>
    <w:rsid w:val="001D1CA9"/>
    <w:rsid w:val="001D2056"/>
    <w:rsid w:val="001D278A"/>
    <w:rsid w:val="001D3474"/>
    <w:rsid w:val="001D3D4B"/>
    <w:rsid w:val="001D42D1"/>
    <w:rsid w:val="001D553F"/>
    <w:rsid w:val="001D64E5"/>
    <w:rsid w:val="001D6587"/>
    <w:rsid w:val="001D6CD0"/>
    <w:rsid w:val="001D6EB8"/>
    <w:rsid w:val="001E05EC"/>
    <w:rsid w:val="001E0609"/>
    <w:rsid w:val="001E28D6"/>
    <w:rsid w:val="001E2BA0"/>
    <w:rsid w:val="001E2DCF"/>
    <w:rsid w:val="001E4809"/>
    <w:rsid w:val="001E4B2D"/>
    <w:rsid w:val="001E4BEB"/>
    <w:rsid w:val="001E4F4F"/>
    <w:rsid w:val="001E5215"/>
    <w:rsid w:val="001E5408"/>
    <w:rsid w:val="001E5B08"/>
    <w:rsid w:val="001E7A2B"/>
    <w:rsid w:val="001F27F4"/>
    <w:rsid w:val="001F2ABB"/>
    <w:rsid w:val="001F3DC0"/>
    <w:rsid w:val="001F4B1B"/>
    <w:rsid w:val="001F4C5A"/>
    <w:rsid w:val="001F4EA9"/>
    <w:rsid w:val="001F4F73"/>
    <w:rsid w:val="001F6425"/>
    <w:rsid w:val="001F6772"/>
    <w:rsid w:val="001F7421"/>
    <w:rsid w:val="00200195"/>
    <w:rsid w:val="002002DD"/>
    <w:rsid w:val="00200B5F"/>
    <w:rsid w:val="002012BB"/>
    <w:rsid w:val="00201428"/>
    <w:rsid w:val="00201EEF"/>
    <w:rsid w:val="00202480"/>
    <w:rsid w:val="0020273C"/>
    <w:rsid w:val="002047C8"/>
    <w:rsid w:val="00204C28"/>
    <w:rsid w:val="002052B3"/>
    <w:rsid w:val="002058F9"/>
    <w:rsid w:val="002069BD"/>
    <w:rsid w:val="00212B1F"/>
    <w:rsid w:val="00213C87"/>
    <w:rsid w:val="00213D7C"/>
    <w:rsid w:val="00213FDF"/>
    <w:rsid w:val="00214513"/>
    <w:rsid w:val="002155B7"/>
    <w:rsid w:val="00216A9D"/>
    <w:rsid w:val="00216C74"/>
    <w:rsid w:val="00216D0A"/>
    <w:rsid w:val="0021766A"/>
    <w:rsid w:val="002179BD"/>
    <w:rsid w:val="0022205A"/>
    <w:rsid w:val="002225D3"/>
    <w:rsid w:val="00222A35"/>
    <w:rsid w:val="0022301D"/>
    <w:rsid w:val="00224690"/>
    <w:rsid w:val="00224B2C"/>
    <w:rsid w:val="002256FA"/>
    <w:rsid w:val="00225F14"/>
    <w:rsid w:val="00225FE8"/>
    <w:rsid w:val="00226449"/>
    <w:rsid w:val="00227092"/>
    <w:rsid w:val="00227953"/>
    <w:rsid w:val="00227E55"/>
    <w:rsid w:val="00232AA0"/>
    <w:rsid w:val="00234CDF"/>
    <w:rsid w:val="00236501"/>
    <w:rsid w:val="00236885"/>
    <w:rsid w:val="00236B91"/>
    <w:rsid w:val="002403F8"/>
    <w:rsid w:val="002408ED"/>
    <w:rsid w:val="00240B9B"/>
    <w:rsid w:val="00241F5A"/>
    <w:rsid w:val="0024206B"/>
    <w:rsid w:val="002424C0"/>
    <w:rsid w:val="00242746"/>
    <w:rsid w:val="00242CAA"/>
    <w:rsid w:val="00245D74"/>
    <w:rsid w:val="00246D03"/>
    <w:rsid w:val="00246DDF"/>
    <w:rsid w:val="002507FB"/>
    <w:rsid w:val="00251421"/>
    <w:rsid w:val="00251B97"/>
    <w:rsid w:val="00255CEF"/>
    <w:rsid w:val="002573CC"/>
    <w:rsid w:val="00257731"/>
    <w:rsid w:val="00257A25"/>
    <w:rsid w:val="00260914"/>
    <w:rsid w:val="00260FAA"/>
    <w:rsid w:val="0026176F"/>
    <w:rsid w:val="00262338"/>
    <w:rsid w:val="00263938"/>
    <w:rsid w:val="002646D7"/>
    <w:rsid w:val="00264B9D"/>
    <w:rsid w:val="00264F9E"/>
    <w:rsid w:val="002656B2"/>
    <w:rsid w:val="00265A4C"/>
    <w:rsid w:val="002661EE"/>
    <w:rsid w:val="002671D7"/>
    <w:rsid w:val="002676C0"/>
    <w:rsid w:val="002701B1"/>
    <w:rsid w:val="00271688"/>
    <w:rsid w:val="0027259C"/>
    <w:rsid w:val="00273543"/>
    <w:rsid w:val="00273C7C"/>
    <w:rsid w:val="00274C82"/>
    <w:rsid w:val="00274F2E"/>
    <w:rsid w:val="00275B1A"/>
    <w:rsid w:val="0027654D"/>
    <w:rsid w:val="00276CDE"/>
    <w:rsid w:val="002810DF"/>
    <w:rsid w:val="002812AB"/>
    <w:rsid w:val="002816D8"/>
    <w:rsid w:val="00282A8C"/>
    <w:rsid w:val="002833E7"/>
    <w:rsid w:val="00284C9A"/>
    <w:rsid w:val="002854EE"/>
    <w:rsid w:val="0028565C"/>
    <w:rsid w:val="00286323"/>
    <w:rsid w:val="00286837"/>
    <w:rsid w:val="00286DB4"/>
    <w:rsid w:val="002875DE"/>
    <w:rsid w:val="00287E07"/>
    <w:rsid w:val="0029028B"/>
    <w:rsid w:val="00290EB3"/>
    <w:rsid w:val="0029129A"/>
    <w:rsid w:val="002921ED"/>
    <w:rsid w:val="00292846"/>
    <w:rsid w:val="002929D2"/>
    <w:rsid w:val="00292A90"/>
    <w:rsid w:val="00294836"/>
    <w:rsid w:val="00295C56"/>
    <w:rsid w:val="002969E9"/>
    <w:rsid w:val="002971D6"/>
    <w:rsid w:val="002A0BAF"/>
    <w:rsid w:val="002A2F08"/>
    <w:rsid w:val="002A3641"/>
    <w:rsid w:val="002A3A5E"/>
    <w:rsid w:val="002A495F"/>
    <w:rsid w:val="002A6C8A"/>
    <w:rsid w:val="002A706F"/>
    <w:rsid w:val="002A70EA"/>
    <w:rsid w:val="002A7363"/>
    <w:rsid w:val="002A7F43"/>
    <w:rsid w:val="002B0B55"/>
    <w:rsid w:val="002B18FA"/>
    <w:rsid w:val="002B1A0B"/>
    <w:rsid w:val="002B1D41"/>
    <w:rsid w:val="002B365E"/>
    <w:rsid w:val="002B489A"/>
    <w:rsid w:val="002B5185"/>
    <w:rsid w:val="002B52F8"/>
    <w:rsid w:val="002B5C14"/>
    <w:rsid w:val="002B6341"/>
    <w:rsid w:val="002B6CCD"/>
    <w:rsid w:val="002B7679"/>
    <w:rsid w:val="002B79C2"/>
    <w:rsid w:val="002B7A23"/>
    <w:rsid w:val="002B7D3D"/>
    <w:rsid w:val="002C0526"/>
    <w:rsid w:val="002C27A8"/>
    <w:rsid w:val="002C333E"/>
    <w:rsid w:val="002C36C8"/>
    <w:rsid w:val="002C51A0"/>
    <w:rsid w:val="002C55BF"/>
    <w:rsid w:val="002C5A62"/>
    <w:rsid w:val="002C6070"/>
    <w:rsid w:val="002C6183"/>
    <w:rsid w:val="002C6190"/>
    <w:rsid w:val="002C61D8"/>
    <w:rsid w:val="002C64E4"/>
    <w:rsid w:val="002C7971"/>
    <w:rsid w:val="002C7F9D"/>
    <w:rsid w:val="002D0584"/>
    <w:rsid w:val="002D2E2A"/>
    <w:rsid w:val="002D2F99"/>
    <w:rsid w:val="002D4395"/>
    <w:rsid w:val="002D5295"/>
    <w:rsid w:val="002D52BF"/>
    <w:rsid w:val="002D54DB"/>
    <w:rsid w:val="002D68FA"/>
    <w:rsid w:val="002D7ECA"/>
    <w:rsid w:val="002E0141"/>
    <w:rsid w:val="002E0B5D"/>
    <w:rsid w:val="002E0B76"/>
    <w:rsid w:val="002E1495"/>
    <w:rsid w:val="002E2900"/>
    <w:rsid w:val="002E2E62"/>
    <w:rsid w:val="002E3C0D"/>
    <w:rsid w:val="002E43EC"/>
    <w:rsid w:val="002E52E0"/>
    <w:rsid w:val="002E5B3C"/>
    <w:rsid w:val="002E7856"/>
    <w:rsid w:val="002E7A79"/>
    <w:rsid w:val="002E7CB5"/>
    <w:rsid w:val="002F0401"/>
    <w:rsid w:val="002F1782"/>
    <w:rsid w:val="002F2C6E"/>
    <w:rsid w:val="002F3C88"/>
    <w:rsid w:val="002F4067"/>
    <w:rsid w:val="002F4094"/>
    <w:rsid w:val="002F44B7"/>
    <w:rsid w:val="002F47EB"/>
    <w:rsid w:val="002F4C53"/>
    <w:rsid w:val="002F54D0"/>
    <w:rsid w:val="002F5BB2"/>
    <w:rsid w:val="002F7339"/>
    <w:rsid w:val="002F7461"/>
    <w:rsid w:val="002F779E"/>
    <w:rsid w:val="002F7C38"/>
    <w:rsid w:val="00300CA8"/>
    <w:rsid w:val="003011A8"/>
    <w:rsid w:val="00301A93"/>
    <w:rsid w:val="003025E2"/>
    <w:rsid w:val="0030298F"/>
    <w:rsid w:val="0030538D"/>
    <w:rsid w:val="0030550B"/>
    <w:rsid w:val="00306A55"/>
    <w:rsid w:val="00306D24"/>
    <w:rsid w:val="00307712"/>
    <w:rsid w:val="0031404A"/>
    <w:rsid w:val="00314745"/>
    <w:rsid w:val="00314B7C"/>
    <w:rsid w:val="00314E49"/>
    <w:rsid w:val="0031517E"/>
    <w:rsid w:val="00315445"/>
    <w:rsid w:val="00317183"/>
    <w:rsid w:val="00320346"/>
    <w:rsid w:val="003204AE"/>
    <w:rsid w:val="003208EF"/>
    <w:rsid w:val="00321551"/>
    <w:rsid w:val="003239F5"/>
    <w:rsid w:val="00324846"/>
    <w:rsid w:val="00324ABD"/>
    <w:rsid w:val="00324D9B"/>
    <w:rsid w:val="0032623B"/>
    <w:rsid w:val="003272A6"/>
    <w:rsid w:val="003273CB"/>
    <w:rsid w:val="00327FCE"/>
    <w:rsid w:val="0033125E"/>
    <w:rsid w:val="00331879"/>
    <w:rsid w:val="00333062"/>
    <w:rsid w:val="0033364D"/>
    <w:rsid w:val="00335AC7"/>
    <w:rsid w:val="00336913"/>
    <w:rsid w:val="00336E49"/>
    <w:rsid w:val="0033718C"/>
    <w:rsid w:val="00337407"/>
    <w:rsid w:val="00340E02"/>
    <w:rsid w:val="003421FC"/>
    <w:rsid w:val="00343B5B"/>
    <w:rsid w:val="00343BD4"/>
    <w:rsid w:val="00343E6E"/>
    <w:rsid w:val="003450C8"/>
    <w:rsid w:val="003458FE"/>
    <w:rsid w:val="003477BE"/>
    <w:rsid w:val="0034782B"/>
    <w:rsid w:val="00351E5C"/>
    <w:rsid w:val="00352712"/>
    <w:rsid w:val="0035337C"/>
    <w:rsid w:val="00353C71"/>
    <w:rsid w:val="0035580F"/>
    <w:rsid w:val="00357CB4"/>
    <w:rsid w:val="003604EE"/>
    <w:rsid w:val="0036286B"/>
    <w:rsid w:val="00363371"/>
    <w:rsid w:val="0036421F"/>
    <w:rsid w:val="00364989"/>
    <w:rsid w:val="00365218"/>
    <w:rsid w:val="003664C0"/>
    <w:rsid w:val="00366769"/>
    <w:rsid w:val="003669D4"/>
    <w:rsid w:val="00367E04"/>
    <w:rsid w:val="003712AC"/>
    <w:rsid w:val="003728C3"/>
    <w:rsid w:val="00373352"/>
    <w:rsid w:val="00374ABA"/>
    <w:rsid w:val="00375CDA"/>
    <w:rsid w:val="003761F2"/>
    <w:rsid w:val="00376600"/>
    <w:rsid w:val="00376A05"/>
    <w:rsid w:val="003773DA"/>
    <w:rsid w:val="003774FE"/>
    <w:rsid w:val="003838E9"/>
    <w:rsid w:val="00383E09"/>
    <w:rsid w:val="003867F3"/>
    <w:rsid w:val="00386CE3"/>
    <w:rsid w:val="00387176"/>
    <w:rsid w:val="00387EA2"/>
    <w:rsid w:val="00390741"/>
    <w:rsid w:val="00390E30"/>
    <w:rsid w:val="003929AE"/>
    <w:rsid w:val="00392BA9"/>
    <w:rsid w:val="00393ABE"/>
    <w:rsid w:val="00393C4E"/>
    <w:rsid w:val="00393ECB"/>
    <w:rsid w:val="003941E6"/>
    <w:rsid w:val="0039458D"/>
    <w:rsid w:val="00394D61"/>
    <w:rsid w:val="0039500E"/>
    <w:rsid w:val="00395728"/>
    <w:rsid w:val="0039640B"/>
    <w:rsid w:val="00396669"/>
    <w:rsid w:val="00397645"/>
    <w:rsid w:val="003A1F5A"/>
    <w:rsid w:val="003A2ECE"/>
    <w:rsid w:val="003A3618"/>
    <w:rsid w:val="003A4252"/>
    <w:rsid w:val="003A4420"/>
    <w:rsid w:val="003A4CE6"/>
    <w:rsid w:val="003A4E52"/>
    <w:rsid w:val="003A539A"/>
    <w:rsid w:val="003A62A4"/>
    <w:rsid w:val="003A701A"/>
    <w:rsid w:val="003A7476"/>
    <w:rsid w:val="003A7CDB"/>
    <w:rsid w:val="003A7D86"/>
    <w:rsid w:val="003B03CC"/>
    <w:rsid w:val="003B0549"/>
    <w:rsid w:val="003B0AA1"/>
    <w:rsid w:val="003B243D"/>
    <w:rsid w:val="003B304F"/>
    <w:rsid w:val="003B3E5B"/>
    <w:rsid w:val="003B48F7"/>
    <w:rsid w:val="003B4B61"/>
    <w:rsid w:val="003B56F3"/>
    <w:rsid w:val="003B5D18"/>
    <w:rsid w:val="003B795D"/>
    <w:rsid w:val="003C00C1"/>
    <w:rsid w:val="003C0D35"/>
    <w:rsid w:val="003C1F00"/>
    <w:rsid w:val="003C1F9A"/>
    <w:rsid w:val="003C26A6"/>
    <w:rsid w:val="003C26C1"/>
    <w:rsid w:val="003C5116"/>
    <w:rsid w:val="003C5C11"/>
    <w:rsid w:val="003C67BC"/>
    <w:rsid w:val="003C6A5A"/>
    <w:rsid w:val="003C6AAD"/>
    <w:rsid w:val="003D06CE"/>
    <w:rsid w:val="003D0BAD"/>
    <w:rsid w:val="003D1D4D"/>
    <w:rsid w:val="003D3159"/>
    <w:rsid w:val="003D37DD"/>
    <w:rsid w:val="003D45DF"/>
    <w:rsid w:val="003D46E1"/>
    <w:rsid w:val="003D47C6"/>
    <w:rsid w:val="003D6603"/>
    <w:rsid w:val="003D7E38"/>
    <w:rsid w:val="003D7EAC"/>
    <w:rsid w:val="003E0989"/>
    <w:rsid w:val="003E0EB9"/>
    <w:rsid w:val="003E27C5"/>
    <w:rsid w:val="003E379A"/>
    <w:rsid w:val="003E37CB"/>
    <w:rsid w:val="003E3B9D"/>
    <w:rsid w:val="003E5264"/>
    <w:rsid w:val="003E52B0"/>
    <w:rsid w:val="003E64DC"/>
    <w:rsid w:val="003E685A"/>
    <w:rsid w:val="003E7A43"/>
    <w:rsid w:val="003F0B58"/>
    <w:rsid w:val="003F0D40"/>
    <w:rsid w:val="003F2236"/>
    <w:rsid w:val="003F27B7"/>
    <w:rsid w:val="003F3C85"/>
    <w:rsid w:val="003F4051"/>
    <w:rsid w:val="003F5812"/>
    <w:rsid w:val="003F6AA4"/>
    <w:rsid w:val="003F6AC9"/>
    <w:rsid w:val="003F6EA1"/>
    <w:rsid w:val="00400E4A"/>
    <w:rsid w:val="00402E9A"/>
    <w:rsid w:val="00402F67"/>
    <w:rsid w:val="00402F6F"/>
    <w:rsid w:val="00403FA8"/>
    <w:rsid w:val="00404040"/>
    <w:rsid w:val="00404213"/>
    <w:rsid w:val="004048AC"/>
    <w:rsid w:val="00404B8E"/>
    <w:rsid w:val="004051BA"/>
    <w:rsid w:val="004068C2"/>
    <w:rsid w:val="00406950"/>
    <w:rsid w:val="0041057D"/>
    <w:rsid w:val="00410AA4"/>
    <w:rsid w:val="0041132B"/>
    <w:rsid w:val="00413070"/>
    <w:rsid w:val="0041399E"/>
    <w:rsid w:val="004142F2"/>
    <w:rsid w:val="00414558"/>
    <w:rsid w:val="00415351"/>
    <w:rsid w:val="00415913"/>
    <w:rsid w:val="00415983"/>
    <w:rsid w:val="00415E7F"/>
    <w:rsid w:val="0041687B"/>
    <w:rsid w:val="00420288"/>
    <w:rsid w:val="00420430"/>
    <w:rsid w:val="00421C78"/>
    <w:rsid w:val="004224CE"/>
    <w:rsid w:val="00424A78"/>
    <w:rsid w:val="004254DB"/>
    <w:rsid w:val="004273BC"/>
    <w:rsid w:val="00427EEA"/>
    <w:rsid w:val="00430D5C"/>
    <w:rsid w:val="00431095"/>
    <w:rsid w:val="00431836"/>
    <w:rsid w:val="004321E6"/>
    <w:rsid w:val="00432488"/>
    <w:rsid w:val="0043278E"/>
    <w:rsid w:val="00432D2B"/>
    <w:rsid w:val="00433170"/>
    <w:rsid w:val="00433697"/>
    <w:rsid w:val="00434CC2"/>
    <w:rsid w:val="0043505B"/>
    <w:rsid w:val="004359F1"/>
    <w:rsid w:val="00435F79"/>
    <w:rsid w:val="004360AC"/>
    <w:rsid w:val="00436B83"/>
    <w:rsid w:val="00440774"/>
    <w:rsid w:val="00441061"/>
    <w:rsid w:val="004425D4"/>
    <w:rsid w:val="00442679"/>
    <w:rsid w:val="00442F68"/>
    <w:rsid w:val="00443428"/>
    <w:rsid w:val="00445E16"/>
    <w:rsid w:val="00447781"/>
    <w:rsid w:val="0045034F"/>
    <w:rsid w:val="00450C70"/>
    <w:rsid w:val="00450F24"/>
    <w:rsid w:val="00452DC3"/>
    <w:rsid w:val="00453344"/>
    <w:rsid w:val="0045495B"/>
    <w:rsid w:val="00454E76"/>
    <w:rsid w:val="00456A12"/>
    <w:rsid w:val="00457080"/>
    <w:rsid w:val="00460891"/>
    <w:rsid w:val="00463650"/>
    <w:rsid w:val="00463F16"/>
    <w:rsid w:val="00464FB2"/>
    <w:rsid w:val="00465D1F"/>
    <w:rsid w:val="004667DA"/>
    <w:rsid w:val="00466AC6"/>
    <w:rsid w:val="00466CDC"/>
    <w:rsid w:val="0046745E"/>
    <w:rsid w:val="00470383"/>
    <w:rsid w:val="00472E38"/>
    <w:rsid w:val="004736BE"/>
    <w:rsid w:val="00475346"/>
    <w:rsid w:val="00475554"/>
    <w:rsid w:val="0047556D"/>
    <w:rsid w:val="00475789"/>
    <w:rsid w:val="00476170"/>
    <w:rsid w:val="004820B0"/>
    <w:rsid w:val="00482E2F"/>
    <w:rsid w:val="00483E1B"/>
    <w:rsid w:val="004859B4"/>
    <w:rsid w:val="00486ACD"/>
    <w:rsid w:val="00491797"/>
    <w:rsid w:val="00491C3F"/>
    <w:rsid w:val="00492C65"/>
    <w:rsid w:val="004939BE"/>
    <w:rsid w:val="0049403F"/>
    <w:rsid w:val="00494323"/>
    <w:rsid w:val="00494349"/>
    <w:rsid w:val="00494485"/>
    <w:rsid w:val="00494C02"/>
    <w:rsid w:val="00495707"/>
    <w:rsid w:val="00495C4D"/>
    <w:rsid w:val="004966D3"/>
    <w:rsid w:val="004A028E"/>
    <w:rsid w:val="004A0F27"/>
    <w:rsid w:val="004A0F37"/>
    <w:rsid w:val="004A0F68"/>
    <w:rsid w:val="004A3608"/>
    <w:rsid w:val="004A4FBD"/>
    <w:rsid w:val="004A7810"/>
    <w:rsid w:val="004A7E93"/>
    <w:rsid w:val="004B3CFB"/>
    <w:rsid w:val="004B5D6B"/>
    <w:rsid w:val="004B685E"/>
    <w:rsid w:val="004B76F8"/>
    <w:rsid w:val="004C075D"/>
    <w:rsid w:val="004C0A29"/>
    <w:rsid w:val="004C1FA6"/>
    <w:rsid w:val="004C248E"/>
    <w:rsid w:val="004C3A74"/>
    <w:rsid w:val="004C4022"/>
    <w:rsid w:val="004C493C"/>
    <w:rsid w:val="004C56E3"/>
    <w:rsid w:val="004C5CFD"/>
    <w:rsid w:val="004C62AF"/>
    <w:rsid w:val="004D0786"/>
    <w:rsid w:val="004D12C0"/>
    <w:rsid w:val="004D18EA"/>
    <w:rsid w:val="004D2162"/>
    <w:rsid w:val="004D24DA"/>
    <w:rsid w:val="004D3713"/>
    <w:rsid w:val="004D6254"/>
    <w:rsid w:val="004D788E"/>
    <w:rsid w:val="004D7E99"/>
    <w:rsid w:val="004E00CE"/>
    <w:rsid w:val="004E1762"/>
    <w:rsid w:val="004E2BDB"/>
    <w:rsid w:val="004E54FB"/>
    <w:rsid w:val="004F009D"/>
    <w:rsid w:val="004F3495"/>
    <w:rsid w:val="004F40D7"/>
    <w:rsid w:val="004F4F0A"/>
    <w:rsid w:val="004F50AF"/>
    <w:rsid w:val="004F681D"/>
    <w:rsid w:val="004F6E14"/>
    <w:rsid w:val="00500E48"/>
    <w:rsid w:val="0050228C"/>
    <w:rsid w:val="00502857"/>
    <w:rsid w:val="00502ED8"/>
    <w:rsid w:val="00503EBF"/>
    <w:rsid w:val="005044A9"/>
    <w:rsid w:val="00504FF1"/>
    <w:rsid w:val="00505994"/>
    <w:rsid w:val="00505F24"/>
    <w:rsid w:val="00505F69"/>
    <w:rsid w:val="00505FD4"/>
    <w:rsid w:val="00506E25"/>
    <w:rsid w:val="00510D4E"/>
    <w:rsid w:val="0051132C"/>
    <w:rsid w:val="005122A2"/>
    <w:rsid w:val="00512822"/>
    <w:rsid w:val="005128E4"/>
    <w:rsid w:val="0051302E"/>
    <w:rsid w:val="00513483"/>
    <w:rsid w:val="00513C7F"/>
    <w:rsid w:val="00514A55"/>
    <w:rsid w:val="00514EF5"/>
    <w:rsid w:val="005163CD"/>
    <w:rsid w:val="00516DE0"/>
    <w:rsid w:val="00517768"/>
    <w:rsid w:val="0051782D"/>
    <w:rsid w:val="0052087E"/>
    <w:rsid w:val="00522402"/>
    <w:rsid w:val="00522443"/>
    <w:rsid w:val="005226AA"/>
    <w:rsid w:val="005228C1"/>
    <w:rsid w:val="0052315E"/>
    <w:rsid w:val="00523329"/>
    <w:rsid w:val="00524CDD"/>
    <w:rsid w:val="0052566D"/>
    <w:rsid w:val="00526120"/>
    <w:rsid w:val="005277ED"/>
    <w:rsid w:val="00530ED3"/>
    <w:rsid w:val="00532369"/>
    <w:rsid w:val="00532DAD"/>
    <w:rsid w:val="0053438E"/>
    <w:rsid w:val="005353DD"/>
    <w:rsid w:val="005355EE"/>
    <w:rsid w:val="00535B16"/>
    <w:rsid w:val="005366D0"/>
    <w:rsid w:val="0053685B"/>
    <w:rsid w:val="00537E27"/>
    <w:rsid w:val="00540772"/>
    <w:rsid w:val="00540A09"/>
    <w:rsid w:val="00540B4D"/>
    <w:rsid w:val="00540FFA"/>
    <w:rsid w:val="005427C8"/>
    <w:rsid w:val="00542930"/>
    <w:rsid w:val="005435B3"/>
    <w:rsid w:val="00543E4E"/>
    <w:rsid w:val="005453D4"/>
    <w:rsid w:val="005459B2"/>
    <w:rsid w:val="00547A28"/>
    <w:rsid w:val="0055052E"/>
    <w:rsid w:val="00550849"/>
    <w:rsid w:val="00551BBE"/>
    <w:rsid w:val="00551F75"/>
    <w:rsid w:val="00553B69"/>
    <w:rsid w:val="00554431"/>
    <w:rsid w:val="00554BF3"/>
    <w:rsid w:val="0055655F"/>
    <w:rsid w:val="0055657D"/>
    <w:rsid w:val="00560D0D"/>
    <w:rsid w:val="005612BA"/>
    <w:rsid w:val="0056289A"/>
    <w:rsid w:val="0056396D"/>
    <w:rsid w:val="0056509F"/>
    <w:rsid w:val="00565FB1"/>
    <w:rsid w:val="005662FB"/>
    <w:rsid w:val="005672B2"/>
    <w:rsid w:val="0056755E"/>
    <w:rsid w:val="00567781"/>
    <w:rsid w:val="00567ECC"/>
    <w:rsid w:val="005713B1"/>
    <w:rsid w:val="005716DC"/>
    <w:rsid w:val="00573256"/>
    <w:rsid w:val="005732D5"/>
    <w:rsid w:val="005757C7"/>
    <w:rsid w:val="005760E0"/>
    <w:rsid w:val="005762E6"/>
    <w:rsid w:val="005814B2"/>
    <w:rsid w:val="00583090"/>
    <w:rsid w:val="005835F4"/>
    <w:rsid w:val="00583EFE"/>
    <w:rsid w:val="005841A3"/>
    <w:rsid w:val="005848CE"/>
    <w:rsid w:val="005861E0"/>
    <w:rsid w:val="00586929"/>
    <w:rsid w:val="00590EAE"/>
    <w:rsid w:val="0059112A"/>
    <w:rsid w:val="00591A4B"/>
    <w:rsid w:val="0059227A"/>
    <w:rsid w:val="005923BB"/>
    <w:rsid w:val="00592FEC"/>
    <w:rsid w:val="00593216"/>
    <w:rsid w:val="005937A2"/>
    <w:rsid w:val="0059414C"/>
    <w:rsid w:val="00594405"/>
    <w:rsid w:val="00594BC3"/>
    <w:rsid w:val="00596CA7"/>
    <w:rsid w:val="00596DC8"/>
    <w:rsid w:val="00596E16"/>
    <w:rsid w:val="005A09E0"/>
    <w:rsid w:val="005A16A3"/>
    <w:rsid w:val="005A1C48"/>
    <w:rsid w:val="005A253A"/>
    <w:rsid w:val="005A3155"/>
    <w:rsid w:val="005B0DEB"/>
    <w:rsid w:val="005B1AD8"/>
    <w:rsid w:val="005B1C16"/>
    <w:rsid w:val="005B1E00"/>
    <w:rsid w:val="005B30A4"/>
    <w:rsid w:val="005B4421"/>
    <w:rsid w:val="005B53D6"/>
    <w:rsid w:val="005B5C71"/>
    <w:rsid w:val="005B7929"/>
    <w:rsid w:val="005C25D1"/>
    <w:rsid w:val="005C2DE4"/>
    <w:rsid w:val="005C32FB"/>
    <w:rsid w:val="005C35A9"/>
    <w:rsid w:val="005C464B"/>
    <w:rsid w:val="005C46E9"/>
    <w:rsid w:val="005C5381"/>
    <w:rsid w:val="005C619A"/>
    <w:rsid w:val="005C6525"/>
    <w:rsid w:val="005C6BF2"/>
    <w:rsid w:val="005C6C84"/>
    <w:rsid w:val="005C74A0"/>
    <w:rsid w:val="005C7FA2"/>
    <w:rsid w:val="005D052C"/>
    <w:rsid w:val="005D16FE"/>
    <w:rsid w:val="005D398A"/>
    <w:rsid w:val="005D4084"/>
    <w:rsid w:val="005D4777"/>
    <w:rsid w:val="005D4C2B"/>
    <w:rsid w:val="005D7D95"/>
    <w:rsid w:val="005D7FFA"/>
    <w:rsid w:val="005E17F9"/>
    <w:rsid w:val="005E1E7D"/>
    <w:rsid w:val="005E3ED5"/>
    <w:rsid w:val="005E3EEA"/>
    <w:rsid w:val="005E4B6F"/>
    <w:rsid w:val="005E51BC"/>
    <w:rsid w:val="005E63C9"/>
    <w:rsid w:val="005E6E64"/>
    <w:rsid w:val="005E71A7"/>
    <w:rsid w:val="005E7953"/>
    <w:rsid w:val="005E7B8E"/>
    <w:rsid w:val="005E7E82"/>
    <w:rsid w:val="005F1BB3"/>
    <w:rsid w:val="005F498B"/>
    <w:rsid w:val="005F54B5"/>
    <w:rsid w:val="005F6C28"/>
    <w:rsid w:val="005F6D04"/>
    <w:rsid w:val="005F7AB6"/>
    <w:rsid w:val="005F7B43"/>
    <w:rsid w:val="005F7E3C"/>
    <w:rsid w:val="00600124"/>
    <w:rsid w:val="00600FA8"/>
    <w:rsid w:val="006023A1"/>
    <w:rsid w:val="00602F38"/>
    <w:rsid w:val="00605029"/>
    <w:rsid w:val="006063DA"/>
    <w:rsid w:val="00606C51"/>
    <w:rsid w:val="00606CE3"/>
    <w:rsid w:val="006071DE"/>
    <w:rsid w:val="00607E01"/>
    <w:rsid w:val="00611DD3"/>
    <w:rsid w:val="00611EF0"/>
    <w:rsid w:val="00611FA1"/>
    <w:rsid w:val="00612119"/>
    <w:rsid w:val="00612219"/>
    <w:rsid w:val="0061241A"/>
    <w:rsid w:val="006126E1"/>
    <w:rsid w:val="00612E04"/>
    <w:rsid w:val="00613332"/>
    <w:rsid w:val="0061337F"/>
    <w:rsid w:val="00613E4F"/>
    <w:rsid w:val="00614998"/>
    <w:rsid w:val="006161DC"/>
    <w:rsid w:val="006173A4"/>
    <w:rsid w:val="00617C44"/>
    <w:rsid w:val="00621E84"/>
    <w:rsid w:val="006222F9"/>
    <w:rsid w:val="00622CE4"/>
    <w:rsid w:val="006234A7"/>
    <w:rsid w:val="00623903"/>
    <w:rsid w:val="00624062"/>
    <w:rsid w:val="00624C87"/>
    <w:rsid w:val="00625917"/>
    <w:rsid w:val="006266E6"/>
    <w:rsid w:val="0062789F"/>
    <w:rsid w:val="006301BE"/>
    <w:rsid w:val="0063096E"/>
    <w:rsid w:val="00630E73"/>
    <w:rsid w:val="00630EAF"/>
    <w:rsid w:val="006320EE"/>
    <w:rsid w:val="00633349"/>
    <w:rsid w:val="00633D61"/>
    <w:rsid w:val="0063402B"/>
    <w:rsid w:val="006349C5"/>
    <w:rsid w:val="00636570"/>
    <w:rsid w:val="00637901"/>
    <w:rsid w:val="00637E1B"/>
    <w:rsid w:val="006402DF"/>
    <w:rsid w:val="0064164B"/>
    <w:rsid w:val="00642413"/>
    <w:rsid w:val="00642900"/>
    <w:rsid w:val="00644468"/>
    <w:rsid w:val="00644F14"/>
    <w:rsid w:val="00645F5E"/>
    <w:rsid w:val="00646AB3"/>
    <w:rsid w:val="00646D73"/>
    <w:rsid w:val="00647B1E"/>
    <w:rsid w:val="00647C55"/>
    <w:rsid w:val="0065008B"/>
    <w:rsid w:val="00650C37"/>
    <w:rsid w:val="00653A3B"/>
    <w:rsid w:val="00653FD9"/>
    <w:rsid w:val="00654D42"/>
    <w:rsid w:val="0065522D"/>
    <w:rsid w:val="006557E8"/>
    <w:rsid w:val="00656328"/>
    <w:rsid w:val="00656901"/>
    <w:rsid w:val="00656A41"/>
    <w:rsid w:val="00660279"/>
    <w:rsid w:val="006614AD"/>
    <w:rsid w:val="006622B9"/>
    <w:rsid w:val="00662880"/>
    <w:rsid w:val="00662AA6"/>
    <w:rsid w:val="00662E1E"/>
    <w:rsid w:val="0066371E"/>
    <w:rsid w:val="0066448C"/>
    <w:rsid w:val="00664DA6"/>
    <w:rsid w:val="00665645"/>
    <w:rsid w:val="00665B02"/>
    <w:rsid w:val="00667401"/>
    <w:rsid w:val="006707AB"/>
    <w:rsid w:val="00670EA0"/>
    <w:rsid w:val="006724AD"/>
    <w:rsid w:val="00672BAB"/>
    <w:rsid w:val="0067314A"/>
    <w:rsid w:val="00673D1E"/>
    <w:rsid w:val="00674341"/>
    <w:rsid w:val="006745C9"/>
    <w:rsid w:val="006748C2"/>
    <w:rsid w:val="006748DB"/>
    <w:rsid w:val="00675346"/>
    <w:rsid w:val="00675A7E"/>
    <w:rsid w:val="00677597"/>
    <w:rsid w:val="006778A1"/>
    <w:rsid w:val="006779CF"/>
    <w:rsid w:val="00677A8F"/>
    <w:rsid w:val="00677BF5"/>
    <w:rsid w:val="00677F8A"/>
    <w:rsid w:val="00680A01"/>
    <w:rsid w:val="00680ACF"/>
    <w:rsid w:val="00680AE9"/>
    <w:rsid w:val="00680B1A"/>
    <w:rsid w:val="00681960"/>
    <w:rsid w:val="006821E3"/>
    <w:rsid w:val="00683AD6"/>
    <w:rsid w:val="00683D43"/>
    <w:rsid w:val="006842AE"/>
    <w:rsid w:val="006870B6"/>
    <w:rsid w:val="00687EF9"/>
    <w:rsid w:val="0069097D"/>
    <w:rsid w:val="00690C1D"/>
    <w:rsid w:val="006942DA"/>
    <w:rsid w:val="00694341"/>
    <w:rsid w:val="0069478F"/>
    <w:rsid w:val="00694B80"/>
    <w:rsid w:val="00695F55"/>
    <w:rsid w:val="00696C14"/>
    <w:rsid w:val="006976C4"/>
    <w:rsid w:val="00697A4C"/>
    <w:rsid w:val="006A0FD6"/>
    <w:rsid w:val="006A1522"/>
    <w:rsid w:val="006A1AEB"/>
    <w:rsid w:val="006A2B98"/>
    <w:rsid w:val="006A3C29"/>
    <w:rsid w:val="006A513D"/>
    <w:rsid w:val="006A5773"/>
    <w:rsid w:val="006A5804"/>
    <w:rsid w:val="006A58F0"/>
    <w:rsid w:val="006A7025"/>
    <w:rsid w:val="006B0372"/>
    <w:rsid w:val="006B0764"/>
    <w:rsid w:val="006B1BA6"/>
    <w:rsid w:val="006B297B"/>
    <w:rsid w:val="006B38F4"/>
    <w:rsid w:val="006B4467"/>
    <w:rsid w:val="006B5BC2"/>
    <w:rsid w:val="006B5E3A"/>
    <w:rsid w:val="006B64F9"/>
    <w:rsid w:val="006B6C46"/>
    <w:rsid w:val="006B6E78"/>
    <w:rsid w:val="006C0039"/>
    <w:rsid w:val="006C13E2"/>
    <w:rsid w:val="006C1927"/>
    <w:rsid w:val="006C2585"/>
    <w:rsid w:val="006C4008"/>
    <w:rsid w:val="006C477B"/>
    <w:rsid w:val="006C5931"/>
    <w:rsid w:val="006C73EF"/>
    <w:rsid w:val="006D1723"/>
    <w:rsid w:val="006D22E5"/>
    <w:rsid w:val="006D3089"/>
    <w:rsid w:val="006D323F"/>
    <w:rsid w:val="006D4B13"/>
    <w:rsid w:val="006D564E"/>
    <w:rsid w:val="006D5D3F"/>
    <w:rsid w:val="006D60ED"/>
    <w:rsid w:val="006D64BA"/>
    <w:rsid w:val="006D6F20"/>
    <w:rsid w:val="006E0242"/>
    <w:rsid w:val="006E1166"/>
    <w:rsid w:val="006E1C7A"/>
    <w:rsid w:val="006E3348"/>
    <w:rsid w:val="006E4399"/>
    <w:rsid w:val="006E498A"/>
    <w:rsid w:val="006E596E"/>
    <w:rsid w:val="006E59EC"/>
    <w:rsid w:val="006E63C6"/>
    <w:rsid w:val="006F01D6"/>
    <w:rsid w:val="006F033F"/>
    <w:rsid w:val="006F0487"/>
    <w:rsid w:val="006F0637"/>
    <w:rsid w:val="006F1DBE"/>
    <w:rsid w:val="006F24D8"/>
    <w:rsid w:val="006F32D9"/>
    <w:rsid w:val="006F33B8"/>
    <w:rsid w:val="006F4640"/>
    <w:rsid w:val="006F4A38"/>
    <w:rsid w:val="006F4C9C"/>
    <w:rsid w:val="006F59A4"/>
    <w:rsid w:val="006F5AE1"/>
    <w:rsid w:val="006F640F"/>
    <w:rsid w:val="006F64E6"/>
    <w:rsid w:val="006F762A"/>
    <w:rsid w:val="00701B6B"/>
    <w:rsid w:val="0070384F"/>
    <w:rsid w:val="00703A9E"/>
    <w:rsid w:val="00703D6D"/>
    <w:rsid w:val="00704152"/>
    <w:rsid w:val="00704FB5"/>
    <w:rsid w:val="00706B71"/>
    <w:rsid w:val="00710E70"/>
    <w:rsid w:val="00711CEA"/>
    <w:rsid w:val="0071277A"/>
    <w:rsid w:val="00712EE5"/>
    <w:rsid w:val="00713493"/>
    <w:rsid w:val="00713494"/>
    <w:rsid w:val="00714031"/>
    <w:rsid w:val="007142A4"/>
    <w:rsid w:val="0071466E"/>
    <w:rsid w:val="00714A6C"/>
    <w:rsid w:val="00714CD3"/>
    <w:rsid w:val="00716CAD"/>
    <w:rsid w:val="007206A8"/>
    <w:rsid w:val="00720D3A"/>
    <w:rsid w:val="0072116D"/>
    <w:rsid w:val="0072186C"/>
    <w:rsid w:val="00721D03"/>
    <w:rsid w:val="0072226F"/>
    <w:rsid w:val="007223B9"/>
    <w:rsid w:val="007231B4"/>
    <w:rsid w:val="00723812"/>
    <w:rsid w:val="0072575B"/>
    <w:rsid w:val="00725761"/>
    <w:rsid w:val="00725B78"/>
    <w:rsid w:val="00725E19"/>
    <w:rsid w:val="00727082"/>
    <w:rsid w:val="007307DF"/>
    <w:rsid w:val="007310D8"/>
    <w:rsid w:val="0073233C"/>
    <w:rsid w:val="007329D0"/>
    <w:rsid w:val="00732D0C"/>
    <w:rsid w:val="00733EAD"/>
    <w:rsid w:val="00734F54"/>
    <w:rsid w:val="00735B2F"/>
    <w:rsid w:val="00736DD8"/>
    <w:rsid w:val="00736EA4"/>
    <w:rsid w:val="00737C04"/>
    <w:rsid w:val="00740505"/>
    <w:rsid w:val="007412C8"/>
    <w:rsid w:val="00743A9F"/>
    <w:rsid w:val="00744110"/>
    <w:rsid w:val="00744595"/>
    <w:rsid w:val="00745E88"/>
    <w:rsid w:val="00746A22"/>
    <w:rsid w:val="00746DEF"/>
    <w:rsid w:val="00747A52"/>
    <w:rsid w:val="0075089D"/>
    <w:rsid w:val="00750F1E"/>
    <w:rsid w:val="00751C12"/>
    <w:rsid w:val="00752691"/>
    <w:rsid w:val="007526AE"/>
    <w:rsid w:val="007528F2"/>
    <w:rsid w:val="00752B1B"/>
    <w:rsid w:val="00753F56"/>
    <w:rsid w:val="0075645C"/>
    <w:rsid w:val="0075684B"/>
    <w:rsid w:val="007575C4"/>
    <w:rsid w:val="007603E6"/>
    <w:rsid w:val="00761DA4"/>
    <w:rsid w:val="00762747"/>
    <w:rsid w:val="0076333D"/>
    <w:rsid w:val="00763700"/>
    <w:rsid w:val="0076427C"/>
    <w:rsid w:val="00765217"/>
    <w:rsid w:val="007659AA"/>
    <w:rsid w:val="0076617B"/>
    <w:rsid w:val="00766242"/>
    <w:rsid w:val="00767AE1"/>
    <w:rsid w:val="0077266C"/>
    <w:rsid w:val="00772802"/>
    <w:rsid w:val="007741AE"/>
    <w:rsid w:val="00775066"/>
    <w:rsid w:val="00776034"/>
    <w:rsid w:val="00776406"/>
    <w:rsid w:val="00776FFD"/>
    <w:rsid w:val="0078005A"/>
    <w:rsid w:val="00780891"/>
    <w:rsid w:val="0078096E"/>
    <w:rsid w:val="00781B6F"/>
    <w:rsid w:val="00781F9C"/>
    <w:rsid w:val="007823D8"/>
    <w:rsid w:val="00782DFD"/>
    <w:rsid w:val="00784424"/>
    <w:rsid w:val="00784E6A"/>
    <w:rsid w:val="0078521C"/>
    <w:rsid w:val="00785474"/>
    <w:rsid w:val="00787B99"/>
    <w:rsid w:val="0079207E"/>
    <w:rsid w:val="00792B2B"/>
    <w:rsid w:val="00792E6F"/>
    <w:rsid w:val="007931F5"/>
    <w:rsid w:val="0079421C"/>
    <w:rsid w:val="00794222"/>
    <w:rsid w:val="007943AE"/>
    <w:rsid w:val="007950DD"/>
    <w:rsid w:val="0079526D"/>
    <w:rsid w:val="00795A2C"/>
    <w:rsid w:val="00795AEF"/>
    <w:rsid w:val="00797390"/>
    <w:rsid w:val="007A05B6"/>
    <w:rsid w:val="007A1C0A"/>
    <w:rsid w:val="007A1C59"/>
    <w:rsid w:val="007A22B7"/>
    <w:rsid w:val="007A4794"/>
    <w:rsid w:val="007A5B41"/>
    <w:rsid w:val="007A606A"/>
    <w:rsid w:val="007A682F"/>
    <w:rsid w:val="007A75EC"/>
    <w:rsid w:val="007B04C7"/>
    <w:rsid w:val="007B0FAF"/>
    <w:rsid w:val="007B242B"/>
    <w:rsid w:val="007B449D"/>
    <w:rsid w:val="007B4B57"/>
    <w:rsid w:val="007B5453"/>
    <w:rsid w:val="007B5792"/>
    <w:rsid w:val="007B5B5F"/>
    <w:rsid w:val="007C0451"/>
    <w:rsid w:val="007C0D54"/>
    <w:rsid w:val="007C31E2"/>
    <w:rsid w:val="007C33FF"/>
    <w:rsid w:val="007C39B3"/>
    <w:rsid w:val="007C4E12"/>
    <w:rsid w:val="007C5565"/>
    <w:rsid w:val="007C5CE1"/>
    <w:rsid w:val="007C601F"/>
    <w:rsid w:val="007C6F85"/>
    <w:rsid w:val="007D0569"/>
    <w:rsid w:val="007D16B1"/>
    <w:rsid w:val="007D19E4"/>
    <w:rsid w:val="007D1B31"/>
    <w:rsid w:val="007D27B2"/>
    <w:rsid w:val="007D285B"/>
    <w:rsid w:val="007D2DD6"/>
    <w:rsid w:val="007D2E35"/>
    <w:rsid w:val="007D3623"/>
    <w:rsid w:val="007D7400"/>
    <w:rsid w:val="007D765E"/>
    <w:rsid w:val="007D7761"/>
    <w:rsid w:val="007D79FF"/>
    <w:rsid w:val="007E02A7"/>
    <w:rsid w:val="007E3D54"/>
    <w:rsid w:val="007E468A"/>
    <w:rsid w:val="007E51A5"/>
    <w:rsid w:val="007E57A9"/>
    <w:rsid w:val="007E70BE"/>
    <w:rsid w:val="007E72E4"/>
    <w:rsid w:val="007E78C3"/>
    <w:rsid w:val="007E7F4C"/>
    <w:rsid w:val="007F0A58"/>
    <w:rsid w:val="007F1123"/>
    <w:rsid w:val="007F3018"/>
    <w:rsid w:val="007F3034"/>
    <w:rsid w:val="007F313A"/>
    <w:rsid w:val="007F395A"/>
    <w:rsid w:val="007F404D"/>
    <w:rsid w:val="007F5F27"/>
    <w:rsid w:val="007F64E5"/>
    <w:rsid w:val="007F6562"/>
    <w:rsid w:val="007F7AC1"/>
    <w:rsid w:val="008041C5"/>
    <w:rsid w:val="008060C3"/>
    <w:rsid w:val="008063A1"/>
    <w:rsid w:val="00806E45"/>
    <w:rsid w:val="00807F00"/>
    <w:rsid w:val="00811030"/>
    <w:rsid w:val="00812095"/>
    <w:rsid w:val="008134BD"/>
    <w:rsid w:val="008142A4"/>
    <w:rsid w:val="00814656"/>
    <w:rsid w:val="00815B04"/>
    <w:rsid w:val="0082001E"/>
    <w:rsid w:val="00820E45"/>
    <w:rsid w:val="00821E2C"/>
    <w:rsid w:val="00821FB4"/>
    <w:rsid w:val="00822835"/>
    <w:rsid w:val="0082490F"/>
    <w:rsid w:val="00826758"/>
    <w:rsid w:val="00826B4B"/>
    <w:rsid w:val="00830A90"/>
    <w:rsid w:val="00830CBC"/>
    <w:rsid w:val="0083163B"/>
    <w:rsid w:val="00832CA1"/>
    <w:rsid w:val="00834D78"/>
    <w:rsid w:val="008353E0"/>
    <w:rsid w:val="008365F0"/>
    <w:rsid w:val="00836938"/>
    <w:rsid w:val="00841534"/>
    <w:rsid w:val="00845B2D"/>
    <w:rsid w:val="008462F1"/>
    <w:rsid w:val="00846930"/>
    <w:rsid w:val="0084724B"/>
    <w:rsid w:val="0084770A"/>
    <w:rsid w:val="00850FDE"/>
    <w:rsid w:val="008522A1"/>
    <w:rsid w:val="00852876"/>
    <w:rsid w:val="00852A6B"/>
    <w:rsid w:val="00852EE0"/>
    <w:rsid w:val="008543F5"/>
    <w:rsid w:val="00854457"/>
    <w:rsid w:val="00855004"/>
    <w:rsid w:val="00855743"/>
    <w:rsid w:val="008558D0"/>
    <w:rsid w:val="008566D4"/>
    <w:rsid w:val="008572C4"/>
    <w:rsid w:val="0085733E"/>
    <w:rsid w:val="008604A8"/>
    <w:rsid w:val="00860D50"/>
    <w:rsid w:val="00861729"/>
    <w:rsid w:val="008617DE"/>
    <w:rsid w:val="00861AFA"/>
    <w:rsid w:val="00863C61"/>
    <w:rsid w:val="008642A1"/>
    <w:rsid w:val="00864384"/>
    <w:rsid w:val="00865522"/>
    <w:rsid w:val="00865ADF"/>
    <w:rsid w:val="0086644C"/>
    <w:rsid w:val="008666B5"/>
    <w:rsid w:val="00866D82"/>
    <w:rsid w:val="00866E89"/>
    <w:rsid w:val="0086738E"/>
    <w:rsid w:val="00867BBA"/>
    <w:rsid w:val="008701A9"/>
    <w:rsid w:val="008703B3"/>
    <w:rsid w:val="0087072B"/>
    <w:rsid w:val="00872825"/>
    <w:rsid w:val="008733EE"/>
    <w:rsid w:val="00875B95"/>
    <w:rsid w:val="00875C25"/>
    <w:rsid w:val="0087660F"/>
    <w:rsid w:val="00876985"/>
    <w:rsid w:val="0087756C"/>
    <w:rsid w:val="0087763C"/>
    <w:rsid w:val="008777AB"/>
    <w:rsid w:val="008813D7"/>
    <w:rsid w:val="00883780"/>
    <w:rsid w:val="00883B99"/>
    <w:rsid w:val="00883C24"/>
    <w:rsid w:val="00885066"/>
    <w:rsid w:val="00885F85"/>
    <w:rsid w:val="008865B4"/>
    <w:rsid w:val="0088665E"/>
    <w:rsid w:val="0088798E"/>
    <w:rsid w:val="00887CBA"/>
    <w:rsid w:val="0089081D"/>
    <w:rsid w:val="00892038"/>
    <w:rsid w:val="008923C8"/>
    <w:rsid w:val="00892AFB"/>
    <w:rsid w:val="00893260"/>
    <w:rsid w:val="008932A8"/>
    <w:rsid w:val="00893756"/>
    <w:rsid w:val="0089391D"/>
    <w:rsid w:val="0089447C"/>
    <w:rsid w:val="00894A9E"/>
    <w:rsid w:val="00894CD0"/>
    <w:rsid w:val="00894E2B"/>
    <w:rsid w:val="008950F6"/>
    <w:rsid w:val="0089541E"/>
    <w:rsid w:val="0089605F"/>
    <w:rsid w:val="00896815"/>
    <w:rsid w:val="00897DC2"/>
    <w:rsid w:val="00897E51"/>
    <w:rsid w:val="008A0744"/>
    <w:rsid w:val="008A0A6E"/>
    <w:rsid w:val="008A0D0F"/>
    <w:rsid w:val="008A1FB5"/>
    <w:rsid w:val="008A2FB3"/>
    <w:rsid w:val="008A398B"/>
    <w:rsid w:val="008A4354"/>
    <w:rsid w:val="008A4864"/>
    <w:rsid w:val="008A492E"/>
    <w:rsid w:val="008A5601"/>
    <w:rsid w:val="008A59AD"/>
    <w:rsid w:val="008A6005"/>
    <w:rsid w:val="008B0BF8"/>
    <w:rsid w:val="008B0EEB"/>
    <w:rsid w:val="008B14CF"/>
    <w:rsid w:val="008B1D0F"/>
    <w:rsid w:val="008B431D"/>
    <w:rsid w:val="008B51FD"/>
    <w:rsid w:val="008B5A4E"/>
    <w:rsid w:val="008B67C1"/>
    <w:rsid w:val="008B7186"/>
    <w:rsid w:val="008B7290"/>
    <w:rsid w:val="008B7AA6"/>
    <w:rsid w:val="008C1939"/>
    <w:rsid w:val="008C2DBC"/>
    <w:rsid w:val="008C2EC9"/>
    <w:rsid w:val="008C3396"/>
    <w:rsid w:val="008C4EF2"/>
    <w:rsid w:val="008C5D6A"/>
    <w:rsid w:val="008C621C"/>
    <w:rsid w:val="008C626E"/>
    <w:rsid w:val="008C64CD"/>
    <w:rsid w:val="008C697C"/>
    <w:rsid w:val="008C75ED"/>
    <w:rsid w:val="008C7649"/>
    <w:rsid w:val="008C7980"/>
    <w:rsid w:val="008C7A98"/>
    <w:rsid w:val="008D12C8"/>
    <w:rsid w:val="008D198D"/>
    <w:rsid w:val="008D2011"/>
    <w:rsid w:val="008D35EF"/>
    <w:rsid w:val="008D3EB4"/>
    <w:rsid w:val="008D5310"/>
    <w:rsid w:val="008D53CC"/>
    <w:rsid w:val="008D5C96"/>
    <w:rsid w:val="008D631B"/>
    <w:rsid w:val="008E0991"/>
    <w:rsid w:val="008E0E96"/>
    <w:rsid w:val="008E12BD"/>
    <w:rsid w:val="008E338E"/>
    <w:rsid w:val="008E3679"/>
    <w:rsid w:val="008E3FD9"/>
    <w:rsid w:val="008E3FDA"/>
    <w:rsid w:val="008E4AB2"/>
    <w:rsid w:val="008E57FE"/>
    <w:rsid w:val="008E59D1"/>
    <w:rsid w:val="008E5F8C"/>
    <w:rsid w:val="008F13B1"/>
    <w:rsid w:val="008F2665"/>
    <w:rsid w:val="008F273D"/>
    <w:rsid w:val="008F57F6"/>
    <w:rsid w:val="008F6376"/>
    <w:rsid w:val="00900CC2"/>
    <w:rsid w:val="009019FB"/>
    <w:rsid w:val="00901BA2"/>
    <w:rsid w:val="00902FD1"/>
    <w:rsid w:val="00904A5E"/>
    <w:rsid w:val="009051E1"/>
    <w:rsid w:val="00905B05"/>
    <w:rsid w:val="00906E22"/>
    <w:rsid w:val="0090753C"/>
    <w:rsid w:val="00911B66"/>
    <w:rsid w:val="00912280"/>
    <w:rsid w:val="00912A7E"/>
    <w:rsid w:val="009138D0"/>
    <w:rsid w:val="00915330"/>
    <w:rsid w:val="00916E69"/>
    <w:rsid w:val="00917525"/>
    <w:rsid w:val="0091777D"/>
    <w:rsid w:val="0091796F"/>
    <w:rsid w:val="0092057D"/>
    <w:rsid w:val="00920B3B"/>
    <w:rsid w:val="009218DE"/>
    <w:rsid w:val="00922D00"/>
    <w:rsid w:val="00923F17"/>
    <w:rsid w:val="00925696"/>
    <w:rsid w:val="00925F7C"/>
    <w:rsid w:val="009266DA"/>
    <w:rsid w:val="00930DE8"/>
    <w:rsid w:val="009318DD"/>
    <w:rsid w:val="00931F84"/>
    <w:rsid w:val="0093228F"/>
    <w:rsid w:val="009327F4"/>
    <w:rsid w:val="009346ED"/>
    <w:rsid w:val="00935413"/>
    <w:rsid w:val="009355DB"/>
    <w:rsid w:val="00935784"/>
    <w:rsid w:val="00935F5D"/>
    <w:rsid w:val="00936402"/>
    <w:rsid w:val="009368E0"/>
    <w:rsid w:val="00937638"/>
    <w:rsid w:val="00942520"/>
    <w:rsid w:val="0094260B"/>
    <w:rsid w:val="00942661"/>
    <w:rsid w:val="00943DCF"/>
    <w:rsid w:val="00943DD7"/>
    <w:rsid w:val="00944F25"/>
    <w:rsid w:val="00944F3A"/>
    <w:rsid w:val="00945307"/>
    <w:rsid w:val="0094558D"/>
    <w:rsid w:val="00946FCE"/>
    <w:rsid w:val="0094722C"/>
    <w:rsid w:val="00947322"/>
    <w:rsid w:val="00947C78"/>
    <w:rsid w:val="009515BC"/>
    <w:rsid w:val="00951658"/>
    <w:rsid w:val="009516B0"/>
    <w:rsid w:val="0095175F"/>
    <w:rsid w:val="00953ED0"/>
    <w:rsid w:val="0095492E"/>
    <w:rsid w:val="00955B64"/>
    <w:rsid w:val="00955F7D"/>
    <w:rsid w:val="00957ECF"/>
    <w:rsid w:val="0096080A"/>
    <w:rsid w:val="00960B95"/>
    <w:rsid w:val="0096233E"/>
    <w:rsid w:val="0096242F"/>
    <w:rsid w:val="00962C41"/>
    <w:rsid w:val="00962E3B"/>
    <w:rsid w:val="00962FF5"/>
    <w:rsid w:val="00964A4E"/>
    <w:rsid w:val="009651EE"/>
    <w:rsid w:val="009657D7"/>
    <w:rsid w:val="00965B02"/>
    <w:rsid w:val="00965C07"/>
    <w:rsid w:val="00965D2D"/>
    <w:rsid w:val="00965E12"/>
    <w:rsid w:val="00971847"/>
    <w:rsid w:val="00971930"/>
    <w:rsid w:val="00972964"/>
    <w:rsid w:val="0097443A"/>
    <w:rsid w:val="00974B22"/>
    <w:rsid w:val="00977286"/>
    <w:rsid w:val="0097762F"/>
    <w:rsid w:val="009816B8"/>
    <w:rsid w:val="00981B74"/>
    <w:rsid w:val="00981C0E"/>
    <w:rsid w:val="00983B45"/>
    <w:rsid w:val="00984831"/>
    <w:rsid w:val="009853F1"/>
    <w:rsid w:val="0098654E"/>
    <w:rsid w:val="0098766F"/>
    <w:rsid w:val="00987674"/>
    <w:rsid w:val="009878D4"/>
    <w:rsid w:val="009908A8"/>
    <w:rsid w:val="00991378"/>
    <w:rsid w:val="00993912"/>
    <w:rsid w:val="00994050"/>
    <w:rsid w:val="00994569"/>
    <w:rsid w:val="00994D9A"/>
    <w:rsid w:val="009960FC"/>
    <w:rsid w:val="009962CF"/>
    <w:rsid w:val="00996676"/>
    <w:rsid w:val="009969D6"/>
    <w:rsid w:val="00996A5D"/>
    <w:rsid w:val="009A1ABD"/>
    <w:rsid w:val="009A418D"/>
    <w:rsid w:val="009A4543"/>
    <w:rsid w:val="009A5DB1"/>
    <w:rsid w:val="009A6195"/>
    <w:rsid w:val="009A6CC2"/>
    <w:rsid w:val="009A7C5A"/>
    <w:rsid w:val="009A7E51"/>
    <w:rsid w:val="009B0E95"/>
    <w:rsid w:val="009B21B9"/>
    <w:rsid w:val="009B284C"/>
    <w:rsid w:val="009B2CD4"/>
    <w:rsid w:val="009B30BF"/>
    <w:rsid w:val="009B3974"/>
    <w:rsid w:val="009B4CD0"/>
    <w:rsid w:val="009B4DA7"/>
    <w:rsid w:val="009B5E93"/>
    <w:rsid w:val="009C0E8A"/>
    <w:rsid w:val="009C21C6"/>
    <w:rsid w:val="009C383B"/>
    <w:rsid w:val="009C3A80"/>
    <w:rsid w:val="009C5238"/>
    <w:rsid w:val="009C6964"/>
    <w:rsid w:val="009C740E"/>
    <w:rsid w:val="009C7FB5"/>
    <w:rsid w:val="009D12B4"/>
    <w:rsid w:val="009D1B49"/>
    <w:rsid w:val="009D1E70"/>
    <w:rsid w:val="009D2135"/>
    <w:rsid w:val="009D2FA7"/>
    <w:rsid w:val="009D4CAE"/>
    <w:rsid w:val="009D55F9"/>
    <w:rsid w:val="009D5A11"/>
    <w:rsid w:val="009D5D50"/>
    <w:rsid w:val="009D7760"/>
    <w:rsid w:val="009D78BB"/>
    <w:rsid w:val="009D7D5A"/>
    <w:rsid w:val="009E16E6"/>
    <w:rsid w:val="009E2953"/>
    <w:rsid w:val="009E30CE"/>
    <w:rsid w:val="009E3ED6"/>
    <w:rsid w:val="009E6A08"/>
    <w:rsid w:val="009F04C3"/>
    <w:rsid w:val="009F0760"/>
    <w:rsid w:val="009F3B29"/>
    <w:rsid w:val="009F4860"/>
    <w:rsid w:val="009F5F2A"/>
    <w:rsid w:val="009F79C0"/>
    <w:rsid w:val="00A00057"/>
    <w:rsid w:val="00A00485"/>
    <w:rsid w:val="00A01A5F"/>
    <w:rsid w:val="00A02C96"/>
    <w:rsid w:val="00A02D15"/>
    <w:rsid w:val="00A02E65"/>
    <w:rsid w:val="00A0340A"/>
    <w:rsid w:val="00A0440C"/>
    <w:rsid w:val="00A0585F"/>
    <w:rsid w:val="00A0694A"/>
    <w:rsid w:val="00A07407"/>
    <w:rsid w:val="00A10A30"/>
    <w:rsid w:val="00A10E69"/>
    <w:rsid w:val="00A1137C"/>
    <w:rsid w:val="00A113D7"/>
    <w:rsid w:val="00A11F0F"/>
    <w:rsid w:val="00A12343"/>
    <w:rsid w:val="00A123B5"/>
    <w:rsid w:val="00A13D7E"/>
    <w:rsid w:val="00A14EC9"/>
    <w:rsid w:val="00A16126"/>
    <w:rsid w:val="00A16F0B"/>
    <w:rsid w:val="00A200B1"/>
    <w:rsid w:val="00A20714"/>
    <w:rsid w:val="00A24133"/>
    <w:rsid w:val="00A245C1"/>
    <w:rsid w:val="00A262BF"/>
    <w:rsid w:val="00A27809"/>
    <w:rsid w:val="00A30533"/>
    <w:rsid w:val="00A30AFE"/>
    <w:rsid w:val="00A317B0"/>
    <w:rsid w:val="00A34591"/>
    <w:rsid w:val="00A34854"/>
    <w:rsid w:val="00A34E44"/>
    <w:rsid w:val="00A350B7"/>
    <w:rsid w:val="00A3640F"/>
    <w:rsid w:val="00A40CE2"/>
    <w:rsid w:val="00A43A09"/>
    <w:rsid w:val="00A43E5B"/>
    <w:rsid w:val="00A43F49"/>
    <w:rsid w:val="00A47176"/>
    <w:rsid w:val="00A475C5"/>
    <w:rsid w:val="00A4768C"/>
    <w:rsid w:val="00A47722"/>
    <w:rsid w:val="00A47A47"/>
    <w:rsid w:val="00A50A68"/>
    <w:rsid w:val="00A50D3B"/>
    <w:rsid w:val="00A518AA"/>
    <w:rsid w:val="00A56348"/>
    <w:rsid w:val="00A5703F"/>
    <w:rsid w:val="00A572FC"/>
    <w:rsid w:val="00A57AA1"/>
    <w:rsid w:val="00A57D39"/>
    <w:rsid w:val="00A608FF"/>
    <w:rsid w:val="00A60C00"/>
    <w:rsid w:val="00A626FB"/>
    <w:rsid w:val="00A6316B"/>
    <w:rsid w:val="00A63AFC"/>
    <w:rsid w:val="00A642F0"/>
    <w:rsid w:val="00A65316"/>
    <w:rsid w:val="00A65D4C"/>
    <w:rsid w:val="00A674FF"/>
    <w:rsid w:val="00A70291"/>
    <w:rsid w:val="00A70F69"/>
    <w:rsid w:val="00A7153B"/>
    <w:rsid w:val="00A71874"/>
    <w:rsid w:val="00A72611"/>
    <w:rsid w:val="00A73ABB"/>
    <w:rsid w:val="00A73C3B"/>
    <w:rsid w:val="00A76D2C"/>
    <w:rsid w:val="00A77746"/>
    <w:rsid w:val="00A806AA"/>
    <w:rsid w:val="00A83BF6"/>
    <w:rsid w:val="00A83EB9"/>
    <w:rsid w:val="00A86D01"/>
    <w:rsid w:val="00A871AA"/>
    <w:rsid w:val="00A87F31"/>
    <w:rsid w:val="00A90D27"/>
    <w:rsid w:val="00A9103B"/>
    <w:rsid w:val="00A91284"/>
    <w:rsid w:val="00A918A7"/>
    <w:rsid w:val="00A92871"/>
    <w:rsid w:val="00A94B53"/>
    <w:rsid w:val="00A94FC1"/>
    <w:rsid w:val="00A95128"/>
    <w:rsid w:val="00A954E7"/>
    <w:rsid w:val="00A955EB"/>
    <w:rsid w:val="00A956AC"/>
    <w:rsid w:val="00A95B60"/>
    <w:rsid w:val="00A970C9"/>
    <w:rsid w:val="00A97732"/>
    <w:rsid w:val="00AA0DFC"/>
    <w:rsid w:val="00AA131B"/>
    <w:rsid w:val="00AA1F49"/>
    <w:rsid w:val="00AA352D"/>
    <w:rsid w:val="00AA3A2E"/>
    <w:rsid w:val="00AA4099"/>
    <w:rsid w:val="00AA6913"/>
    <w:rsid w:val="00AA7782"/>
    <w:rsid w:val="00AB0B2E"/>
    <w:rsid w:val="00AB1C06"/>
    <w:rsid w:val="00AB2190"/>
    <w:rsid w:val="00AB39EB"/>
    <w:rsid w:val="00AB3F27"/>
    <w:rsid w:val="00AB3FD9"/>
    <w:rsid w:val="00AB7DE7"/>
    <w:rsid w:val="00AC0D8C"/>
    <w:rsid w:val="00AC1BE7"/>
    <w:rsid w:val="00AC26FE"/>
    <w:rsid w:val="00AC275F"/>
    <w:rsid w:val="00AC44E3"/>
    <w:rsid w:val="00AC50A4"/>
    <w:rsid w:val="00AC5351"/>
    <w:rsid w:val="00AC5A95"/>
    <w:rsid w:val="00AC6074"/>
    <w:rsid w:val="00AC6471"/>
    <w:rsid w:val="00AC7156"/>
    <w:rsid w:val="00AD042A"/>
    <w:rsid w:val="00AD07F4"/>
    <w:rsid w:val="00AD1751"/>
    <w:rsid w:val="00AD2104"/>
    <w:rsid w:val="00AD2B6E"/>
    <w:rsid w:val="00AD3443"/>
    <w:rsid w:val="00AD4B3C"/>
    <w:rsid w:val="00AD5ADA"/>
    <w:rsid w:val="00AD68A5"/>
    <w:rsid w:val="00AD6EC2"/>
    <w:rsid w:val="00AE185D"/>
    <w:rsid w:val="00AE1BFE"/>
    <w:rsid w:val="00AE20C1"/>
    <w:rsid w:val="00AE3310"/>
    <w:rsid w:val="00AE3842"/>
    <w:rsid w:val="00AE3D83"/>
    <w:rsid w:val="00AE3FF2"/>
    <w:rsid w:val="00AE4374"/>
    <w:rsid w:val="00AE485C"/>
    <w:rsid w:val="00AE5AA4"/>
    <w:rsid w:val="00AE6B50"/>
    <w:rsid w:val="00AE6B5E"/>
    <w:rsid w:val="00AE7D4F"/>
    <w:rsid w:val="00AE7FE4"/>
    <w:rsid w:val="00AF17D3"/>
    <w:rsid w:val="00AF1D77"/>
    <w:rsid w:val="00AF2479"/>
    <w:rsid w:val="00AF38BA"/>
    <w:rsid w:val="00AF3D09"/>
    <w:rsid w:val="00AF4F67"/>
    <w:rsid w:val="00AF5811"/>
    <w:rsid w:val="00AF646B"/>
    <w:rsid w:val="00AF6509"/>
    <w:rsid w:val="00AF7CE4"/>
    <w:rsid w:val="00B00BBE"/>
    <w:rsid w:val="00B03179"/>
    <w:rsid w:val="00B03F1A"/>
    <w:rsid w:val="00B0456E"/>
    <w:rsid w:val="00B04829"/>
    <w:rsid w:val="00B05B5B"/>
    <w:rsid w:val="00B06A05"/>
    <w:rsid w:val="00B06A90"/>
    <w:rsid w:val="00B06BF6"/>
    <w:rsid w:val="00B06F7F"/>
    <w:rsid w:val="00B100F0"/>
    <w:rsid w:val="00B11D62"/>
    <w:rsid w:val="00B12D8A"/>
    <w:rsid w:val="00B12DDF"/>
    <w:rsid w:val="00B130DC"/>
    <w:rsid w:val="00B13F00"/>
    <w:rsid w:val="00B1402E"/>
    <w:rsid w:val="00B14865"/>
    <w:rsid w:val="00B17DF3"/>
    <w:rsid w:val="00B20ED9"/>
    <w:rsid w:val="00B21D50"/>
    <w:rsid w:val="00B21FA4"/>
    <w:rsid w:val="00B22F9B"/>
    <w:rsid w:val="00B23660"/>
    <w:rsid w:val="00B23747"/>
    <w:rsid w:val="00B24090"/>
    <w:rsid w:val="00B247AB"/>
    <w:rsid w:val="00B24D84"/>
    <w:rsid w:val="00B257E3"/>
    <w:rsid w:val="00B260C7"/>
    <w:rsid w:val="00B26C2D"/>
    <w:rsid w:val="00B27494"/>
    <w:rsid w:val="00B279B9"/>
    <w:rsid w:val="00B27BFD"/>
    <w:rsid w:val="00B30549"/>
    <w:rsid w:val="00B306A6"/>
    <w:rsid w:val="00B31E68"/>
    <w:rsid w:val="00B343CA"/>
    <w:rsid w:val="00B344F1"/>
    <w:rsid w:val="00B34CD4"/>
    <w:rsid w:val="00B34F48"/>
    <w:rsid w:val="00B3624C"/>
    <w:rsid w:val="00B363A0"/>
    <w:rsid w:val="00B41CF9"/>
    <w:rsid w:val="00B45DA9"/>
    <w:rsid w:val="00B5056A"/>
    <w:rsid w:val="00B50C45"/>
    <w:rsid w:val="00B51BA0"/>
    <w:rsid w:val="00B535BD"/>
    <w:rsid w:val="00B53701"/>
    <w:rsid w:val="00B53FF2"/>
    <w:rsid w:val="00B54B9A"/>
    <w:rsid w:val="00B5521C"/>
    <w:rsid w:val="00B56A26"/>
    <w:rsid w:val="00B577B5"/>
    <w:rsid w:val="00B6110A"/>
    <w:rsid w:val="00B6176A"/>
    <w:rsid w:val="00B6301A"/>
    <w:rsid w:val="00B63CBC"/>
    <w:rsid w:val="00B64CAD"/>
    <w:rsid w:val="00B64EA5"/>
    <w:rsid w:val="00B66751"/>
    <w:rsid w:val="00B67AA6"/>
    <w:rsid w:val="00B7066C"/>
    <w:rsid w:val="00B717D8"/>
    <w:rsid w:val="00B72214"/>
    <w:rsid w:val="00B72DF3"/>
    <w:rsid w:val="00B74146"/>
    <w:rsid w:val="00B763C0"/>
    <w:rsid w:val="00B7696A"/>
    <w:rsid w:val="00B76F6C"/>
    <w:rsid w:val="00B77234"/>
    <w:rsid w:val="00B80238"/>
    <w:rsid w:val="00B80444"/>
    <w:rsid w:val="00B8080B"/>
    <w:rsid w:val="00B811EF"/>
    <w:rsid w:val="00B83CB0"/>
    <w:rsid w:val="00B86EF1"/>
    <w:rsid w:val="00B874E4"/>
    <w:rsid w:val="00B9059B"/>
    <w:rsid w:val="00B90674"/>
    <w:rsid w:val="00B926A6"/>
    <w:rsid w:val="00B932EB"/>
    <w:rsid w:val="00B9330A"/>
    <w:rsid w:val="00B934E3"/>
    <w:rsid w:val="00B93E03"/>
    <w:rsid w:val="00B94323"/>
    <w:rsid w:val="00B953AE"/>
    <w:rsid w:val="00B9566B"/>
    <w:rsid w:val="00B9568A"/>
    <w:rsid w:val="00B96096"/>
    <w:rsid w:val="00B961B7"/>
    <w:rsid w:val="00B963D4"/>
    <w:rsid w:val="00B9772B"/>
    <w:rsid w:val="00BA0100"/>
    <w:rsid w:val="00BA0BC6"/>
    <w:rsid w:val="00BA2DEF"/>
    <w:rsid w:val="00BA42FB"/>
    <w:rsid w:val="00BA4768"/>
    <w:rsid w:val="00BA516F"/>
    <w:rsid w:val="00BA5348"/>
    <w:rsid w:val="00BA628C"/>
    <w:rsid w:val="00BA7059"/>
    <w:rsid w:val="00BA729E"/>
    <w:rsid w:val="00BA7496"/>
    <w:rsid w:val="00BB0051"/>
    <w:rsid w:val="00BB02C6"/>
    <w:rsid w:val="00BB1082"/>
    <w:rsid w:val="00BB150B"/>
    <w:rsid w:val="00BB17F5"/>
    <w:rsid w:val="00BB1C7E"/>
    <w:rsid w:val="00BB2127"/>
    <w:rsid w:val="00BB2209"/>
    <w:rsid w:val="00BB2B3C"/>
    <w:rsid w:val="00BB37B7"/>
    <w:rsid w:val="00BB3805"/>
    <w:rsid w:val="00BB394F"/>
    <w:rsid w:val="00BB3C74"/>
    <w:rsid w:val="00BB4F27"/>
    <w:rsid w:val="00BB52A5"/>
    <w:rsid w:val="00BB6740"/>
    <w:rsid w:val="00BB6F6B"/>
    <w:rsid w:val="00BB78E8"/>
    <w:rsid w:val="00BB7EA1"/>
    <w:rsid w:val="00BB7F81"/>
    <w:rsid w:val="00BC1E9C"/>
    <w:rsid w:val="00BC21EE"/>
    <w:rsid w:val="00BC269B"/>
    <w:rsid w:val="00BC27D2"/>
    <w:rsid w:val="00BC2A58"/>
    <w:rsid w:val="00BC4F0C"/>
    <w:rsid w:val="00BC630C"/>
    <w:rsid w:val="00BC793E"/>
    <w:rsid w:val="00BD0494"/>
    <w:rsid w:val="00BD08AB"/>
    <w:rsid w:val="00BD35E1"/>
    <w:rsid w:val="00BD54FC"/>
    <w:rsid w:val="00BD56D6"/>
    <w:rsid w:val="00BD63C3"/>
    <w:rsid w:val="00BD67CE"/>
    <w:rsid w:val="00BD76A4"/>
    <w:rsid w:val="00BD7997"/>
    <w:rsid w:val="00BE1149"/>
    <w:rsid w:val="00BE160D"/>
    <w:rsid w:val="00BE1C8A"/>
    <w:rsid w:val="00BE2435"/>
    <w:rsid w:val="00BE3706"/>
    <w:rsid w:val="00BE3D4D"/>
    <w:rsid w:val="00BE4857"/>
    <w:rsid w:val="00BE5847"/>
    <w:rsid w:val="00BE5BE0"/>
    <w:rsid w:val="00BE70E8"/>
    <w:rsid w:val="00BE75C8"/>
    <w:rsid w:val="00BE7C0C"/>
    <w:rsid w:val="00BF01DE"/>
    <w:rsid w:val="00BF0E76"/>
    <w:rsid w:val="00BF19DC"/>
    <w:rsid w:val="00BF270A"/>
    <w:rsid w:val="00BF2B3E"/>
    <w:rsid w:val="00BF2B5D"/>
    <w:rsid w:val="00BF2DAF"/>
    <w:rsid w:val="00BF2E83"/>
    <w:rsid w:val="00BF4E1B"/>
    <w:rsid w:val="00BF548A"/>
    <w:rsid w:val="00BF6ACA"/>
    <w:rsid w:val="00BF6B8A"/>
    <w:rsid w:val="00BF7ABD"/>
    <w:rsid w:val="00C01BB2"/>
    <w:rsid w:val="00C021B7"/>
    <w:rsid w:val="00C03EB4"/>
    <w:rsid w:val="00C043A3"/>
    <w:rsid w:val="00C0480F"/>
    <w:rsid w:val="00C0774B"/>
    <w:rsid w:val="00C102EB"/>
    <w:rsid w:val="00C1043C"/>
    <w:rsid w:val="00C11894"/>
    <w:rsid w:val="00C12561"/>
    <w:rsid w:val="00C12A51"/>
    <w:rsid w:val="00C12CD1"/>
    <w:rsid w:val="00C13FE3"/>
    <w:rsid w:val="00C14A31"/>
    <w:rsid w:val="00C1591E"/>
    <w:rsid w:val="00C160F2"/>
    <w:rsid w:val="00C174C3"/>
    <w:rsid w:val="00C20D36"/>
    <w:rsid w:val="00C21038"/>
    <w:rsid w:val="00C2163F"/>
    <w:rsid w:val="00C21D5E"/>
    <w:rsid w:val="00C21D7B"/>
    <w:rsid w:val="00C223C3"/>
    <w:rsid w:val="00C2396B"/>
    <w:rsid w:val="00C240DA"/>
    <w:rsid w:val="00C270AB"/>
    <w:rsid w:val="00C2785F"/>
    <w:rsid w:val="00C2797D"/>
    <w:rsid w:val="00C30625"/>
    <w:rsid w:val="00C30BA6"/>
    <w:rsid w:val="00C31467"/>
    <w:rsid w:val="00C3267B"/>
    <w:rsid w:val="00C335FF"/>
    <w:rsid w:val="00C34750"/>
    <w:rsid w:val="00C34CCB"/>
    <w:rsid w:val="00C34D30"/>
    <w:rsid w:val="00C34D57"/>
    <w:rsid w:val="00C35515"/>
    <w:rsid w:val="00C35807"/>
    <w:rsid w:val="00C35A4B"/>
    <w:rsid w:val="00C36512"/>
    <w:rsid w:val="00C36696"/>
    <w:rsid w:val="00C36720"/>
    <w:rsid w:val="00C373F2"/>
    <w:rsid w:val="00C37518"/>
    <w:rsid w:val="00C37F00"/>
    <w:rsid w:val="00C421C9"/>
    <w:rsid w:val="00C426E7"/>
    <w:rsid w:val="00C42A3A"/>
    <w:rsid w:val="00C435FF"/>
    <w:rsid w:val="00C436A0"/>
    <w:rsid w:val="00C43B82"/>
    <w:rsid w:val="00C44C6F"/>
    <w:rsid w:val="00C4517F"/>
    <w:rsid w:val="00C45232"/>
    <w:rsid w:val="00C46533"/>
    <w:rsid w:val="00C46E94"/>
    <w:rsid w:val="00C50CEC"/>
    <w:rsid w:val="00C50FE5"/>
    <w:rsid w:val="00C52BA5"/>
    <w:rsid w:val="00C53323"/>
    <w:rsid w:val="00C54AA2"/>
    <w:rsid w:val="00C54D8C"/>
    <w:rsid w:val="00C55815"/>
    <w:rsid w:val="00C55B0F"/>
    <w:rsid w:val="00C55BBB"/>
    <w:rsid w:val="00C578DC"/>
    <w:rsid w:val="00C61FFB"/>
    <w:rsid w:val="00C634B0"/>
    <w:rsid w:val="00C662EA"/>
    <w:rsid w:val="00C66CEF"/>
    <w:rsid w:val="00C670FE"/>
    <w:rsid w:val="00C67846"/>
    <w:rsid w:val="00C70510"/>
    <w:rsid w:val="00C70916"/>
    <w:rsid w:val="00C71087"/>
    <w:rsid w:val="00C7163E"/>
    <w:rsid w:val="00C71E3C"/>
    <w:rsid w:val="00C7267B"/>
    <w:rsid w:val="00C73B2C"/>
    <w:rsid w:val="00C75492"/>
    <w:rsid w:val="00C77C78"/>
    <w:rsid w:val="00C77E10"/>
    <w:rsid w:val="00C800B7"/>
    <w:rsid w:val="00C811E3"/>
    <w:rsid w:val="00C8146C"/>
    <w:rsid w:val="00C81E6A"/>
    <w:rsid w:val="00C8308D"/>
    <w:rsid w:val="00C846DD"/>
    <w:rsid w:val="00C85CA6"/>
    <w:rsid w:val="00C86D2B"/>
    <w:rsid w:val="00C90B4C"/>
    <w:rsid w:val="00C9147E"/>
    <w:rsid w:val="00C925ED"/>
    <w:rsid w:val="00C9339F"/>
    <w:rsid w:val="00C95205"/>
    <w:rsid w:val="00C95A82"/>
    <w:rsid w:val="00C96A10"/>
    <w:rsid w:val="00C9753B"/>
    <w:rsid w:val="00C9757A"/>
    <w:rsid w:val="00CA06FC"/>
    <w:rsid w:val="00CA0C87"/>
    <w:rsid w:val="00CA19CD"/>
    <w:rsid w:val="00CA1E7D"/>
    <w:rsid w:val="00CA2284"/>
    <w:rsid w:val="00CA4A62"/>
    <w:rsid w:val="00CA561E"/>
    <w:rsid w:val="00CA659E"/>
    <w:rsid w:val="00CB23DD"/>
    <w:rsid w:val="00CB2757"/>
    <w:rsid w:val="00CB2C79"/>
    <w:rsid w:val="00CB2FE7"/>
    <w:rsid w:val="00CB387C"/>
    <w:rsid w:val="00CB3B57"/>
    <w:rsid w:val="00CB42AE"/>
    <w:rsid w:val="00CB63FC"/>
    <w:rsid w:val="00CB64AA"/>
    <w:rsid w:val="00CB6768"/>
    <w:rsid w:val="00CB71D1"/>
    <w:rsid w:val="00CB75AB"/>
    <w:rsid w:val="00CB77F8"/>
    <w:rsid w:val="00CB78EB"/>
    <w:rsid w:val="00CC15E6"/>
    <w:rsid w:val="00CC17DB"/>
    <w:rsid w:val="00CC1871"/>
    <w:rsid w:val="00CC18D5"/>
    <w:rsid w:val="00CC1CC6"/>
    <w:rsid w:val="00CC2F01"/>
    <w:rsid w:val="00CC4426"/>
    <w:rsid w:val="00CC6453"/>
    <w:rsid w:val="00CD04FD"/>
    <w:rsid w:val="00CD2A0F"/>
    <w:rsid w:val="00CD2D8A"/>
    <w:rsid w:val="00CD31EA"/>
    <w:rsid w:val="00CD61A5"/>
    <w:rsid w:val="00CD692F"/>
    <w:rsid w:val="00CD6A03"/>
    <w:rsid w:val="00CD7F23"/>
    <w:rsid w:val="00CE0392"/>
    <w:rsid w:val="00CE0624"/>
    <w:rsid w:val="00CE0B9A"/>
    <w:rsid w:val="00CE5481"/>
    <w:rsid w:val="00CE5866"/>
    <w:rsid w:val="00CE775C"/>
    <w:rsid w:val="00CF0045"/>
    <w:rsid w:val="00CF19DC"/>
    <w:rsid w:val="00CF4177"/>
    <w:rsid w:val="00CF5B82"/>
    <w:rsid w:val="00CF7194"/>
    <w:rsid w:val="00CF7C90"/>
    <w:rsid w:val="00CF7DCB"/>
    <w:rsid w:val="00CF7EA0"/>
    <w:rsid w:val="00D00600"/>
    <w:rsid w:val="00D0329F"/>
    <w:rsid w:val="00D06299"/>
    <w:rsid w:val="00D06796"/>
    <w:rsid w:val="00D1045D"/>
    <w:rsid w:val="00D12A6E"/>
    <w:rsid w:val="00D133AA"/>
    <w:rsid w:val="00D13B0B"/>
    <w:rsid w:val="00D13CCF"/>
    <w:rsid w:val="00D14CF7"/>
    <w:rsid w:val="00D15E67"/>
    <w:rsid w:val="00D173B6"/>
    <w:rsid w:val="00D1773C"/>
    <w:rsid w:val="00D20ABB"/>
    <w:rsid w:val="00D22018"/>
    <w:rsid w:val="00D2431C"/>
    <w:rsid w:val="00D24AEE"/>
    <w:rsid w:val="00D24B1E"/>
    <w:rsid w:val="00D25264"/>
    <w:rsid w:val="00D26A33"/>
    <w:rsid w:val="00D3039E"/>
    <w:rsid w:val="00D305BC"/>
    <w:rsid w:val="00D306BE"/>
    <w:rsid w:val="00D3073E"/>
    <w:rsid w:val="00D31676"/>
    <w:rsid w:val="00D316C8"/>
    <w:rsid w:val="00D31916"/>
    <w:rsid w:val="00D31C2C"/>
    <w:rsid w:val="00D31CF6"/>
    <w:rsid w:val="00D32633"/>
    <w:rsid w:val="00D337D5"/>
    <w:rsid w:val="00D3410D"/>
    <w:rsid w:val="00D3435C"/>
    <w:rsid w:val="00D344BC"/>
    <w:rsid w:val="00D34817"/>
    <w:rsid w:val="00D34E17"/>
    <w:rsid w:val="00D35409"/>
    <w:rsid w:val="00D365BB"/>
    <w:rsid w:val="00D369F1"/>
    <w:rsid w:val="00D3795A"/>
    <w:rsid w:val="00D37AB5"/>
    <w:rsid w:val="00D40C74"/>
    <w:rsid w:val="00D43282"/>
    <w:rsid w:val="00D43EA4"/>
    <w:rsid w:val="00D444DD"/>
    <w:rsid w:val="00D44508"/>
    <w:rsid w:val="00D47810"/>
    <w:rsid w:val="00D50A9C"/>
    <w:rsid w:val="00D5128E"/>
    <w:rsid w:val="00D52FD0"/>
    <w:rsid w:val="00D54385"/>
    <w:rsid w:val="00D5552F"/>
    <w:rsid w:val="00D557BE"/>
    <w:rsid w:val="00D55FA5"/>
    <w:rsid w:val="00D6259C"/>
    <w:rsid w:val="00D627CF"/>
    <w:rsid w:val="00D62FDB"/>
    <w:rsid w:val="00D638B1"/>
    <w:rsid w:val="00D63B91"/>
    <w:rsid w:val="00D64A4A"/>
    <w:rsid w:val="00D6553B"/>
    <w:rsid w:val="00D65631"/>
    <w:rsid w:val="00D65BE0"/>
    <w:rsid w:val="00D66746"/>
    <w:rsid w:val="00D6679C"/>
    <w:rsid w:val="00D70410"/>
    <w:rsid w:val="00D71A99"/>
    <w:rsid w:val="00D733D9"/>
    <w:rsid w:val="00D73753"/>
    <w:rsid w:val="00D737F5"/>
    <w:rsid w:val="00D73EE6"/>
    <w:rsid w:val="00D742D2"/>
    <w:rsid w:val="00D744DC"/>
    <w:rsid w:val="00D7570C"/>
    <w:rsid w:val="00D75CF7"/>
    <w:rsid w:val="00D75F59"/>
    <w:rsid w:val="00D776C3"/>
    <w:rsid w:val="00D80153"/>
    <w:rsid w:val="00D8114A"/>
    <w:rsid w:val="00D818C8"/>
    <w:rsid w:val="00D8196E"/>
    <w:rsid w:val="00D81AC7"/>
    <w:rsid w:val="00D823CE"/>
    <w:rsid w:val="00D830AA"/>
    <w:rsid w:val="00D8495C"/>
    <w:rsid w:val="00D86737"/>
    <w:rsid w:val="00D8696A"/>
    <w:rsid w:val="00D90033"/>
    <w:rsid w:val="00D90810"/>
    <w:rsid w:val="00D9153B"/>
    <w:rsid w:val="00D93369"/>
    <w:rsid w:val="00D93E2C"/>
    <w:rsid w:val="00D952A1"/>
    <w:rsid w:val="00D953D7"/>
    <w:rsid w:val="00D95903"/>
    <w:rsid w:val="00D95D78"/>
    <w:rsid w:val="00DA078E"/>
    <w:rsid w:val="00DA0810"/>
    <w:rsid w:val="00DA0851"/>
    <w:rsid w:val="00DA3A48"/>
    <w:rsid w:val="00DA3FCE"/>
    <w:rsid w:val="00DA40E9"/>
    <w:rsid w:val="00DA444F"/>
    <w:rsid w:val="00DA4591"/>
    <w:rsid w:val="00DA60DD"/>
    <w:rsid w:val="00DA6944"/>
    <w:rsid w:val="00DB3462"/>
    <w:rsid w:val="00DB34EF"/>
    <w:rsid w:val="00DB3671"/>
    <w:rsid w:val="00DB39A7"/>
    <w:rsid w:val="00DB40D6"/>
    <w:rsid w:val="00DB4203"/>
    <w:rsid w:val="00DB5013"/>
    <w:rsid w:val="00DB5A01"/>
    <w:rsid w:val="00DB5A2B"/>
    <w:rsid w:val="00DB6C6F"/>
    <w:rsid w:val="00DB7005"/>
    <w:rsid w:val="00DB711C"/>
    <w:rsid w:val="00DB7B39"/>
    <w:rsid w:val="00DB7CA1"/>
    <w:rsid w:val="00DC0144"/>
    <w:rsid w:val="00DC22DC"/>
    <w:rsid w:val="00DC25DA"/>
    <w:rsid w:val="00DC4C59"/>
    <w:rsid w:val="00DC5149"/>
    <w:rsid w:val="00DC6868"/>
    <w:rsid w:val="00DC73AD"/>
    <w:rsid w:val="00DD1B88"/>
    <w:rsid w:val="00DD2A43"/>
    <w:rsid w:val="00DD2A91"/>
    <w:rsid w:val="00DD3C08"/>
    <w:rsid w:val="00DD42ED"/>
    <w:rsid w:val="00DD717C"/>
    <w:rsid w:val="00DE0476"/>
    <w:rsid w:val="00DE0D6A"/>
    <w:rsid w:val="00DE1B94"/>
    <w:rsid w:val="00DE239F"/>
    <w:rsid w:val="00DE2AAC"/>
    <w:rsid w:val="00DE2C56"/>
    <w:rsid w:val="00DE3650"/>
    <w:rsid w:val="00DE6BFE"/>
    <w:rsid w:val="00DE7A42"/>
    <w:rsid w:val="00DE7CF8"/>
    <w:rsid w:val="00DF0618"/>
    <w:rsid w:val="00DF1125"/>
    <w:rsid w:val="00DF15EF"/>
    <w:rsid w:val="00DF192D"/>
    <w:rsid w:val="00DF1F50"/>
    <w:rsid w:val="00DF27AC"/>
    <w:rsid w:val="00DF286A"/>
    <w:rsid w:val="00DF28E7"/>
    <w:rsid w:val="00DF2E6D"/>
    <w:rsid w:val="00DF3228"/>
    <w:rsid w:val="00DF3408"/>
    <w:rsid w:val="00DF38E8"/>
    <w:rsid w:val="00DF399A"/>
    <w:rsid w:val="00DF3B70"/>
    <w:rsid w:val="00DF42C4"/>
    <w:rsid w:val="00DF5AEB"/>
    <w:rsid w:val="00DF6280"/>
    <w:rsid w:val="00DF65F4"/>
    <w:rsid w:val="00DF6FFD"/>
    <w:rsid w:val="00DF7B14"/>
    <w:rsid w:val="00E00009"/>
    <w:rsid w:val="00E014D0"/>
    <w:rsid w:val="00E01EF4"/>
    <w:rsid w:val="00E02CF2"/>
    <w:rsid w:val="00E0376A"/>
    <w:rsid w:val="00E0448C"/>
    <w:rsid w:val="00E04947"/>
    <w:rsid w:val="00E069F7"/>
    <w:rsid w:val="00E06C35"/>
    <w:rsid w:val="00E0710D"/>
    <w:rsid w:val="00E07F71"/>
    <w:rsid w:val="00E10941"/>
    <w:rsid w:val="00E10CF4"/>
    <w:rsid w:val="00E114D8"/>
    <w:rsid w:val="00E12A07"/>
    <w:rsid w:val="00E1347F"/>
    <w:rsid w:val="00E140B9"/>
    <w:rsid w:val="00E14881"/>
    <w:rsid w:val="00E16190"/>
    <w:rsid w:val="00E1621B"/>
    <w:rsid w:val="00E16453"/>
    <w:rsid w:val="00E17113"/>
    <w:rsid w:val="00E1750D"/>
    <w:rsid w:val="00E20C0D"/>
    <w:rsid w:val="00E21114"/>
    <w:rsid w:val="00E222A7"/>
    <w:rsid w:val="00E22B84"/>
    <w:rsid w:val="00E24758"/>
    <w:rsid w:val="00E24F03"/>
    <w:rsid w:val="00E26045"/>
    <w:rsid w:val="00E26BDB"/>
    <w:rsid w:val="00E27304"/>
    <w:rsid w:val="00E3017B"/>
    <w:rsid w:val="00E309CE"/>
    <w:rsid w:val="00E310C8"/>
    <w:rsid w:val="00E31377"/>
    <w:rsid w:val="00E315B8"/>
    <w:rsid w:val="00E320E2"/>
    <w:rsid w:val="00E32A14"/>
    <w:rsid w:val="00E3309C"/>
    <w:rsid w:val="00E337F5"/>
    <w:rsid w:val="00E339E4"/>
    <w:rsid w:val="00E34358"/>
    <w:rsid w:val="00E348DE"/>
    <w:rsid w:val="00E34EBC"/>
    <w:rsid w:val="00E37211"/>
    <w:rsid w:val="00E37564"/>
    <w:rsid w:val="00E37848"/>
    <w:rsid w:val="00E4034D"/>
    <w:rsid w:val="00E404B3"/>
    <w:rsid w:val="00E40570"/>
    <w:rsid w:val="00E40D34"/>
    <w:rsid w:val="00E418B4"/>
    <w:rsid w:val="00E41EE7"/>
    <w:rsid w:val="00E42084"/>
    <w:rsid w:val="00E44854"/>
    <w:rsid w:val="00E453AD"/>
    <w:rsid w:val="00E458C2"/>
    <w:rsid w:val="00E45BB1"/>
    <w:rsid w:val="00E47F68"/>
    <w:rsid w:val="00E514F9"/>
    <w:rsid w:val="00E52E3B"/>
    <w:rsid w:val="00E53602"/>
    <w:rsid w:val="00E53D68"/>
    <w:rsid w:val="00E5435C"/>
    <w:rsid w:val="00E55140"/>
    <w:rsid w:val="00E55808"/>
    <w:rsid w:val="00E559B9"/>
    <w:rsid w:val="00E559EA"/>
    <w:rsid w:val="00E5696D"/>
    <w:rsid w:val="00E56E45"/>
    <w:rsid w:val="00E56F64"/>
    <w:rsid w:val="00E60243"/>
    <w:rsid w:val="00E60DA2"/>
    <w:rsid w:val="00E6161C"/>
    <w:rsid w:val="00E62DEC"/>
    <w:rsid w:val="00E63233"/>
    <w:rsid w:val="00E64C64"/>
    <w:rsid w:val="00E64CD1"/>
    <w:rsid w:val="00E64F2C"/>
    <w:rsid w:val="00E65F8A"/>
    <w:rsid w:val="00E65F8D"/>
    <w:rsid w:val="00E66ECB"/>
    <w:rsid w:val="00E67486"/>
    <w:rsid w:val="00E702BA"/>
    <w:rsid w:val="00E70C4B"/>
    <w:rsid w:val="00E727CE"/>
    <w:rsid w:val="00E737E2"/>
    <w:rsid w:val="00E73956"/>
    <w:rsid w:val="00E749E1"/>
    <w:rsid w:val="00E75234"/>
    <w:rsid w:val="00E75CFB"/>
    <w:rsid w:val="00E8007A"/>
    <w:rsid w:val="00E80265"/>
    <w:rsid w:val="00E80578"/>
    <w:rsid w:val="00E80B43"/>
    <w:rsid w:val="00E81D87"/>
    <w:rsid w:val="00E82FC9"/>
    <w:rsid w:val="00E831B9"/>
    <w:rsid w:val="00E833CB"/>
    <w:rsid w:val="00E83995"/>
    <w:rsid w:val="00E83CBA"/>
    <w:rsid w:val="00E83D2E"/>
    <w:rsid w:val="00E83FB2"/>
    <w:rsid w:val="00E90615"/>
    <w:rsid w:val="00E90752"/>
    <w:rsid w:val="00E91D69"/>
    <w:rsid w:val="00E91FE0"/>
    <w:rsid w:val="00E92AE8"/>
    <w:rsid w:val="00E92C03"/>
    <w:rsid w:val="00E9324A"/>
    <w:rsid w:val="00E933D6"/>
    <w:rsid w:val="00E93AEA"/>
    <w:rsid w:val="00E95AC2"/>
    <w:rsid w:val="00E96D88"/>
    <w:rsid w:val="00E97167"/>
    <w:rsid w:val="00E97C8C"/>
    <w:rsid w:val="00E97DBB"/>
    <w:rsid w:val="00EA0169"/>
    <w:rsid w:val="00EA3781"/>
    <w:rsid w:val="00EA5023"/>
    <w:rsid w:val="00EA613D"/>
    <w:rsid w:val="00EA7061"/>
    <w:rsid w:val="00EB13FE"/>
    <w:rsid w:val="00EB254B"/>
    <w:rsid w:val="00EB2857"/>
    <w:rsid w:val="00EB2E19"/>
    <w:rsid w:val="00EB2E71"/>
    <w:rsid w:val="00EB39F1"/>
    <w:rsid w:val="00EB472E"/>
    <w:rsid w:val="00EB472F"/>
    <w:rsid w:val="00EB5434"/>
    <w:rsid w:val="00EB5D6C"/>
    <w:rsid w:val="00EB6A8F"/>
    <w:rsid w:val="00EB6A9B"/>
    <w:rsid w:val="00EB6D56"/>
    <w:rsid w:val="00EB70B0"/>
    <w:rsid w:val="00EB76D6"/>
    <w:rsid w:val="00EC0178"/>
    <w:rsid w:val="00EC049F"/>
    <w:rsid w:val="00EC0D4E"/>
    <w:rsid w:val="00EC63B5"/>
    <w:rsid w:val="00EC75C2"/>
    <w:rsid w:val="00ED024E"/>
    <w:rsid w:val="00ED0A72"/>
    <w:rsid w:val="00ED153E"/>
    <w:rsid w:val="00ED1917"/>
    <w:rsid w:val="00ED194C"/>
    <w:rsid w:val="00ED22C6"/>
    <w:rsid w:val="00ED2C26"/>
    <w:rsid w:val="00ED3898"/>
    <w:rsid w:val="00ED5225"/>
    <w:rsid w:val="00ED5EC2"/>
    <w:rsid w:val="00ED7264"/>
    <w:rsid w:val="00EE0DF2"/>
    <w:rsid w:val="00EE12C2"/>
    <w:rsid w:val="00EE21DD"/>
    <w:rsid w:val="00EE220A"/>
    <w:rsid w:val="00EE235E"/>
    <w:rsid w:val="00EE56DF"/>
    <w:rsid w:val="00EF1A24"/>
    <w:rsid w:val="00EF1BF1"/>
    <w:rsid w:val="00EF5460"/>
    <w:rsid w:val="00EF5F15"/>
    <w:rsid w:val="00EF6B36"/>
    <w:rsid w:val="00EF71E1"/>
    <w:rsid w:val="00F000EE"/>
    <w:rsid w:val="00F01AB7"/>
    <w:rsid w:val="00F01BD5"/>
    <w:rsid w:val="00F0264E"/>
    <w:rsid w:val="00F03720"/>
    <w:rsid w:val="00F03E21"/>
    <w:rsid w:val="00F048FE"/>
    <w:rsid w:val="00F05EAF"/>
    <w:rsid w:val="00F06508"/>
    <w:rsid w:val="00F06D7C"/>
    <w:rsid w:val="00F1049D"/>
    <w:rsid w:val="00F10668"/>
    <w:rsid w:val="00F119F0"/>
    <w:rsid w:val="00F147FD"/>
    <w:rsid w:val="00F15CCF"/>
    <w:rsid w:val="00F15FC1"/>
    <w:rsid w:val="00F17762"/>
    <w:rsid w:val="00F17BAA"/>
    <w:rsid w:val="00F23C5A"/>
    <w:rsid w:val="00F23E91"/>
    <w:rsid w:val="00F24793"/>
    <w:rsid w:val="00F2736B"/>
    <w:rsid w:val="00F277D4"/>
    <w:rsid w:val="00F30923"/>
    <w:rsid w:val="00F31104"/>
    <w:rsid w:val="00F318A8"/>
    <w:rsid w:val="00F31C38"/>
    <w:rsid w:val="00F32A01"/>
    <w:rsid w:val="00F33E65"/>
    <w:rsid w:val="00F3432B"/>
    <w:rsid w:val="00F34E93"/>
    <w:rsid w:val="00F354E1"/>
    <w:rsid w:val="00F35C2F"/>
    <w:rsid w:val="00F36766"/>
    <w:rsid w:val="00F36870"/>
    <w:rsid w:val="00F36B5E"/>
    <w:rsid w:val="00F414E5"/>
    <w:rsid w:val="00F4474B"/>
    <w:rsid w:val="00F44FD0"/>
    <w:rsid w:val="00F45604"/>
    <w:rsid w:val="00F45DA3"/>
    <w:rsid w:val="00F47503"/>
    <w:rsid w:val="00F513E5"/>
    <w:rsid w:val="00F5219B"/>
    <w:rsid w:val="00F53138"/>
    <w:rsid w:val="00F534C0"/>
    <w:rsid w:val="00F540F1"/>
    <w:rsid w:val="00F54930"/>
    <w:rsid w:val="00F5523B"/>
    <w:rsid w:val="00F5619C"/>
    <w:rsid w:val="00F564BA"/>
    <w:rsid w:val="00F578D3"/>
    <w:rsid w:val="00F623B6"/>
    <w:rsid w:val="00F6280F"/>
    <w:rsid w:val="00F62819"/>
    <w:rsid w:val="00F6394B"/>
    <w:rsid w:val="00F63962"/>
    <w:rsid w:val="00F64604"/>
    <w:rsid w:val="00F66347"/>
    <w:rsid w:val="00F6653B"/>
    <w:rsid w:val="00F665D0"/>
    <w:rsid w:val="00F66B0C"/>
    <w:rsid w:val="00F66E83"/>
    <w:rsid w:val="00F6778E"/>
    <w:rsid w:val="00F701B6"/>
    <w:rsid w:val="00F708D9"/>
    <w:rsid w:val="00F70AE7"/>
    <w:rsid w:val="00F7126B"/>
    <w:rsid w:val="00F7196A"/>
    <w:rsid w:val="00F720FB"/>
    <w:rsid w:val="00F721C2"/>
    <w:rsid w:val="00F731A2"/>
    <w:rsid w:val="00F733A0"/>
    <w:rsid w:val="00F743F8"/>
    <w:rsid w:val="00F80602"/>
    <w:rsid w:val="00F81376"/>
    <w:rsid w:val="00F8192C"/>
    <w:rsid w:val="00F8458C"/>
    <w:rsid w:val="00F84C20"/>
    <w:rsid w:val="00F85D2E"/>
    <w:rsid w:val="00F85DB3"/>
    <w:rsid w:val="00F87347"/>
    <w:rsid w:val="00F877A4"/>
    <w:rsid w:val="00F90B98"/>
    <w:rsid w:val="00F90F97"/>
    <w:rsid w:val="00F92112"/>
    <w:rsid w:val="00F9230A"/>
    <w:rsid w:val="00F92366"/>
    <w:rsid w:val="00F92753"/>
    <w:rsid w:val="00F92AE6"/>
    <w:rsid w:val="00F92CA5"/>
    <w:rsid w:val="00F936AA"/>
    <w:rsid w:val="00F950E5"/>
    <w:rsid w:val="00F9598E"/>
    <w:rsid w:val="00F9607E"/>
    <w:rsid w:val="00F961E5"/>
    <w:rsid w:val="00F96550"/>
    <w:rsid w:val="00F96B32"/>
    <w:rsid w:val="00F9735A"/>
    <w:rsid w:val="00F97A0D"/>
    <w:rsid w:val="00FA04CC"/>
    <w:rsid w:val="00FA40D4"/>
    <w:rsid w:val="00FA42F4"/>
    <w:rsid w:val="00FA4637"/>
    <w:rsid w:val="00FA52E9"/>
    <w:rsid w:val="00FA6502"/>
    <w:rsid w:val="00FA6DFD"/>
    <w:rsid w:val="00FA753B"/>
    <w:rsid w:val="00FA7A3B"/>
    <w:rsid w:val="00FB0730"/>
    <w:rsid w:val="00FB0BC1"/>
    <w:rsid w:val="00FB0EF2"/>
    <w:rsid w:val="00FB14A0"/>
    <w:rsid w:val="00FB3644"/>
    <w:rsid w:val="00FB4165"/>
    <w:rsid w:val="00FB4E4A"/>
    <w:rsid w:val="00FB51A0"/>
    <w:rsid w:val="00FB6C77"/>
    <w:rsid w:val="00FB6D3A"/>
    <w:rsid w:val="00FB7924"/>
    <w:rsid w:val="00FB7F35"/>
    <w:rsid w:val="00FC11D6"/>
    <w:rsid w:val="00FC1CF1"/>
    <w:rsid w:val="00FC48DD"/>
    <w:rsid w:val="00FC5506"/>
    <w:rsid w:val="00FC569E"/>
    <w:rsid w:val="00FC67E5"/>
    <w:rsid w:val="00FC6BFF"/>
    <w:rsid w:val="00FC6C3E"/>
    <w:rsid w:val="00FD0071"/>
    <w:rsid w:val="00FD04EB"/>
    <w:rsid w:val="00FD1036"/>
    <w:rsid w:val="00FD131D"/>
    <w:rsid w:val="00FD1A13"/>
    <w:rsid w:val="00FD3DB0"/>
    <w:rsid w:val="00FD5177"/>
    <w:rsid w:val="00FD5504"/>
    <w:rsid w:val="00FD6D1F"/>
    <w:rsid w:val="00FE003E"/>
    <w:rsid w:val="00FE1D39"/>
    <w:rsid w:val="00FE1E82"/>
    <w:rsid w:val="00FE2C04"/>
    <w:rsid w:val="00FE35E1"/>
    <w:rsid w:val="00FE3E88"/>
    <w:rsid w:val="00FE5C5E"/>
    <w:rsid w:val="00FE6D86"/>
    <w:rsid w:val="00FE7A7C"/>
    <w:rsid w:val="00FF05B8"/>
    <w:rsid w:val="00FF09C2"/>
    <w:rsid w:val="00FF0DA7"/>
    <w:rsid w:val="00FF120D"/>
    <w:rsid w:val="00FF284F"/>
    <w:rsid w:val="00FF3276"/>
    <w:rsid w:val="00FF45CD"/>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40FA7CF5-1AA7-48DA-BB60-0F75F1D5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ft,single space,footnote text,Geneva 9,Font: Geneva 9,Boston 10,f,Footnote Text Quote,fn,Footnote Text Char6,Footnote Text Char Char3,Footnote Text Char6 Char1 Char,Footnote Text Char Char3 Char1 Char1,Char, Char,Footnote Text Char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FNRefe Char Char Char,BVI fnr Char Char Char,BVI fnr Char Char Char Char,BVI fnr Car Car Char Char Char Char,BVI fnr Car Char Char Char Char,BVI fnr Car Car Car Car Char Char Char Char Char Char Char"/>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Bullets,References,List Paragraph2,norma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uiPriority w:val="99"/>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t Char,single space Char,footnote text Char,Geneva 9 Char,Font: Geneva 9 Char,Boston 10 Char,f Char,Footnote Text Quote Char,fn Char,Footnote Text Char6 Char,Footnote Text Char Char3 Char,Footnote Text Char6 Char1 Char Char,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Bullets Char,References Char,List Paragraph2 Char,normal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Default">
    <w:name w:val="Default"/>
    <w:rsid w:val="00C61FFB"/>
    <w:pPr>
      <w:autoSpaceDE w:val="0"/>
      <w:autoSpaceDN w:val="0"/>
      <w:adjustRightInd w:val="0"/>
    </w:pPr>
    <w:rPr>
      <w:rFonts w:ascii="Calibri" w:eastAsia="Calibri" w:hAnsi="Calibri" w:cs="Calibri"/>
      <w:color w:val="000000"/>
      <w:sz w:val="24"/>
      <w:szCs w:val="24"/>
    </w:rPr>
  </w:style>
  <w:style w:type="paragraph" w:customStyle="1" w:styleId="level2">
    <w:name w:val="_level2"/>
    <w:rsid w:val="001107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pPr>
    <w:rPr>
      <w:sz w:val="24"/>
      <w:szCs w:val="24"/>
      <w:lang w:val="en-US" w:eastAsia="en-US"/>
    </w:rPr>
  </w:style>
  <w:style w:type="paragraph" w:styleId="NormalWeb">
    <w:name w:val="Normal (Web)"/>
    <w:basedOn w:val="Normal"/>
    <w:uiPriority w:val="99"/>
    <w:unhideWhenUsed/>
    <w:rsid w:val="00110722"/>
    <w:pPr>
      <w:spacing w:before="100" w:beforeAutospacing="1" w:after="100" w:afterAutospacing="1"/>
    </w:pPr>
    <w:rPr>
      <w:rFonts w:eastAsiaTheme="minorEastAsia"/>
      <w:sz w:val="24"/>
      <w:szCs w:val="24"/>
      <w:lang w:eastAsia="zh-CN"/>
    </w:rPr>
  </w:style>
  <w:style w:type="paragraph" w:styleId="NoSpacing">
    <w:name w:val="No Spacing"/>
    <w:uiPriority w:val="1"/>
    <w:qFormat/>
    <w:rsid w:val="006A1522"/>
    <w:rPr>
      <w:rFonts w:asciiTheme="minorHAnsi" w:eastAsiaTheme="minorHAnsi" w:hAnsiTheme="minorHAnsi" w:cstheme="minorBidi"/>
      <w:sz w:val="22"/>
      <w:szCs w:val="22"/>
      <w:lang w:val="en-US" w:eastAsia="en-US"/>
    </w:rPr>
  </w:style>
  <w:style w:type="character" w:styleId="Emphasis">
    <w:name w:val="Emphasis"/>
    <w:basedOn w:val="DefaultParagraphFont"/>
    <w:uiPriority w:val="20"/>
    <w:qFormat/>
    <w:locked/>
    <w:rsid w:val="00F36766"/>
    <w:rPr>
      <w:b/>
      <w:bCs/>
      <w:i w:val="0"/>
      <w:iCs w:val="0"/>
    </w:rPr>
  </w:style>
  <w:style w:type="character" w:customStyle="1" w:styleId="st1">
    <w:name w:val="st1"/>
    <w:basedOn w:val="DefaultParagraphFont"/>
    <w:rsid w:val="00F36766"/>
  </w:style>
  <w:style w:type="character" w:customStyle="1" w:styleId="apple-converted-space">
    <w:name w:val="apple-converted-space"/>
    <w:basedOn w:val="DefaultParagraphFont"/>
    <w:rsid w:val="001278EA"/>
  </w:style>
  <w:style w:type="character" w:customStyle="1" w:styleId="answertext">
    <w:name w:val="answer_text"/>
    <w:basedOn w:val="DefaultParagraphFont"/>
    <w:rsid w:val="00B34CD4"/>
  </w:style>
  <w:style w:type="paragraph" w:styleId="EndnoteText">
    <w:name w:val="endnote text"/>
    <w:basedOn w:val="Normal"/>
    <w:link w:val="EndnoteTextChar"/>
    <w:semiHidden/>
    <w:unhideWhenUsed/>
    <w:rsid w:val="00971930"/>
  </w:style>
  <w:style w:type="character" w:customStyle="1" w:styleId="EndnoteTextChar">
    <w:name w:val="Endnote Text Char"/>
    <w:basedOn w:val="DefaultParagraphFont"/>
    <w:link w:val="EndnoteText"/>
    <w:semiHidden/>
    <w:rsid w:val="00971930"/>
    <w:rPr>
      <w:lang w:val="en-US" w:eastAsia="en-US"/>
    </w:rPr>
  </w:style>
  <w:style w:type="character" w:styleId="EndnoteReference">
    <w:name w:val="endnote reference"/>
    <w:basedOn w:val="DefaultParagraphFont"/>
    <w:semiHidden/>
    <w:unhideWhenUsed/>
    <w:rsid w:val="00971930"/>
    <w:rPr>
      <w:vertAlign w:val="superscript"/>
    </w:rPr>
  </w:style>
  <w:style w:type="character" w:styleId="Strong">
    <w:name w:val="Strong"/>
    <w:basedOn w:val="DefaultParagraphFont"/>
    <w:uiPriority w:val="22"/>
    <w:qFormat/>
    <w:locked/>
    <w:rsid w:val="00942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85462661">
      <w:bodyDiv w:val="1"/>
      <w:marLeft w:val="0"/>
      <w:marRight w:val="0"/>
      <w:marTop w:val="0"/>
      <w:marBottom w:val="0"/>
      <w:divBdr>
        <w:top w:val="none" w:sz="0" w:space="0" w:color="auto"/>
        <w:left w:val="none" w:sz="0" w:space="0" w:color="auto"/>
        <w:bottom w:val="none" w:sz="0" w:space="0" w:color="auto"/>
        <w:right w:val="none" w:sz="0" w:space="0" w:color="auto"/>
      </w:divBdr>
    </w:div>
    <w:div w:id="519970180">
      <w:bodyDiv w:val="1"/>
      <w:marLeft w:val="0"/>
      <w:marRight w:val="0"/>
      <w:marTop w:val="0"/>
      <w:marBottom w:val="0"/>
      <w:divBdr>
        <w:top w:val="none" w:sz="0" w:space="0" w:color="auto"/>
        <w:left w:val="none" w:sz="0" w:space="0" w:color="auto"/>
        <w:bottom w:val="none" w:sz="0" w:space="0" w:color="auto"/>
        <w:right w:val="none" w:sz="0" w:space="0" w:color="auto"/>
      </w:divBdr>
      <w:divsChild>
        <w:div w:id="1337072680">
          <w:marLeft w:val="0"/>
          <w:marRight w:val="0"/>
          <w:marTop w:val="0"/>
          <w:marBottom w:val="0"/>
          <w:divBdr>
            <w:top w:val="none" w:sz="0" w:space="0" w:color="auto"/>
            <w:left w:val="none" w:sz="0" w:space="0" w:color="auto"/>
            <w:bottom w:val="none" w:sz="0" w:space="0" w:color="auto"/>
            <w:right w:val="none" w:sz="0" w:space="0" w:color="auto"/>
          </w:divBdr>
          <w:divsChild>
            <w:div w:id="824317585">
              <w:marLeft w:val="0"/>
              <w:marRight w:val="0"/>
              <w:marTop w:val="0"/>
              <w:marBottom w:val="0"/>
              <w:divBdr>
                <w:top w:val="none" w:sz="0" w:space="0" w:color="auto"/>
                <w:left w:val="none" w:sz="0" w:space="0" w:color="auto"/>
                <w:bottom w:val="none" w:sz="0" w:space="0" w:color="auto"/>
                <w:right w:val="none" w:sz="0" w:space="0" w:color="auto"/>
              </w:divBdr>
              <w:divsChild>
                <w:div w:id="268046551">
                  <w:marLeft w:val="0"/>
                  <w:marRight w:val="0"/>
                  <w:marTop w:val="0"/>
                  <w:marBottom w:val="0"/>
                  <w:divBdr>
                    <w:top w:val="none" w:sz="0" w:space="0" w:color="auto"/>
                    <w:left w:val="none" w:sz="0" w:space="0" w:color="auto"/>
                    <w:bottom w:val="none" w:sz="0" w:space="0" w:color="auto"/>
                    <w:right w:val="none" w:sz="0" w:space="0" w:color="auto"/>
                  </w:divBdr>
                </w:div>
                <w:div w:id="34472543">
                  <w:marLeft w:val="0"/>
                  <w:marRight w:val="0"/>
                  <w:marTop w:val="0"/>
                  <w:marBottom w:val="0"/>
                  <w:divBdr>
                    <w:top w:val="none" w:sz="0" w:space="0" w:color="auto"/>
                    <w:left w:val="none" w:sz="0" w:space="0" w:color="auto"/>
                    <w:bottom w:val="none" w:sz="0" w:space="0" w:color="auto"/>
                    <w:right w:val="none" w:sz="0" w:space="0" w:color="auto"/>
                  </w:divBdr>
                </w:div>
                <w:div w:id="157430809">
                  <w:marLeft w:val="0"/>
                  <w:marRight w:val="0"/>
                  <w:marTop w:val="0"/>
                  <w:marBottom w:val="0"/>
                  <w:divBdr>
                    <w:top w:val="none" w:sz="0" w:space="0" w:color="auto"/>
                    <w:left w:val="none" w:sz="0" w:space="0" w:color="auto"/>
                    <w:bottom w:val="none" w:sz="0" w:space="0" w:color="auto"/>
                    <w:right w:val="none" w:sz="0" w:space="0" w:color="auto"/>
                  </w:divBdr>
                </w:div>
                <w:div w:id="1072773858">
                  <w:marLeft w:val="0"/>
                  <w:marRight w:val="0"/>
                  <w:marTop w:val="0"/>
                  <w:marBottom w:val="0"/>
                  <w:divBdr>
                    <w:top w:val="none" w:sz="0" w:space="0" w:color="auto"/>
                    <w:left w:val="none" w:sz="0" w:space="0" w:color="auto"/>
                    <w:bottom w:val="none" w:sz="0" w:space="0" w:color="auto"/>
                    <w:right w:val="none" w:sz="0" w:space="0" w:color="auto"/>
                  </w:divBdr>
                </w:div>
                <w:div w:id="292247561">
                  <w:marLeft w:val="0"/>
                  <w:marRight w:val="0"/>
                  <w:marTop w:val="0"/>
                  <w:marBottom w:val="0"/>
                  <w:divBdr>
                    <w:top w:val="none" w:sz="0" w:space="0" w:color="auto"/>
                    <w:left w:val="none" w:sz="0" w:space="0" w:color="auto"/>
                    <w:bottom w:val="none" w:sz="0" w:space="0" w:color="auto"/>
                    <w:right w:val="none" w:sz="0" w:space="0" w:color="auto"/>
                  </w:divBdr>
                </w:div>
                <w:div w:id="21371938">
                  <w:marLeft w:val="0"/>
                  <w:marRight w:val="0"/>
                  <w:marTop w:val="0"/>
                  <w:marBottom w:val="0"/>
                  <w:divBdr>
                    <w:top w:val="none" w:sz="0" w:space="0" w:color="auto"/>
                    <w:left w:val="none" w:sz="0" w:space="0" w:color="auto"/>
                    <w:bottom w:val="none" w:sz="0" w:space="0" w:color="auto"/>
                    <w:right w:val="none" w:sz="0" w:space="0" w:color="auto"/>
                  </w:divBdr>
                </w:div>
                <w:div w:id="1687370442">
                  <w:marLeft w:val="0"/>
                  <w:marRight w:val="0"/>
                  <w:marTop w:val="0"/>
                  <w:marBottom w:val="0"/>
                  <w:divBdr>
                    <w:top w:val="none" w:sz="0" w:space="0" w:color="auto"/>
                    <w:left w:val="none" w:sz="0" w:space="0" w:color="auto"/>
                    <w:bottom w:val="none" w:sz="0" w:space="0" w:color="auto"/>
                    <w:right w:val="none" w:sz="0" w:space="0" w:color="auto"/>
                  </w:divBdr>
                </w:div>
                <w:div w:id="1672441399">
                  <w:marLeft w:val="0"/>
                  <w:marRight w:val="0"/>
                  <w:marTop w:val="0"/>
                  <w:marBottom w:val="0"/>
                  <w:divBdr>
                    <w:top w:val="none" w:sz="0" w:space="0" w:color="auto"/>
                    <w:left w:val="none" w:sz="0" w:space="0" w:color="auto"/>
                    <w:bottom w:val="none" w:sz="0" w:space="0" w:color="auto"/>
                    <w:right w:val="none" w:sz="0" w:space="0" w:color="auto"/>
                  </w:divBdr>
                </w:div>
                <w:div w:id="1351571094">
                  <w:marLeft w:val="0"/>
                  <w:marRight w:val="0"/>
                  <w:marTop w:val="0"/>
                  <w:marBottom w:val="0"/>
                  <w:divBdr>
                    <w:top w:val="none" w:sz="0" w:space="0" w:color="auto"/>
                    <w:left w:val="none" w:sz="0" w:space="0" w:color="auto"/>
                    <w:bottom w:val="none" w:sz="0" w:space="0" w:color="auto"/>
                    <w:right w:val="none" w:sz="0" w:space="0" w:color="auto"/>
                  </w:divBdr>
                </w:div>
                <w:div w:id="1628662023">
                  <w:marLeft w:val="0"/>
                  <w:marRight w:val="0"/>
                  <w:marTop w:val="0"/>
                  <w:marBottom w:val="0"/>
                  <w:divBdr>
                    <w:top w:val="none" w:sz="0" w:space="0" w:color="auto"/>
                    <w:left w:val="none" w:sz="0" w:space="0" w:color="auto"/>
                    <w:bottom w:val="none" w:sz="0" w:space="0" w:color="auto"/>
                    <w:right w:val="none" w:sz="0" w:space="0" w:color="auto"/>
                  </w:divBdr>
                </w:div>
                <w:div w:id="1521317372">
                  <w:marLeft w:val="0"/>
                  <w:marRight w:val="0"/>
                  <w:marTop w:val="0"/>
                  <w:marBottom w:val="0"/>
                  <w:divBdr>
                    <w:top w:val="none" w:sz="0" w:space="0" w:color="auto"/>
                    <w:left w:val="none" w:sz="0" w:space="0" w:color="auto"/>
                    <w:bottom w:val="none" w:sz="0" w:space="0" w:color="auto"/>
                    <w:right w:val="none" w:sz="0" w:space="0" w:color="auto"/>
                  </w:divBdr>
                </w:div>
                <w:div w:id="1971548691">
                  <w:marLeft w:val="0"/>
                  <w:marRight w:val="0"/>
                  <w:marTop w:val="0"/>
                  <w:marBottom w:val="0"/>
                  <w:divBdr>
                    <w:top w:val="none" w:sz="0" w:space="0" w:color="auto"/>
                    <w:left w:val="none" w:sz="0" w:space="0" w:color="auto"/>
                    <w:bottom w:val="none" w:sz="0" w:space="0" w:color="auto"/>
                    <w:right w:val="none" w:sz="0" w:space="0" w:color="auto"/>
                  </w:divBdr>
                </w:div>
                <w:div w:id="1605647814">
                  <w:marLeft w:val="0"/>
                  <w:marRight w:val="0"/>
                  <w:marTop w:val="0"/>
                  <w:marBottom w:val="0"/>
                  <w:divBdr>
                    <w:top w:val="none" w:sz="0" w:space="0" w:color="auto"/>
                    <w:left w:val="none" w:sz="0" w:space="0" w:color="auto"/>
                    <w:bottom w:val="none" w:sz="0" w:space="0" w:color="auto"/>
                    <w:right w:val="none" w:sz="0" w:space="0" w:color="auto"/>
                  </w:divBdr>
                </w:div>
                <w:div w:id="1648707353">
                  <w:marLeft w:val="0"/>
                  <w:marRight w:val="0"/>
                  <w:marTop w:val="0"/>
                  <w:marBottom w:val="0"/>
                  <w:divBdr>
                    <w:top w:val="none" w:sz="0" w:space="0" w:color="auto"/>
                    <w:left w:val="none" w:sz="0" w:space="0" w:color="auto"/>
                    <w:bottom w:val="none" w:sz="0" w:space="0" w:color="auto"/>
                    <w:right w:val="none" w:sz="0" w:space="0" w:color="auto"/>
                  </w:divBdr>
                </w:div>
                <w:div w:id="833952448">
                  <w:marLeft w:val="0"/>
                  <w:marRight w:val="0"/>
                  <w:marTop w:val="0"/>
                  <w:marBottom w:val="0"/>
                  <w:divBdr>
                    <w:top w:val="none" w:sz="0" w:space="0" w:color="auto"/>
                    <w:left w:val="none" w:sz="0" w:space="0" w:color="auto"/>
                    <w:bottom w:val="none" w:sz="0" w:space="0" w:color="auto"/>
                    <w:right w:val="none" w:sz="0" w:space="0" w:color="auto"/>
                  </w:divBdr>
                </w:div>
                <w:div w:id="1168134517">
                  <w:marLeft w:val="0"/>
                  <w:marRight w:val="0"/>
                  <w:marTop w:val="0"/>
                  <w:marBottom w:val="0"/>
                  <w:divBdr>
                    <w:top w:val="none" w:sz="0" w:space="0" w:color="auto"/>
                    <w:left w:val="none" w:sz="0" w:space="0" w:color="auto"/>
                    <w:bottom w:val="none" w:sz="0" w:space="0" w:color="auto"/>
                    <w:right w:val="none" w:sz="0" w:space="0" w:color="auto"/>
                  </w:divBdr>
                </w:div>
                <w:div w:id="324624487">
                  <w:marLeft w:val="0"/>
                  <w:marRight w:val="0"/>
                  <w:marTop w:val="0"/>
                  <w:marBottom w:val="0"/>
                  <w:divBdr>
                    <w:top w:val="none" w:sz="0" w:space="0" w:color="auto"/>
                    <w:left w:val="none" w:sz="0" w:space="0" w:color="auto"/>
                    <w:bottom w:val="none" w:sz="0" w:space="0" w:color="auto"/>
                    <w:right w:val="none" w:sz="0" w:space="0" w:color="auto"/>
                  </w:divBdr>
                </w:div>
                <w:div w:id="2133940102">
                  <w:marLeft w:val="0"/>
                  <w:marRight w:val="0"/>
                  <w:marTop w:val="0"/>
                  <w:marBottom w:val="0"/>
                  <w:divBdr>
                    <w:top w:val="none" w:sz="0" w:space="0" w:color="auto"/>
                    <w:left w:val="none" w:sz="0" w:space="0" w:color="auto"/>
                    <w:bottom w:val="none" w:sz="0" w:space="0" w:color="auto"/>
                    <w:right w:val="none" w:sz="0" w:space="0" w:color="auto"/>
                  </w:divBdr>
                </w:div>
                <w:div w:id="1497064783">
                  <w:marLeft w:val="0"/>
                  <w:marRight w:val="0"/>
                  <w:marTop w:val="0"/>
                  <w:marBottom w:val="0"/>
                  <w:divBdr>
                    <w:top w:val="none" w:sz="0" w:space="0" w:color="auto"/>
                    <w:left w:val="none" w:sz="0" w:space="0" w:color="auto"/>
                    <w:bottom w:val="none" w:sz="0" w:space="0" w:color="auto"/>
                    <w:right w:val="none" w:sz="0" w:space="0" w:color="auto"/>
                  </w:divBdr>
                </w:div>
                <w:div w:id="664359462">
                  <w:marLeft w:val="0"/>
                  <w:marRight w:val="0"/>
                  <w:marTop w:val="0"/>
                  <w:marBottom w:val="0"/>
                  <w:divBdr>
                    <w:top w:val="none" w:sz="0" w:space="0" w:color="auto"/>
                    <w:left w:val="none" w:sz="0" w:space="0" w:color="auto"/>
                    <w:bottom w:val="none" w:sz="0" w:space="0" w:color="auto"/>
                    <w:right w:val="none" w:sz="0" w:space="0" w:color="auto"/>
                  </w:divBdr>
                </w:div>
                <w:div w:id="241721211">
                  <w:marLeft w:val="0"/>
                  <w:marRight w:val="0"/>
                  <w:marTop w:val="0"/>
                  <w:marBottom w:val="0"/>
                  <w:divBdr>
                    <w:top w:val="none" w:sz="0" w:space="0" w:color="auto"/>
                    <w:left w:val="none" w:sz="0" w:space="0" w:color="auto"/>
                    <w:bottom w:val="none" w:sz="0" w:space="0" w:color="auto"/>
                    <w:right w:val="none" w:sz="0" w:space="0" w:color="auto"/>
                  </w:divBdr>
                </w:div>
                <w:div w:id="266274099">
                  <w:marLeft w:val="0"/>
                  <w:marRight w:val="0"/>
                  <w:marTop w:val="0"/>
                  <w:marBottom w:val="0"/>
                  <w:divBdr>
                    <w:top w:val="none" w:sz="0" w:space="0" w:color="auto"/>
                    <w:left w:val="none" w:sz="0" w:space="0" w:color="auto"/>
                    <w:bottom w:val="none" w:sz="0" w:space="0" w:color="auto"/>
                    <w:right w:val="none" w:sz="0" w:space="0" w:color="auto"/>
                  </w:divBdr>
                </w:div>
                <w:div w:id="1841653045">
                  <w:marLeft w:val="0"/>
                  <w:marRight w:val="0"/>
                  <w:marTop w:val="0"/>
                  <w:marBottom w:val="0"/>
                  <w:divBdr>
                    <w:top w:val="none" w:sz="0" w:space="0" w:color="auto"/>
                    <w:left w:val="none" w:sz="0" w:space="0" w:color="auto"/>
                    <w:bottom w:val="none" w:sz="0" w:space="0" w:color="auto"/>
                    <w:right w:val="none" w:sz="0" w:space="0" w:color="auto"/>
                  </w:divBdr>
                </w:div>
                <w:div w:id="1508520871">
                  <w:marLeft w:val="0"/>
                  <w:marRight w:val="0"/>
                  <w:marTop w:val="0"/>
                  <w:marBottom w:val="0"/>
                  <w:divBdr>
                    <w:top w:val="none" w:sz="0" w:space="0" w:color="auto"/>
                    <w:left w:val="none" w:sz="0" w:space="0" w:color="auto"/>
                    <w:bottom w:val="none" w:sz="0" w:space="0" w:color="auto"/>
                    <w:right w:val="none" w:sz="0" w:space="0" w:color="auto"/>
                  </w:divBdr>
                </w:div>
                <w:div w:id="455946807">
                  <w:marLeft w:val="0"/>
                  <w:marRight w:val="0"/>
                  <w:marTop w:val="0"/>
                  <w:marBottom w:val="0"/>
                  <w:divBdr>
                    <w:top w:val="none" w:sz="0" w:space="0" w:color="auto"/>
                    <w:left w:val="none" w:sz="0" w:space="0" w:color="auto"/>
                    <w:bottom w:val="none" w:sz="0" w:space="0" w:color="auto"/>
                    <w:right w:val="none" w:sz="0" w:space="0" w:color="auto"/>
                  </w:divBdr>
                </w:div>
                <w:div w:id="1842425076">
                  <w:marLeft w:val="0"/>
                  <w:marRight w:val="0"/>
                  <w:marTop w:val="0"/>
                  <w:marBottom w:val="0"/>
                  <w:divBdr>
                    <w:top w:val="none" w:sz="0" w:space="0" w:color="auto"/>
                    <w:left w:val="none" w:sz="0" w:space="0" w:color="auto"/>
                    <w:bottom w:val="none" w:sz="0" w:space="0" w:color="auto"/>
                    <w:right w:val="none" w:sz="0" w:space="0" w:color="auto"/>
                  </w:divBdr>
                </w:div>
                <w:div w:id="498468162">
                  <w:marLeft w:val="0"/>
                  <w:marRight w:val="0"/>
                  <w:marTop w:val="0"/>
                  <w:marBottom w:val="0"/>
                  <w:divBdr>
                    <w:top w:val="none" w:sz="0" w:space="0" w:color="auto"/>
                    <w:left w:val="none" w:sz="0" w:space="0" w:color="auto"/>
                    <w:bottom w:val="none" w:sz="0" w:space="0" w:color="auto"/>
                    <w:right w:val="none" w:sz="0" w:space="0" w:color="auto"/>
                  </w:divBdr>
                </w:div>
                <w:div w:id="1221674562">
                  <w:marLeft w:val="0"/>
                  <w:marRight w:val="0"/>
                  <w:marTop w:val="0"/>
                  <w:marBottom w:val="0"/>
                  <w:divBdr>
                    <w:top w:val="none" w:sz="0" w:space="0" w:color="auto"/>
                    <w:left w:val="none" w:sz="0" w:space="0" w:color="auto"/>
                    <w:bottom w:val="none" w:sz="0" w:space="0" w:color="auto"/>
                    <w:right w:val="none" w:sz="0" w:space="0" w:color="auto"/>
                  </w:divBdr>
                </w:div>
                <w:div w:id="1721635985">
                  <w:marLeft w:val="0"/>
                  <w:marRight w:val="0"/>
                  <w:marTop w:val="0"/>
                  <w:marBottom w:val="0"/>
                  <w:divBdr>
                    <w:top w:val="none" w:sz="0" w:space="0" w:color="auto"/>
                    <w:left w:val="none" w:sz="0" w:space="0" w:color="auto"/>
                    <w:bottom w:val="none" w:sz="0" w:space="0" w:color="auto"/>
                    <w:right w:val="none" w:sz="0" w:space="0" w:color="auto"/>
                  </w:divBdr>
                </w:div>
                <w:div w:id="2049068437">
                  <w:marLeft w:val="0"/>
                  <w:marRight w:val="0"/>
                  <w:marTop w:val="0"/>
                  <w:marBottom w:val="0"/>
                  <w:divBdr>
                    <w:top w:val="none" w:sz="0" w:space="0" w:color="auto"/>
                    <w:left w:val="none" w:sz="0" w:space="0" w:color="auto"/>
                    <w:bottom w:val="none" w:sz="0" w:space="0" w:color="auto"/>
                    <w:right w:val="none" w:sz="0" w:space="0" w:color="auto"/>
                  </w:divBdr>
                </w:div>
                <w:div w:id="1725637897">
                  <w:marLeft w:val="0"/>
                  <w:marRight w:val="0"/>
                  <w:marTop w:val="0"/>
                  <w:marBottom w:val="0"/>
                  <w:divBdr>
                    <w:top w:val="none" w:sz="0" w:space="0" w:color="auto"/>
                    <w:left w:val="none" w:sz="0" w:space="0" w:color="auto"/>
                    <w:bottom w:val="none" w:sz="0" w:space="0" w:color="auto"/>
                    <w:right w:val="none" w:sz="0" w:space="0" w:color="auto"/>
                  </w:divBdr>
                </w:div>
                <w:div w:id="1260020055">
                  <w:marLeft w:val="0"/>
                  <w:marRight w:val="0"/>
                  <w:marTop w:val="0"/>
                  <w:marBottom w:val="0"/>
                  <w:divBdr>
                    <w:top w:val="none" w:sz="0" w:space="0" w:color="auto"/>
                    <w:left w:val="none" w:sz="0" w:space="0" w:color="auto"/>
                    <w:bottom w:val="none" w:sz="0" w:space="0" w:color="auto"/>
                    <w:right w:val="none" w:sz="0" w:space="0" w:color="auto"/>
                  </w:divBdr>
                </w:div>
                <w:div w:id="1780444128">
                  <w:marLeft w:val="0"/>
                  <w:marRight w:val="0"/>
                  <w:marTop w:val="0"/>
                  <w:marBottom w:val="0"/>
                  <w:divBdr>
                    <w:top w:val="none" w:sz="0" w:space="0" w:color="auto"/>
                    <w:left w:val="none" w:sz="0" w:space="0" w:color="auto"/>
                    <w:bottom w:val="none" w:sz="0" w:space="0" w:color="auto"/>
                    <w:right w:val="none" w:sz="0" w:space="0" w:color="auto"/>
                  </w:divBdr>
                </w:div>
                <w:div w:id="520554488">
                  <w:marLeft w:val="0"/>
                  <w:marRight w:val="0"/>
                  <w:marTop w:val="0"/>
                  <w:marBottom w:val="0"/>
                  <w:divBdr>
                    <w:top w:val="none" w:sz="0" w:space="0" w:color="auto"/>
                    <w:left w:val="none" w:sz="0" w:space="0" w:color="auto"/>
                    <w:bottom w:val="none" w:sz="0" w:space="0" w:color="auto"/>
                    <w:right w:val="none" w:sz="0" w:space="0" w:color="auto"/>
                  </w:divBdr>
                </w:div>
                <w:div w:id="1342663848">
                  <w:marLeft w:val="0"/>
                  <w:marRight w:val="0"/>
                  <w:marTop w:val="0"/>
                  <w:marBottom w:val="0"/>
                  <w:divBdr>
                    <w:top w:val="none" w:sz="0" w:space="0" w:color="auto"/>
                    <w:left w:val="none" w:sz="0" w:space="0" w:color="auto"/>
                    <w:bottom w:val="none" w:sz="0" w:space="0" w:color="auto"/>
                    <w:right w:val="none" w:sz="0" w:space="0" w:color="auto"/>
                  </w:divBdr>
                </w:div>
                <w:div w:id="2138915407">
                  <w:marLeft w:val="0"/>
                  <w:marRight w:val="0"/>
                  <w:marTop w:val="0"/>
                  <w:marBottom w:val="0"/>
                  <w:divBdr>
                    <w:top w:val="none" w:sz="0" w:space="0" w:color="auto"/>
                    <w:left w:val="none" w:sz="0" w:space="0" w:color="auto"/>
                    <w:bottom w:val="none" w:sz="0" w:space="0" w:color="auto"/>
                    <w:right w:val="none" w:sz="0" w:space="0" w:color="auto"/>
                  </w:divBdr>
                </w:div>
                <w:div w:id="1634870943">
                  <w:marLeft w:val="0"/>
                  <w:marRight w:val="0"/>
                  <w:marTop w:val="0"/>
                  <w:marBottom w:val="0"/>
                  <w:divBdr>
                    <w:top w:val="none" w:sz="0" w:space="0" w:color="auto"/>
                    <w:left w:val="none" w:sz="0" w:space="0" w:color="auto"/>
                    <w:bottom w:val="none" w:sz="0" w:space="0" w:color="auto"/>
                    <w:right w:val="none" w:sz="0" w:space="0" w:color="auto"/>
                  </w:divBdr>
                </w:div>
                <w:div w:id="1159884441">
                  <w:marLeft w:val="0"/>
                  <w:marRight w:val="0"/>
                  <w:marTop w:val="0"/>
                  <w:marBottom w:val="0"/>
                  <w:divBdr>
                    <w:top w:val="none" w:sz="0" w:space="0" w:color="auto"/>
                    <w:left w:val="none" w:sz="0" w:space="0" w:color="auto"/>
                    <w:bottom w:val="none" w:sz="0" w:space="0" w:color="auto"/>
                    <w:right w:val="none" w:sz="0" w:space="0" w:color="auto"/>
                  </w:divBdr>
                </w:div>
                <w:div w:id="37825173">
                  <w:marLeft w:val="0"/>
                  <w:marRight w:val="0"/>
                  <w:marTop w:val="0"/>
                  <w:marBottom w:val="0"/>
                  <w:divBdr>
                    <w:top w:val="none" w:sz="0" w:space="0" w:color="auto"/>
                    <w:left w:val="none" w:sz="0" w:space="0" w:color="auto"/>
                    <w:bottom w:val="none" w:sz="0" w:space="0" w:color="auto"/>
                    <w:right w:val="none" w:sz="0" w:space="0" w:color="auto"/>
                  </w:divBdr>
                </w:div>
                <w:div w:id="850417132">
                  <w:marLeft w:val="0"/>
                  <w:marRight w:val="0"/>
                  <w:marTop w:val="0"/>
                  <w:marBottom w:val="0"/>
                  <w:divBdr>
                    <w:top w:val="none" w:sz="0" w:space="0" w:color="auto"/>
                    <w:left w:val="none" w:sz="0" w:space="0" w:color="auto"/>
                    <w:bottom w:val="none" w:sz="0" w:space="0" w:color="auto"/>
                    <w:right w:val="none" w:sz="0" w:space="0" w:color="auto"/>
                  </w:divBdr>
                </w:div>
                <w:div w:id="1436755925">
                  <w:marLeft w:val="0"/>
                  <w:marRight w:val="0"/>
                  <w:marTop w:val="0"/>
                  <w:marBottom w:val="0"/>
                  <w:divBdr>
                    <w:top w:val="none" w:sz="0" w:space="0" w:color="auto"/>
                    <w:left w:val="none" w:sz="0" w:space="0" w:color="auto"/>
                    <w:bottom w:val="none" w:sz="0" w:space="0" w:color="auto"/>
                    <w:right w:val="none" w:sz="0" w:space="0" w:color="auto"/>
                  </w:divBdr>
                </w:div>
                <w:div w:id="1025520618">
                  <w:marLeft w:val="0"/>
                  <w:marRight w:val="0"/>
                  <w:marTop w:val="0"/>
                  <w:marBottom w:val="0"/>
                  <w:divBdr>
                    <w:top w:val="none" w:sz="0" w:space="0" w:color="auto"/>
                    <w:left w:val="none" w:sz="0" w:space="0" w:color="auto"/>
                    <w:bottom w:val="none" w:sz="0" w:space="0" w:color="auto"/>
                    <w:right w:val="none" w:sz="0" w:space="0" w:color="auto"/>
                  </w:divBdr>
                </w:div>
                <w:div w:id="600769033">
                  <w:marLeft w:val="0"/>
                  <w:marRight w:val="0"/>
                  <w:marTop w:val="0"/>
                  <w:marBottom w:val="0"/>
                  <w:divBdr>
                    <w:top w:val="none" w:sz="0" w:space="0" w:color="auto"/>
                    <w:left w:val="none" w:sz="0" w:space="0" w:color="auto"/>
                    <w:bottom w:val="none" w:sz="0" w:space="0" w:color="auto"/>
                    <w:right w:val="none" w:sz="0" w:space="0" w:color="auto"/>
                  </w:divBdr>
                </w:div>
                <w:div w:id="760175684">
                  <w:marLeft w:val="0"/>
                  <w:marRight w:val="0"/>
                  <w:marTop w:val="0"/>
                  <w:marBottom w:val="0"/>
                  <w:divBdr>
                    <w:top w:val="none" w:sz="0" w:space="0" w:color="auto"/>
                    <w:left w:val="none" w:sz="0" w:space="0" w:color="auto"/>
                    <w:bottom w:val="none" w:sz="0" w:space="0" w:color="auto"/>
                    <w:right w:val="none" w:sz="0" w:space="0" w:color="auto"/>
                  </w:divBdr>
                </w:div>
                <w:div w:id="1326393102">
                  <w:marLeft w:val="0"/>
                  <w:marRight w:val="0"/>
                  <w:marTop w:val="0"/>
                  <w:marBottom w:val="0"/>
                  <w:divBdr>
                    <w:top w:val="none" w:sz="0" w:space="0" w:color="auto"/>
                    <w:left w:val="none" w:sz="0" w:space="0" w:color="auto"/>
                    <w:bottom w:val="none" w:sz="0" w:space="0" w:color="auto"/>
                    <w:right w:val="none" w:sz="0" w:space="0" w:color="auto"/>
                  </w:divBdr>
                </w:div>
                <w:div w:id="1789229284">
                  <w:marLeft w:val="0"/>
                  <w:marRight w:val="0"/>
                  <w:marTop w:val="0"/>
                  <w:marBottom w:val="0"/>
                  <w:divBdr>
                    <w:top w:val="none" w:sz="0" w:space="0" w:color="auto"/>
                    <w:left w:val="none" w:sz="0" w:space="0" w:color="auto"/>
                    <w:bottom w:val="none" w:sz="0" w:space="0" w:color="auto"/>
                    <w:right w:val="none" w:sz="0" w:space="0" w:color="auto"/>
                  </w:divBdr>
                </w:div>
                <w:div w:id="1691177538">
                  <w:marLeft w:val="0"/>
                  <w:marRight w:val="0"/>
                  <w:marTop w:val="0"/>
                  <w:marBottom w:val="0"/>
                  <w:divBdr>
                    <w:top w:val="none" w:sz="0" w:space="0" w:color="auto"/>
                    <w:left w:val="none" w:sz="0" w:space="0" w:color="auto"/>
                    <w:bottom w:val="none" w:sz="0" w:space="0" w:color="auto"/>
                    <w:right w:val="none" w:sz="0" w:space="0" w:color="auto"/>
                  </w:divBdr>
                </w:div>
                <w:div w:id="1129976913">
                  <w:marLeft w:val="0"/>
                  <w:marRight w:val="0"/>
                  <w:marTop w:val="0"/>
                  <w:marBottom w:val="0"/>
                  <w:divBdr>
                    <w:top w:val="none" w:sz="0" w:space="0" w:color="auto"/>
                    <w:left w:val="none" w:sz="0" w:space="0" w:color="auto"/>
                    <w:bottom w:val="none" w:sz="0" w:space="0" w:color="auto"/>
                    <w:right w:val="none" w:sz="0" w:space="0" w:color="auto"/>
                  </w:divBdr>
                </w:div>
                <w:div w:id="2136675855">
                  <w:marLeft w:val="0"/>
                  <w:marRight w:val="0"/>
                  <w:marTop w:val="0"/>
                  <w:marBottom w:val="0"/>
                  <w:divBdr>
                    <w:top w:val="none" w:sz="0" w:space="0" w:color="auto"/>
                    <w:left w:val="none" w:sz="0" w:space="0" w:color="auto"/>
                    <w:bottom w:val="none" w:sz="0" w:space="0" w:color="auto"/>
                    <w:right w:val="none" w:sz="0" w:space="0" w:color="auto"/>
                  </w:divBdr>
                </w:div>
                <w:div w:id="954410075">
                  <w:marLeft w:val="0"/>
                  <w:marRight w:val="0"/>
                  <w:marTop w:val="0"/>
                  <w:marBottom w:val="0"/>
                  <w:divBdr>
                    <w:top w:val="none" w:sz="0" w:space="0" w:color="auto"/>
                    <w:left w:val="none" w:sz="0" w:space="0" w:color="auto"/>
                    <w:bottom w:val="none" w:sz="0" w:space="0" w:color="auto"/>
                    <w:right w:val="none" w:sz="0" w:space="0" w:color="auto"/>
                  </w:divBdr>
                </w:div>
                <w:div w:id="1104419484">
                  <w:marLeft w:val="0"/>
                  <w:marRight w:val="0"/>
                  <w:marTop w:val="0"/>
                  <w:marBottom w:val="0"/>
                  <w:divBdr>
                    <w:top w:val="none" w:sz="0" w:space="0" w:color="auto"/>
                    <w:left w:val="none" w:sz="0" w:space="0" w:color="auto"/>
                    <w:bottom w:val="none" w:sz="0" w:space="0" w:color="auto"/>
                    <w:right w:val="none" w:sz="0" w:space="0" w:color="auto"/>
                  </w:divBdr>
                </w:div>
                <w:div w:id="1507525125">
                  <w:marLeft w:val="0"/>
                  <w:marRight w:val="0"/>
                  <w:marTop w:val="0"/>
                  <w:marBottom w:val="0"/>
                  <w:divBdr>
                    <w:top w:val="none" w:sz="0" w:space="0" w:color="auto"/>
                    <w:left w:val="none" w:sz="0" w:space="0" w:color="auto"/>
                    <w:bottom w:val="none" w:sz="0" w:space="0" w:color="auto"/>
                    <w:right w:val="none" w:sz="0" w:space="0" w:color="auto"/>
                  </w:divBdr>
                </w:div>
                <w:div w:id="1935824636">
                  <w:marLeft w:val="0"/>
                  <w:marRight w:val="0"/>
                  <w:marTop w:val="0"/>
                  <w:marBottom w:val="0"/>
                  <w:divBdr>
                    <w:top w:val="none" w:sz="0" w:space="0" w:color="auto"/>
                    <w:left w:val="none" w:sz="0" w:space="0" w:color="auto"/>
                    <w:bottom w:val="none" w:sz="0" w:space="0" w:color="auto"/>
                    <w:right w:val="none" w:sz="0" w:space="0" w:color="auto"/>
                  </w:divBdr>
                </w:div>
                <w:div w:id="785732140">
                  <w:marLeft w:val="0"/>
                  <w:marRight w:val="0"/>
                  <w:marTop w:val="0"/>
                  <w:marBottom w:val="0"/>
                  <w:divBdr>
                    <w:top w:val="none" w:sz="0" w:space="0" w:color="auto"/>
                    <w:left w:val="none" w:sz="0" w:space="0" w:color="auto"/>
                    <w:bottom w:val="none" w:sz="0" w:space="0" w:color="auto"/>
                    <w:right w:val="none" w:sz="0" w:space="0" w:color="auto"/>
                  </w:divBdr>
                </w:div>
                <w:div w:id="1897272835">
                  <w:marLeft w:val="0"/>
                  <w:marRight w:val="0"/>
                  <w:marTop w:val="0"/>
                  <w:marBottom w:val="0"/>
                  <w:divBdr>
                    <w:top w:val="none" w:sz="0" w:space="0" w:color="auto"/>
                    <w:left w:val="none" w:sz="0" w:space="0" w:color="auto"/>
                    <w:bottom w:val="none" w:sz="0" w:space="0" w:color="auto"/>
                    <w:right w:val="none" w:sz="0" w:space="0" w:color="auto"/>
                  </w:divBdr>
                </w:div>
                <w:div w:id="2128618860">
                  <w:marLeft w:val="0"/>
                  <w:marRight w:val="0"/>
                  <w:marTop w:val="0"/>
                  <w:marBottom w:val="0"/>
                  <w:divBdr>
                    <w:top w:val="none" w:sz="0" w:space="0" w:color="auto"/>
                    <w:left w:val="none" w:sz="0" w:space="0" w:color="auto"/>
                    <w:bottom w:val="none" w:sz="0" w:space="0" w:color="auto"/>
                    <w:right w:val="none" w:sz="0" w:space="0" w:color="auto"/>
                  </w:divBdr>
                </w:div>
                <w:div w:id="543255992">
                  <w:marLeft w:val="0"/>
                  <w:marRight w:val="0"/>
                  <w:marTop w:val="0"/>
                  <w:marBottom w:val="0"/>
                  <w:divBdr>
                    <w:top w:val="none" w:sz="0" w:space="0" w:color="auto"/>
                    <w:left w:val="none" w:sz="0" w:space="0" w:color="auto"/>
                    <w:bottom w:val="none" w:sz="0" w:space="0" w:color="auto"/>
                    <w:right w:val="none" w:sz="0" w:space="0" w:color="auto"/>
                  </w:divBdr>
                </w:div>
                <w:div w:id="1449743322">
                  <w:marLeft w:val="0"/>
                  <w:marRight w:val="0"/>
                  <w:marTop w:val="0"/>
                  <w:marBottom w:val="0"/>
                  <w:divBdr>
                    <w:top w:val="none" w:sz="0" w:space="0" w:color="auto"/>
                    <w:left w:val="none" w:sz="0" w:space="0" w:color="auto"/>
                    <w:bottom w:val="none" w:sz="0" w:space="0" w:color="auto"/>
                    <w:right w:val="none" w:sz="0" w:space="0" w:color="auto"/>
                  </w:divBdr>
                </w:div>
                <w:div w:id="1762525905">
                  <w:marLeft w:val="0"/>
                  <w:marRight w:val="0"/>
                  <w:marTop w:val="0"/>
                  <w:marBottom w:val="0"/>
                  <w:divBdr>
                    <w:top w:val="none" w:sz="0" w:space="0" w:color="auto"/>
                    <w:left w:val="none" w:sz="0" w:space="0" w:color="auto"/>
                    <w:bottom w:val="none" w:sz="0" w:space="0" w:color="auto"/>
                    <w:right w:val="none" w:sz="0" w:space="0" w:color="auto"/>
                  </w:divBdr>
                </w:div>
                <w:div w:id="400105039">
                  <w:marLeft w:val="0"/>
                  <w:marRight w:val="0"/>
                  <w:marTop w:val="0"/>
                  <w:marBottom w:val="0"/>
                  <w:divBdr>
                    <w:top w:val="none" w:sz="0" w:space="0" w:color="auto"/>
                    <w:left w:val="none" w:sz="0" w:space="0" w:color="auto"/>
                    <w:bottom w:val="none" w:sz="0" w:space="0" w:color="auto"/>
                    <w:right w:val="none" w:sz="0" w:space="0" w:color="auto"/>
                  </w:divBdr>
                </w:div>
                <w:div w:id="1101417955">
                  <w:marLeft w:val="0"/>
                  <w:marRight w:val="0"/>
                  <w:marTop w:val="0"/>
                  <w:marBottom w:val="0"/>
                  <w:divBdr>
                    <w:top w:val="none" w:sz="0" w:space="0" w:color="auto"/>
                    <w:left w:val="none" w:sz="0" w:space="0" w:color="auto"/>
                    <w:bottom w:val="none" w:sz="0" w:space="0" w:color="auto"/>
                    <w:right w:val="none" w:sz="0" w:space="0" w:color="auto"/>
                  </w:divBdr>
                </w:div>
                <w:div w:id="337924935">
                  <w:marLeft w:val="0"/>
                  <w:marRight w:val="0"/>
                  <w:marTop w:val="0"/>
                  <w:marBottom w:val="0"/>
                  <w:divBdr>
                    <w:top w:val="none" w:sz="0" w:space="0" w:color="auto"/>
                    <w:left w:val="none" w:sz="0" w:space="0" w:color="auto"/>
                    <w:bottom w:val="none" w:sz="0" w:space="0" w:color="auto"/>
                    <w:right w:val="none" w:sz="0" w:space="0" w:color="auto"/>
                  </w:divBdr>
                </w:div>
                <w:div w:id="1577395339">
                  <w:marLeft w:val="0"/>
                  <w:marRight w:val="0"/>
                  <w:marTop w:val="0"/>
                  <w:marBottom w:val="0"/>
                  <w:divBdr>
                    <w:top w:val="none" w:sz="0" w:space="0" w:color="auto"/>
                    <w:left w:val="none" w:sz="0" w:space="0" w:color="auto"/>
                    <w:bottom w:val="none" w:sz="0" w:space="0" w:color="auto"/>
                    <w:right w:val="none" w:sz="0" w:space="0" w:color="auto"/>
                  </w:divBdr>
                </w:div>
                <w:div w:id="1998654558">
                  <w:marLeft w:val="0"/>
                  <w:marRight w:val="0"/>
                  <w:marTop w:val="0"/>
                  <w:marBottom w:val="0"/>
                  <w:divBdr>
                    <w:top w:val="none" w:sz="0" w:space="0" w:color="auto"/>
                    <w:left w:val="none" w:sz="0" w:space="0" w:color="auto"/>
                    <w:bottom w:val="none" w:sz="0" w:space="0" w:color="auto"/>
                    <w:right w:val="none" w:sz="0" w:space="0" w:color="auto"/>
                  </w:divBdr>
                </w:div>
                <w:div w:id="46270474">
                  <w:marLeft w:val="0"/>
                  <w:marRight w:val="0"/>
                  <w:marTop w:val="0"/>
                  <w:marBottom w:val="0"/>
                  <w:divBdr>
                    <w:top w:val="none" w:sz="0" w:space="0" w:color="auto"/>
                    <w:left w:val="none" w:sz="0" w:space="0" w:color="auto"/>
                    <w:bottom w:val="none" w:sz="0" w:space="0" w:color="auto"/>
                    <w:right w:val="none" w:sz="0" w:space="0" w:color="auto"/>
                  </w:divBdr>
                </w:div>
                <w:div w:id="2022314129">
                  <w:marLeft w:val="0"/>
                  <w:marRight w:val="0"/>
                  <w:marTop w:val="0"/>
                  <w:marBottom w:val="0"/>
                  <w:divBdr>
                    <w:top w:val="none" w:sz="0" w:space="0" w:color="auto"/>
                    <w:left w:val="none" w:sz="0" w:space="0" w:color="auto"/>
                    <w:bottom w:val="none" w:sz="0" w:space="0" w:color="auto"/>
                    <w:right w:val="none" w:sz="0" w:space="0" w:color="auto"/>
                  </w:divBdr>
                </w:div>
                <w:div w:id="4596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1265">
          <w:marLeft w:val="0"/>
          <w:marRight w:val="0"/>
          <w:marTop w:val="0"/>
          <w:marBottom w:val="0"/>
          <w:divBdr>
            <w:top w:val="none" w:sz="0" w:space="0" w:color="auto"/>
            <w:left w:val="none" w:sz="0" w:space="0" w:color="auto"/>
            <w:bottom w:val="none" w:sz="0" w:space="0" w:color="auto"/>
            <w:right w:val="none" w:sz="0" w:space="0" w:color="auto"/>
          </w:divBdr>
          <w:divsChild>
            <w:div w:id="1061516001">
              <w:marLeft w:val="0"/>
              <w:marRight w:val="0"/>
              <w:marTop w:val="0"/>
              <w:marBottom w:val="0"/>
              <w:divBdr>
                <w:top w:val="none" w:sz="0" w:space="0" w:color="auto"/>
                <w:left w:val="none" w:sz="0" w:space="0" w:color="auto"/>
                <w:bottom w:val="none" w:sz="0" w:space="0" w:color="auto"/>
                <w:right w:val="none" w:sz="0" w:space="0" w:color="auto"/>
              </w:divBdr>
            </w:div>
            <w:div w:id="1491092900">
              <w:marLeft w:val="0"/>
              <w:marRight w:val="0"/>
              <w:marTop w:val="0"/>
              <w:marBottom w:val="0"/>
              <w:divBdr>
                <w:top w:val="none" w:sz="0" w:space="0" w:color="auto"/>
                <w:left w:val="none" w:sz="0" w:space="0" w:color="auto"/>
                <w:bottom w:val="none" w:sz="0" w:space="0" w:color="auto"/>
                <w:right w:val="none" w:sz="0" w:space="0" w:color="auto"/>
              </w:divBdr>
            </w:div>
            <w:div w:id="1204244395">
              <w:marLeft w:val="0"/>
              <w:marRight w:val="0"/>
              <w:marTop w:val="0"/>
              <w:marBottom w:val="0"/>
              <w:divBdr>
                <w:top w:val="none" w:sz="0" w:space="0" w:color="auto"/>
                <w:left w:val="none" w:sz="0" w:space="0" w:color="auto"/>
                <w:bottom w:val="none" w:sz="0" w:space="0" w:color="auto"/>
                <w:right w:val="none" w:sz="0" w:space="0" w:color="auto"/>
              </w:divBdr>
            </w:div>
            <w:div w:id="2017074526">
              <w:marLeft w:val="0"/>
              <w:marRight w:val="0"/>
              <w:marTop w:val="0"/>
              <w:marBottom w:val="0"/>
              <w:divBdr>
                <w:top w:val="none" w:sz="0" w:space="0" w:color="auto"/>
                <w:left w:val="none" w:sz="0" w:space="0" w:color="auto"/>
                <w:bottom w:val="none" w:sz="0" w:space="0" w:color="auto"/>
                <w:right w:val="none" w:sz="0" w:space="0" w:color="auto"/>
              </w:divBdr>
            </w:div>
            <w:div w:id="1105343763">
              <w:marLeft w:val="0"/>
              <w:marRight w:val="0"/>
              <w:marTop w:val="0"/>
              <w:marBottom w:val="0"/>
              <w:divBdr>
                <w:top w:val="none" w:sz="0" w:space="0" w:color="auto"/>
                <w:left w:val="none" w:sz="0" w:space="0" w:color="auto"/>
                <w:bottom w:val="none" w:sz="0" w:space="0" w:color="auto"/>
                <w:right w:val="none" w:sz="0" w:space="0" w:color="auto"/>
              </w:divBdr>
            </w:div>
            <w:div w:id="688147255">
              <w:marLeft w:val="0"/>
              <w:marRight w:val="0"/>
              <w:marTop w:val="0"/>
              <w:marBottom w:val="0"/>
              <w:divBdr>
                <w:top w:val="none" w:sz="0" w:space="0" w:color="auto"/>
                <w:left w:val="none" w:sz="0" w:space="0" w:color="auto"/>
                <w:bottom w:val="none" w:sz="0" w:space="0" w:color="auto"/>
                <w:right w:val="none" w:sz="0" w:space="0" w:color="auto"/>
              </w:divBdr>
            </w:div>
            <w:div w:id="575631988">
              <w:marLeft w:val="0"/>
              <w:marRight w:val="0"/>
              <w:marTop w:val="0"/>
              <w:marBottom w:val="0"/>
              <w:divBdr>
                <w:top w:val="none" w:sz="0" w:space="0" w:color="auto"/>
                <w:left w:val="none" w:sz="0" w:space="0" w:color="auto"/>
                <w:bottom w:val="none" w:sz="0" w:space="0" w:color="auto"/>
                <w:right w:val="none" w:sz="0" w:space="0" w:color="auto"/>
              </w:divBdr>
            </w:div>
            <w:div w:id="84350143">
              <w:marLeft w:val="0"/>
              <w:marRight w:val="0"/>
              <w:marTop w:val="0"/>
              <w:marBottom w:val="0"/>
              <w:divBdr>
                <w:top w:val="none" w:sz="0" w:space="0" w:color="auto"/>
                <w:left w:val="none" w:sz="0" w:space="0" w:color="auto"/>
                <w:bottom w:val="none" w:sz="0" w:space="0" w:color="auto"/>
                <w:right w:val="none" w:sz="0" w:space="0" w:color="auto"/>
              </w:divBdr>
            </w:div>
            <w:div w:id="2085375049">
              <w:marLeft w:val="0"/>
              <w:marRight w:val="0"/>
              <w:marTop w:val="0"/>
              <w:marBottom w:val="0"/>
              <w:divBdr>
                <w:top w:val="none" w:sz="0" w:space="0" w:color="auto"/>
                <w:left w:val="none" w:sz="0" w:space="0" w:color="auto"/>
                <w:bottom w:val="none" w:sz="0" w:space="0" w:color="auto"/>
                <w:right w:val="none" w:sz="0" w:space="0" w:color="auto"/>
              </w:divBdr>
            </w:div>
            <w:div w:id="908853352">
              <w:marLeft w:val="0"/>
              <w:marRight w:val="0"/>
              <w:marTop w:val="0"/>
              <w:marBottom w:val="0"/>
              <w:divBdr>
                <w:top w:val="none" w:sz="0" w:space="0" w:color="auto"/>
                <w:left w:val="none" w:sz="0" w:space="0" w:color="auto"/>
                <w:bottom w:val="none" w:sz="0" w:space="0" w:color="auto"/>
                <w:right w:val="none" w:sz="0" w:space="0" w:color="auto"/>
              </w:divBdr>
            </w:div>
            <w:div w:id="311569073">
              <w:marLeft w:val="0"/>
              <w:marRight w:val="0"/>
              <w:marTop w:val="0"/>
              <w:marBottom w:val="0"/>
              <w:divBdr>
                <w:top w:val="none" w:sz="0" w:space="0" w:color="auto"/>
                <w:left w:val="none" w:sz="0" w:space="0" w:color="auto"/>
                <w:bottom w:val="none" w:sz="0" w:space="0" w:color="auto"/>
                <w:right w:val="none" w:sz="0" w:space="0" w:color="auto"/>
              </w:divBdr>
            </w:div>
            <w:div w:id="1346245970">
              <w:marLeft w:val="0"/>
              <w:marRight w:val="0"/>
              <w:marTop w:val="0"/>
              <w:marBottom w:val="0"/>
              <w:divBdr>
                <w:top w:val="none" w:sz="0" w:space="0" w:color="auto"/>
                <w:left w:val="none" w:sz="0" w:space="0" w:color="auto"/>
                <w:bottom w:val="none" w:sz="0" w:space="0" w:color="auto"/>
                <w:right w:val="none" w:sz="0" w:space="0" w:color="auto"/>
              </w:divBdr>
            </w:div>
            <w:div w:id="120466649">
              <w:marLeft w:val="0"/>
              <w:marRight w:val="0"/>
              <w:marTop w:val="0"/>
              <w:marBottom w:val="0"/>
              <w:divBdr>
                <w:top w:val="none" w:sz="0" w:space="0" w:color="auto"/>
                <w:left w:val="none" w:sz="0" w:space="0" w:color="auto"/>
                <w:bottom w:val="none" w:sz="0" w:space="0" w:color="auto"/>
                <w:right w:val="none" w:sz="0" w:space="0" w:color="auto"/>
              </w:divBdr>
            </w:div>
            <w:div w:id="588732344">
              <w:marLeft w:val="0"/>
              <w:marRight w:val="0"/>
              <w:marTop w:val="0"/>
              <w:marBottom w:val="0"/>
              <w:divBdr>
                <w:top w:val="none" w:sz="0" w:space="0" w:color="auto"/>
                <w:left w:val="none" w:sz="0" w:space="0" w:color="auto"/>
                <w:bottom w:val="none" w:sz="0" w:space="0" w:color="auto"/>
                <w:right w:val="none" w:sz="0" w:space="0" w:color="auto"/>
              </w:divBdr>
            </w:div>
            <w:div w:id="1324355423">
              <w:marLeft w:val="0"/>
              <w:marRight w:val="0"/>
              <w:marTop w:val="0"/>
              <w:marBottom w:val="0"/>
              <w:divBdr>
                <w:top w:val="none" w:sz="0" w:space="0" w:color="auto"/>
                <w:left w:val="none" w:sz="0" w:space="0" w:color="auto"/>
                <w:bottom w:val="none" w:sz="0" w:space="0" w:color="auto"/>
                <w:right w:val="none" w:sz="0" w:space="0" w:color="auto"/>
              </w:divBdr>
            </w:div>
            <w:div w:id="840697901">
              <w:marLeft w:val="0"/>
              <w:marRight w:val="0"/>
              <w:marTop w:val="0"/>
              <w:marBottom w:val="0"/>
              <w:divBdr>
                <w:top w:val="none" w:sz="0" w:space="0" w:color="auto"/>
                <w:left w:val="none" w:sz="0" w:space="0" w:color="auto"/>
                <w:bottom w:val="none" w:sz="0" w:space="0" w:color="auto"/>
                <w:right w:val="none" w:sz="0" w:space="0" w:color="auto"/>
              </w:divBdr>
            </w:div>
            <w:div w:id="1068696990">
              <w:marLeft w:val="0"/>
              <w:marRight w:val="0"/>
              <w:marTop w:val="0"/>
              <w:marBottom w:val="0"/>
              <w:divBdr>
                <w:top w:val="none" w:sz="0" w:space="0" w:color="auto"/>
                <w:left w:val="none" w:sz="0" w:space="0" w:color="auto"/>
                <w:bottom w:val="none" w:sz="0" w:space="0" w:color="auto"/>
                <w:right w:val="none" w:sz="0" w:space="0" w:color="auto"/>
              </w:divBdr>
            </w:div>
            <w:div w:id="2048024167">
              <w:marLeft w:val="0"/>
              <w:marRight w:val="0"/>
              <w:marTop w:val="0"/>
              <w:marBottom w:val="0"/>
              <w:divBdr>
                <w:top w:val="none" w:sz="0" w:space="0" w:color="auto"/>
                <w:left w:val="none" w:sz="0" w:space="0" w:color="auto"/>
                <w:bottom w:val="none" w:sz="0" w:space="0" w:color="auto"/>
                <w:right w:val="none" w:sz="0" w:space="0" w:color="auto"/>
              </w:divBdr>
            </w:div>
            <w:div w:id="1187862702">
              <w:marLeft w:val="0"/>
              <w:marRight w:val="0"/>
              <w:marTop w:val="0"/>
              <w:marBottom w:val="0"/>
              <w:divBdr>
                <w:top w:val="none" w:sz="0" w:space="0" w:color="auto"/>
                <w:left w:val="none" w:sz="0" w:space="0" w:color="auto"/>
                <w:bottom w:val="none" w:sz="0" w:space="0" w:color="auto"/>
                <w:right w:val="none" w:sz="0" w:space="0" w:color="auto"/>
              </w:divBdr>
            </w:div>
            <w:div w:id="999579952">
              <w:marLeft w:val="0"/>
              <w:marRight w:val="0"/>
              <w:marTop w:val="0"/>
              <w:marBottom w:val="0"/>
              <w:divBdr>
                <w:top w:val="none" w:sz="0" w:space="0" w:color="auto"/>
                <w:left w:val="none" w:sz="0" w:space="0" w:color="auto"/>
                <w:bottom w:val="none" w:sz="0" w:space="0" w:color="auto"/>
                <w:right w:val="none" w:sz="0" w:space="0" w:color="auto"/>
              </w:divBdr>
            </w:div>
            <w:div w:id="316887485">
              <w:marLeft w:val="0"/>
              <w:marRight w:val="0"/>
              <w:marTop w:val="0"/>
              <w:marBottom w:val="0"/>
              <w:divBdr>
                <w:top w:val="none" w:sz="0" w:space="0" w:color="auto"/>
                <w:left w:val="none" w:sz="0" w:space="0" w:color="auto"/>
                <w:bottom w:val="none" w:sz="0" w:space="0" w:color="auto"/>
                <w:right w:val="none" w:sz="0" w:space="0" w:color="auto"/>
              </w:divBdr>
            </w:div>
            <w:div w:id="1559440716">
              <w:marLeft w:val="0"/>
              <w:marRight w:val="0"/>
              <w:marTop w:val="0"/>
              <w:marBottom w:val="0"/>
              <w:divBdr>
                <w:top w:val="none" w:sz="0" w:space="0" w:color="auto"/>
                <w:left w:val="none" w:sz="0" w:space="0" w:color="auto"/>
                <w:bottom w:val="none" w:sz="0" w:space="0" w:color="auto"/>
                <w:right w:val="none" w:sz="0" w:space="0" w:color="auto"/>
              </w:divBdr>
            </w:div>
            <w:div w:id="1257980824">
              <w:marLeft w:val="0"/>
              <w:marRight w:val="0"/>
              <w:marTop w:val="0"/>
              <w:marBottom w:val="0"/>
              <w:divBdr>
                <w:top w:val="none" w:sz="0" w:space="0" w:color="auto"/>
                <w:left w:val="none" w:sz="0" w:space="0" w:color="auto"/>
                <w:bottom w:val="none" w:sz="0" w:space="0" w:color="auto"/>
                <w:right w:val="none" w:sz="0" w:space="0" w:color="auto"/>
              </w:divBdr>
            </w:div>
            <w:div w:id="853230638">
              <w:marLeft w:val="0"/>
              <w:marRight w:val="0"/>
              <w:marTop w:val="0"/>
              <w:marBottom w:val="0"/>
              <w:divBdr>
                <w:top w:val="none" w:sz="0" w:space="0" w:color="auto"/>
                <w:left w:val="none" w:sz="0" w:space="0" w:color="auto"/>
                <w:bottom w:val="none" w:sz="0" w:space="0" w:color="auto"/>
                <w:right w:val="none" w:sz="0" w:space="0" w:color="auto"/>
              </w:divBdr>
            </w:div>
            <w:div w:id="802044695">
              <w:marLeft w:val="0"/>
              <w:marRight w:val="0"/>
              <w:marTop w:val="0"/>
              <w:marBottom w:val="0"/>
              <w:divBdr>
                <w:top w:val="none" w:sz="0" w:space="0" w:color="auto"/>
                <w:left w:val="none" w:sz="0" w:space="0" w:color="auto"/>
                <w:bottom w:val="none" w:sz="0" w:space="0" w:color="auto"/>
                <w:right w:val="none" w:sz="0" w:space="0" w:color="auto"/>
              </w:divBdr>
            </w:div>
            <w:div w:id="2066174228">
              <w:marLeft w:val="0"/>
              <w:marRight w:val="0"/>
              <w:marTop w:val="0"/>
              <w:marBottom w:val="0"/>
              <w:divBdr>
                <w:top w:val="none" w:sz="0" w:space="0" w:color="auto"/>
                <w:left w:val="none" w:sz="0" w:space="0" w:color="auto"/>
                <w:bottom w:val="none" w:sz="0" w:space="0" w:color="auto"/>
                <w:right w:val="none" w:sz="0" w:space="0" w:color="auto"/>
              </w:divBdr>
            </w:div>
            <w:div w:id="315259648">
              <w:marLeft w:val="0"/>
              <w:marRight w:val="0"/>
              <w:marTop w:val="0"/>
              <w:marBottom w:val="0"/>
              <w:divBdr>
                <w:top w:val="none" w:sz="0" w:space="0" w:color="auto"/>
                <w:left w:val="none" w:sz="0" w:space="0" w:color="auto"/>
                <w:bottom w:val="none" w:sz="0" w:space="0" w:color="auto"/>
                <w:right w:val="none" w:sz="0" w:space="0" w:color="auto"/>
              </w:divBdr>
            </w:div>
            <w:div w:id="1319043495">
              <w:marLeft w:val="0"/>
              <w:marRight w:val="0"/>
              <w:marTop w:val="0"/>
              <w:marBottom w:val="0"/>
              <w:divBdr>
                <w:top w:val="none" w:sz="0" w:space="0" w:color="auto"/>
                <w:left w:val="none" w:sz="0" w:space="0" w:color="auto"/>
                <w:bottom w:val="none" w:sz="0" w:space="0" w:color="auto"/>
                <w:right w:val="none" w:sz="0" w:space="0" w:color="auto"/>
              </w:divBdr>
            </w:div>
            <w:div w:id="1940215018">
              <w:marLeft w:val="0"/>
              <w:marRight w:val="0"/>
              <w:marTop w:val="0"/>
              <w:marBottom w:val="0"/>
              <w:divBdr>
                <w:top w:val="none" w:sz="0" w:space="0" w:color="auto"/>
                <w:left w:val="none" w:sz="0" w:space="0" w:color="auto"/>
                <w:bottom w:val="none" w:sz="0" w:space="0" w:color="auto"/>
                <w:right w:val="none" w:sz="0" w:space="0" w:color="auto"/>
              </w:divBdr>
            </w:div>
            <w:div w:id="1207598736">
              <w:marLeft w:val="0"/>
              <w:marRight w:val="0"/>
              <w:marTop w:val="0"/>
              <w:marBottom w:val="0"/>
              <w:divBdr>
                <w:top w:val="none" w:sz="0" w:space="0" w:color="auto"/>
                <w:left w:val="none" w:sz="0" w:space="0" w:color="auto"/>
                <w:bottom w:val="none" w:sz="0" w:space="0" w:color="auto"/>
                <w:right w:val="none" w:sz="0" w:space="0" w:color="auto"/>
              </w:divBdr>
            </w:div>
            <w:div w:id="193345925">
              <w:marLeft w:val="0"/>
              <w:marRight w:val="0"/>
              <w:marTop w:val="0"/>
              <w:marBottom w:val="0"/>
              <w:divBdr>
                <w:top w:val="none" w:sz="0" w:space="0" w:color="auto"/>
                <w:left w:val="none" w:sz="0" w:space="0" w:color="auto"/>
                <w:bottom w:val="none" w:sz="0" w:space="0" w:color="auto"/>
                <w:right w:val="none" w:sz="0" w:space="0" w:color="auto"/>
              </w:divBdr>
            </w:div>
            <w:div w:id="1082532413">
              <w:marLeft w:val="0"/>
              <w:marRight w:val="0"/>
              <w:marTop w:val="0"/>
              <w:marBottom w:val="0"/>
              <w:divBdr>
                <w:top w:val="none" w:sz="0" w:space="0" w:color="auto"/>
                <w:left w:val="none" w:sz="0" w:space="0" w:color="auto"/>
                <w:bottom w:val="none" w:sz="0" w:space="0" w:color="auto"/>
                <w:right w:val="none" w:sz="0" w:space="0" w:color="auto"/>
              </w:divBdr>
            </w:div>
            <w:div w:id="561987990">
              <w:marLeft w:val="0"/>
              <w:marRight w:val="0"/>
              <w:marTop w:val="0"/>
              <w:marBottom w:val="0"/>
              <w:divBdr>
                <w:top w:val="none" w:sz="0" w:space="0" w:color="auto"/>
                <w:left w:val="none" w:sz="0" w:space="0" w:color="auto"/>
                <w:bottom w:val="none" w:sz="0" w:space="0" w:color="auto"/>
                <w:right w:val="none" w:sz="0" w:space="0" w:color="auto"/>
              </w:divBdr>
            </w:div>
            <w:div w:id="622225824">
              <w:marLeft w:val="0"/>
              <w:marRight w:val="0"/>
              <w:marTop w:val="0"/>
              <w:marBottom w:val="0"/>
              <w:divBdr>
                <w:top w:val="none" w:sz="0" w:space="0" w:color="auto"/>
                <w:left w:val="none" w:sz="0" w:space="0" w:color="auto"/>
                <w:bottom w:val="none" w:sz="0" w:space="0" w:color="auto"/>
                <w:right w:val="none" w:sz="0" w:space="0" w:color="auto"/>
              </w:divBdr>
            </w:div>
            <w:div w:id="976453108">
              <w:marLeft w:val="0"/>
              <w:marRight w:val="0"/>
              <w:marTop w:val="0"/>
              <w:marBottom w:val="0"/>
              <w:divBdr>
                <w:top w:val="none" w:sz="0" w:space="0" w:color="auto"/>
                <w:left w:val="none" w:sz="0" w:space="0" w:color="auto"/>
                <w:bottom w:val="none" w:sz="0" w:space="0" w:color="auto"/>
                <w:right w:val="none" w:sz="0" w:space="0" w:color="auto"/>
              </w:divBdr>
            </w:div>
            <w:div w:id="434255691">
              <w:marLeft w:val="0"/>
              <w:marRight w:val="0"/>
              <w:marTop w:val="0"/>
              <w:marBottom w:val="0"/>
              <w:divBdr>
                <w:top w:val="none" w:sz="0" w:space="0" w:color="auto"/>
                <w:left w:val="none" w:sz="0" w:space="0" w:color="auto"/>
                <w:bottom w:val="none" w:sz="0" w:space="0" w:color="auto"/>
                <w:right w:val="none" w:sz="0" w:space="0" w:color="auto"/>
              </w:divBdr>
            </w:div>
            <w:div w:id="1101293420">
              <w:marLeft w:val="0"/>
              <w:marRight w:val="0"/>
              <w:marTop w:val="0"/>
              <w:marBottom w:val="0"/>
              <w:divBdr>
                <w:top w:val="none" w:sz="0" w:space="0" w:color="auto"/>
                <w:left w:val="none" w:sz="0" w:space="0" w:color="auto"/>
                <w:bottom w:val="none" w:sz="0" w:space="0" w:color="auto"/>
                <w:right w:val="none" w:sz="0" w:space="0" w:color="auto"/>
              </w:divBdr>
            </w:div>
            <w:div w:id="885137925">
              <w:marLeft w:val="0"/>
              <w:marRight w:val="0"/>
              <w:marTop w:val="0"/>
              <w:marBottom w:val="0"/>
              <w:divBdr>
                <w:top w:val="none" w:sz="0" w:space="0" w:color="auto"/>
                <w:left w:val="none" w:sz="0" w:space="0" w:color="auto"/>
                <w:bottom w:val="none" w:sz="0" w:space="0" w:color="auto"/>
                <w:right w:val="none" w:sz="0" w:space="0" w:color="auto"/>
              </w:divBdr>
            </w:div>
            <w:div w:id="729424959">
              <w:marLeft w:val="0"/>
              <w:marRight w:val="0"/>
              <w:marTop w:val="0"/>
              <w:marBottom w:val="0"/>
              <w:divBdr>
                <w:top w:val="none" w:sz="0" w:space="0" w:color="auto"/>
                <w:left w:val="none" w:sz="0" w:space="0" w:color="auto"/>
                <w:bottom w:val="none" w:sz="0" w:space="0" w:color="auto"/>
                <w:right w:val="none" w:sz="0" w:space="0" w:color="auto"/>
              </w:divBdr>
            </w:div>
            <w:div w:id="540016754">
              <w:marLeft w:val="0"/>
              <w:marRight w:val="0"/>
              <w:marTop w:val="0"/>
              <w:marBottom w:val="0"/>
              <w:divBdr>
                <w:top w:val="none" w:sz="0" w:space="0" w:color="auto"/>
                <w:left w:val="none" w:sz="0" w:space="0" w:color="auto"/>
                <w:bottom w:val="none" w:sz="0" w:space="0" w:color="auto"/>
                <w:right w:val="none" w:sz="0" w:space="0" w:color="auto"/>
              </w:divBdr>
            </w:div>
            <w:div w:id="572620771">
              <w:marLeft w:val="0"/>
              <w:marRight w:val="0"/>
              <w:marTop w:val="0"/>
              <w:marBottom w:val="0"/>
              <w:divBdr>
                <w:top w:val="none" w:sz="0" w:space="0" w:color="auto"/>
                <w:left w:val="none" w:sz="0" w:space="0" w:color="auto"/>
                <w:bottom w:val="none" w:sz="0" w:space="0" w:color="auto"/>
                <w:right w:val="none" w:sz="0" w:space="0" w:color="auto"/>
              </w:divBdr>
            </w:div>
            <w:div w:id="1130587949">
              <w:marLeft w:val="0"/>
              <w:marRight w:val="0"/>
              <w:marTop w:val="0"/>
              <w:marBottom w:val="0"/>
              <w:divBdr>
                <w:top w:val="none" w:sz="0" w:space="0" w:color="auto"/>
                <w:left w:val="none" w:sz="0" w:space="0" w:color="auto"/>
                <w:bottom w:val="none" w:sz="0" w:space="0" w:color="auto"/>
                <w:right w:val="none" w:sz="0" w:space="0" w:color="auto"/>
              </w:divBdr>
            </w:div>
            <w:div w:id="1470318837">
              <w:marLeft w:val="0"/>
              <w:marRight w:val="0"/>
              <w:marTop w:val="0"/>
              <w:marBottom w:val="0"/>
              <w:divBdr>
                <w:top w:val="none" w:sz="0" w:space="0" w:color="auto"/>
                <w:left w:val="none" w:sz="0" w:space="0" w:color="auto"/>
                <w:bottom w:val="none" w:sz="0" w:space="0" w:color="auto"/>
                <w:right w:val="none" w:sz="0" w:space="0" w:color="auto"/>
              </w:divBdr>
            </w:div>
            <w:div w:id="231743496">
              <w:marLeft w:val="0"/>
              <w:marRight w:val="0"/>
              <w:marTop w:val="0"/>
              <w:marBottom w:val="0"/>
              <w:divBdr>
                <w:top w:val="none" w:sz="0" w:space="0" w:color="auto"/>
                <w:left w:val="none" w:sz="0" w:space="0" w:color="auto"/>
                <w:bottom w:val="none" w:sz="0" w:space="0" w:color="auto"/>
                <w:right w:val="none" w:sz="0" w:space="0" w:color="auto"/>
              </w:divBdr>
            </w:div>
            <w:div w:id="1809324207">
              <w:marLeft w:val="0"/>
              <w:marRight w:val="0"/>
              <w:marTop w:val="0"/>
              <w:marBottom w:val="0"/>
              <w:divBdr>
                <w:top w:val="none" w:sz="0" w:space="0" w:color="auto"/>
                <w:left w:val="none" w:sz="0" w:space="0" w:color="auto"/>
                <w:bottom w:val="none" w:sz="0" w:space="0" w:color="auto"/>
                <w:right w:val="none" w:sz="0" w:space="0" w:color="auto"/>
              </w:divBdr>
            </w:div>
            <w:div w:id="285476501">
              <w:marLeft w:val="0"/>
              <w:marRight w:val="0"/>
              <w:marTop w:val="0"/>
              <w:marBottom w:val="0"/>
              <w:divBdr>
                <w:top w:val="none" w:sz="0" w:space="0" w:color="auto"/>
                <w:left w:val="none" w:sz="0" w:space="0" w:color="auto"/>
                <w:bottom w:val="none" w:sz="0" w:space="0" w:color="auto"/>
                <w:right w:val="none" w:sz="0" w:space="0" w:color="auto"/>
              </w:divBdr>
            </w:div>
            <w:div w:id="2106655319">
              <w:marLeft w:val="0"/>
              <w:marRight w:val="0"/>
              <w:marTop w:val="0"/>
              <w:marBottom w:val="0"/>
              <w:divBdr>
                <w:top w:val="none" w:sz="0" w:space="0" w:color="auto"/>
                <w:left w:val="none" w:sz="0" w:space="0" w:color="auto"/>
                <w:bottom w:val="none" w:sz="0" w:space="0" w:color="auto"/>
                <w:right w:val="none" w:sz="0" w:space="0" w:color="auto"/>
              </w:divBdr>
            </w:div>
            <w:div w:id="977339027">
              <w:marLeft w:val="0"/>
              <w:marRight w:val="0"/>
              <w:marTop w:val="0"/>
              <w:marBottom w:val="0"/>
              <w:divBdr>
                <w:top w:val="none" w:sz="0" w:space="0" w:color="auto"/>
                <w:left w:val="none" w:sz="0" w:space="0" w:color="auto"/>
                <w:bottom w:val="none" w:sz="0" w:space="0" w:color="auto"/>
                <w:right w:val="none" w:sz="0" w:space="0" w:color="auto"/>
              </w:divBdr>
            </w:div>
            <w:div w:id="1285649215">
              <w:marLeft w:val="0"/>
              <w:marRight w:val="0"/>
              <w:marTop w:val="0"/>
              <w:marBottom w:val="0"/>
              <w:divBdr>
                <w:top w:val="none" w:sz="0" w:space="0" w:color="auto"/>
                <w:left w:val="none" w:sz="0" w:space="0" w:color="auto"/>
                <w:bottom w:val="none" w:sz="0" w:space="0" w:color="auto"/>
                <w:right w:val="none" w:sz="0" w:space="0" w:color="auto"/>
              </w:divBdr>
            </w:div>
            <w:div w:id="1551258675">
              <w:marLeft w:val="0"/>
              <w:marRight w:val="0"/>
              <w:marTop w:val="0"/>
              <w:marBottom w:val="0"/>
              <w:divBdr>
                <w:top w:val="none" w:sz="0" w:space="0" w:color="auto"/>
                <w:left w:val="none" w:sz="0" w:space="0" w:color="auto"/>
                <w:bottom w:val="none" w:sz="0" w:space="0" w:color="auto"/>
                <w:right w:val="none" w:sz="0" w:space="0" w:color="auto"/>
              </w:divBdr>
            </w:div>
            <w:div w:id="1471022193">
              <w:marLeft w:val="0"/>
              <w:marRight w:val="0"/>
              <w:marTop w:val="0"/>
              <w:marBottom w:val="0"/>
              <w:divBdr>
                <w:top w:val="none" w:sz="0" w:space="0" w:color="auto"/>
                <w:left w:val="none" w:sz="0" w:space="0" w:color="auto"/>
                <w:bottom w:val="none" w:sz="0" w:space="0" w:color="auto"/>
                <w:right w:val="none" w:sz="0" w:space="0" w:color="auto"/>
              </w:divBdr>
            </w:div>
            <w:div w:id="1699505498">
              <w:marLeft w:val="0"/>
              <w:marRight w:val="0"/>
              <w:marTop w:val="0"/>
              <w:marBottom w:val="0"/>
              <w:divBdr>
                <w:top w:val="none" w:sz="0" w:space="0" w:color="auto"/>
                <w:left w:val="none" w:sz="0" w:space="0" w:color="auto"/>
                <w:bottom w:val="none" w:sz="0" w:space="0" w:color="auto"/>
                <w:right w:val="none" w:sz="0" w:space="0" w:color="auto"/>
              </w:divBdr>
            </w:div>
            <w:div w:id="1473019160">
              <w:marLeft w:val="0"/>
              <w:marRight w:val="0"/>
              <w:marTop w:val="0"/>
              <w:marBottom w:val="0"/>
              <w:divBdr>
                <w:top w:val="none" w:sz="0" w:space="0" w:color="auto"/>
                <w:left w:val="none" w:sz="0" w:space="0" w:color="auto"/>
                <w:bottom w:val="none" w:sz="0" w:space="0" w:color="auto"/>
                <w:right w:val="none" w:sz="0" w:space="0" w:color="auto"/>
              </w:divBdr>
            </w:div>
            <w:div w:id="1027295520">
              <w:marLeft w:val="0"/>
              <w:marRight w:val="0"/>
              <w:marTop w:val="0"/>
              <w:marBottom w:val="0"/>
              <w:divBdr>
                <w:top w:val="none" w:sz="0" w:space="0" w:color="auto"/>
                <w:left w:val="none" w:sz="0" w:space="0" w:color="auto"/>
                <w:bottom w:val="none" w:sz="0" w:space="0" w:color="auto"/>
                <w:right w:val="none" w:sz="0" w:space="0" w:color="auto"/>
              </w:divBdr>
            </w:div>
            <w:div w:id="1911961424">
              <w:marLeft w:val="0"/>
              <w:marRight w:val="0"/>
              <w:marTop w:val="0"/>
              <w:marBottom w:val="0"/>
              <w:divBdr>
                <w:top w:val="none" w:sz="0" w:space="0" w:color="auto"/>
                <w:left w:val="none" w:sz="0" w:space="0" w:color="auto"/>
                <w:bottom w:val="none" w:sz="0" w:space="0" w:color="auto"/>
                <w:right w:val="none" w:sz="0" w:space="0" w:color="auto"/>
              </w:divBdr>
            </w:div>
            <w:div w:id="556554736">
              <w:marLeft w:val="0"/>
              <w:marRight w:val="0"/>
              <w:marTop w:val="0"/>
              <w:marBottom w:val="0"/>
              <w:divBdr>
                <w:top w:val="none" w:sz="0" w:space="0" w:color="auto"/>
                <w:left w:val="none" w:sz="0" w:space="0" w:color="auto"/>
                <w:bottom w:val="none" w:sz="0" w:space="0" w:color="auto"/>
                <w:right w:val="none" w:sz="0" w:space="0" w:color="auto"/>
              </w:divBdr>
            </w:div>
            <w:div w:id="2131313670">
              <w:marLeft w:val="0"/>
              <w:marRight w:val="0"/>
              <w:marTop w:val="0"/>
              <w:marBottom w:val="0"/>
              <w:divBdr>
                <w:top w:val="none" w:sz="0" w:space="0" w:color="auto"/>
                <w:left w:val="none" w:sz="0" w:space="0" w:color="auto"/>
                <w:bottom w:val="none" w:sz="0" w:space="0" w:color="auto"/>
                <w:right w:val="none" w:sz="0" w:space="0" w:color="auto"/>
              </w:divBdr>
            </w:div>
            <w:div w:id="1110661822">
              <w:marLeft w:val="0"/>
              <w:marRight w:val="0"/>
              <w:marTop w:val="0"/>
              <w:marBottom w:val="0"/>
              <w:divBdr>
                <w:top w:val="none" w:sz="0" w:space="0" w:color="auto"/>
                <w:left w:val="none" w:sz="0" w:space="0" w:color="auto"/>
                <w:bottom w:val="none" w:sz="0" w:space="0" w:color="auto"/>
                <w:right w:val="none" w:sz="0" w:space="0" w:color="auto"/>
              </w:divBdr>
            </w:div>
            <w:div w:id="1057434465">
              <w:marLeft w:val="0"/>
              <w:marRight w:val="0"/>
              <w:marTop w:val="0"/>
              <w:marBottom w:val="0"/>
              <w:divBdr>
                <w:top w:val="none" w:sz="0" w:space="0" w:color="auto"/>
                <w:left w:val="none" w:sz="0" w:space="0" w:color="auto"/>
                <w:bottom w:val="none" w:sz="0" w:space="0" w:color="auto"/>
                <w:right w:val="none" w:sz="0" w:space="0" w:color="auto"/>
              </w:divBdr>
            </w:div>
            <w:div w:id="860817709">
              <w:marLeft w:val="0"/>
              <w:marRight w:val="0"/>
              <w:marTop w:val="0"/>
              <w:marBottom w:val="0"/>
              <w:divBdr>
                <w:top w:val="none" w:sz="0" w:space="0" w:color="auto"/>
                <w:left w:val="none" w:sz="0" w:space="0" w:color="auto"/>
                <w:bottom w:val="none" w:sz="0" w:space="0" w:color="auto"/>
                <w:right w:val="none" w:sz="0" w:space="0" w:color="auto"/>
              </w:divBdr>
            </w:div>
            <w:div w:id="137192696">
              <w:marLeft w:val="0"/>
              <w:marRight w:val="0"/>
              <w:marTop w:val="0"/>
              <w:marBottom w:val="0"/>
              <w:divBdr>
                <w:top w:val="none" w:sz="0" w:space="0" w:color="auto"/>
                <w:left w:val="none" w:sz="0" w:space="0" w:color="auto"/>
                <w:bottom w:val="none" w:sz="0" w:space="0" w:color="auto"/>
                <w:right w:val="none" w:sz="0" w:space="0" w:color="auto"/>
              </w:divBdr>
            </w:div>
            <w:div w:id="711345337">
              <w:marLeft w:val="0"/>
              <w:marRight w:val="0"/>
              <w:marTop w:val="0"/>
              <w:marBottom w:val="0"/>
              <w:divBdr>
                <w:top w:val="none" w:sz="0" w:space="0" w:color="auto"/>
                <w:left w:val="none" w:sz="0" w:space="0" w:color="auto"/>
                <w:bottom w:val="none" w:sz="0" w:space="0" w:color="auto"/>
                <w:right w:val="none" w:sz="0" w:space="0" w:color="auto"/>
              </w:divBdr>
            </w:div>
            <w:div w:id="469328089">
              <w:marLeft w:val="0"/>
              <w:marRight w:val="0"/>
              <w:marTop w:val="0"/>
              <w:marBottom w:val="0"/>
              <w:divBdr>
                <w:top w:val="none" w:sz="0" w:space="0" w:color="auto"/>
                <w:left w:val="none" w:sz="0" w:space="0" w:color="auto"/>
                <w:bottom w:val="none" w:sz="0" w:space="0" w:color="auto"/>
                <w:right w:val="none" w:sz="0" w:space="0" w:color="auto"/>
              </w:divBdr>
            </w:div>
            <w:div w:id="345250982">
              <w:marLeft w:val="0"/>
              <w:marRight w:val="0"/>
              <w:marTop w:val="0"/>
              <w:marBottom w:val="0"/>
              <w:divBdr>
                <w:top w:val="none" w:sz="0" w:space="0" w:color="auto"/>
                <w:left w:val="none" w:sz="0" w:space="0" w:color="auto"/>
                <w:bottom w:val="none" w:sz="0" w:space="0" w:color="auto"/>
                <w:right w:val="none" w:sz="0" w:space="0" w:color="auto"/>
              </w:divBdr>
            </w:div>
            <w:div w:id="710038215">
              <w:marLeft w:val="0"/>
              <w:marRight w:val="0"/>
              <w:marTop w:val="0"/>
              <w:marBottom w:val="0"/>
              <w:divBdr>
                <w:top w:val="none" w:sz="0" w:space="0" w:color="auto"/>
                <w:left w:val="none" w:sz="0" w:space="0" w:color="auto"/>
                <w:bottom w:val="none" w:sz="0" w:space="0" w:color="auto"/>
                <w:right w:val="none" w:sz="0" w:space="0" w:color="auto"/>
              </w:divBdr>
            </w:div>
            <w:div w:id="835609431">
              <w:marLeft w:val="0"/>
              <w:marRight w:val="0"/>
              <w:marTop w:val="0"/>
              <w:marBottom w:val="0"/>
              <w:divBdr>
                <w:top w:val="none" w:sz="0" w:space="0" w:color="auto"/>
                <w:left w:val="none" w:sz="0" w:space="0" w:color="auto"/>
                <w:bottom w:val="none" w:sz="0" w:space="0" w:color="auto"/>
                <w:right w:val="none" w:sz="0" w:space="0" w:color="auto"/>
              </w:divBdr>
            </w:div>
            <w:div w:id="331490697">
              <w:marLeft w:val="0"/>
              <w:marRight w:val="0"/>
              <w:marTop w:val="0"/>
              <w:marBottom w:val="0"/>
              <w:divBdr>
                <w:top w:val="none" w:sz="0" w:space="0" w:color="auto"/>
                <w:left w:val="none" w:sz="0" w:space="0" w:color="auto"/>
                <w:bottom w:val="none" w:sz="0" w:space="0" w:color="auto"/>
                <w:right w:val="none" w:sz="0" w:space="0" w:color="auto"/>
              </w:divBdr>
            </w:div>
            <w:div w:id="49503387">
              <w:marLeft w:val="0"/>
              <w:marRight w:val="0"/>
              <w:marTop w:val="0"/>
              <w:marBottom w:val="0"/>
              <w:divBdr>
                <w:top w:val="none" w:sz="0" w:space="0" w:color="auto"/>
                <w:left w:val="none" w:sz="0" w:space="0" w:color="auto"/>
                <w:bottom w:val="none" w:sz="0" w:space="0" w:color="auto"/>
                <w:right w:val="none" w:sz="0" w:space="0" w:color="auto"/>
              </w:divBdr>
            </w:div>
            <w:div w:id="1334257270">
              <w:marLeft w:val="0"/>
              <w:marRight w:val="0"/>
              <w:marTop w:val="0"/>
              <w:marBottom w:val="0"/>
              <w:divBdr>
                <w:top w:val="none" w:sz="0" w:space="0" w:color="auto"/>
                <w:left w:val="none" w:sz="0" w:space="0" w:color="auto"/>
                <w:bottom w:val="none" w:sz="0" w:space="0" w:color="auto"/>
                <w:right w:val="none" w:sz="0" w:space="0" w:color="auto"/>
              </w:divBdr>
            </w:div>
            <w:div w:id="45102680">
              <w:marLeft w:val="0"/>
              <w:marRight w:val="0"/>
              <w:marTop w:val="0"/>
              <w:marBottom w:val="0"/>
              <w:divBdr>
                <w:top w:val="none" w:sz="0" w:space="0" w:color="auto"/>
                <w:left w:val="none" w:sz="0" w:space="0" w:color="auto"/>
                <w:bottom w:val="none" w:sz="0" w:space="0" w:color="auto"/>
                <w:right w:val="none" w:sz="0" w:space="0" w:color="auto"/>
              </w:divBdr>
            </w:div>
            <w:div w:id="1415317996">
              <w:marLeft w:val="0"/>
              <w:marRight w:val="0"/>
              <w:marTop w:val="0"/>
              <w:marBottom w:val="0"/>
              <w:divBdr>
                <w:top w:val="none" w:sz="0" w:space="0" w:color="auto"/>
                <w:left w:val="none" w:sz="0" w:space="0" w:color="auto"/>
                <w:bottom w:val="none" w:sz="0" w:space="0" w:color="auto"/>
                <w:right w:val="none" w:sz="0" w:space="0" w:color="auto"/>
              </w:divBdr>
            </w:div>
            <w:div w:id="947810987">
              <w:marLeft w:val="0"/>
              <w:marRight w:val="0"/>
              <w:marTop w:val="0"/>
              <w:marBottom w:val="0"/>
              <w:divBdr>
                <w:top w:val="none" w:sz="0" w:space="0" w:color="auto"/>
                <w:left w:val="none" w:sz="0" w:space="0" w:color="auto"/>
                <w:bottom w:val="none" w:sz="0" w:space="0" w:color="auto"/>
                <w:right w:val="none" w:sz="0" w:space="0" w:color="auto"/>
              </w:divBdr>
            </w:div>
            <w:div w:id="1102263623">
              <w:marLeft w:val="0"/>
              <w:marRight w:val="0"/>
              <w:marTop w:val="0"/>
              <w:marBottom w:val="0"/>
              <w:divBdr>
                <w:top w:val="none" w:sz="0" w:space="0" w:color="auto"/>
                <w:left w:val="none" w:sz="0" w:space="0" w:color="auto"/>
                <w:bottom w:val="none" w:sz="0" w:space="0" w:color="auto"/>
                <w:right w:val="none" w:sz="0" w:space="0" w:color="auto"/>
              </w:divBdr>
            </w:div>
            <w:div w:id="171646171">
              <w:marLeft w:val="0"/>
              <w:marRight w:val="0"/>
              <w:marTop w:val="0"/>
              <w:marBottom w:val="0"/>
              <w:divBdr>
                <w:top w:val="none" w:sz="0" w:space="0" w:color="auto"/>
                <w:left w:val="none" w:sz="0" w:space="0" w:color="auto"/>
                <w:bottom w:val="none" w:sz="0" w:space="0" w:color="auto"/>
                <w:right w:val="none" w:sz="0" w:space="0" w:color="auto"/>
              </w:divBdr>
            </w:div>
            <w:div w:id="52315383">
              <w:marLeft w:val="0"/>
              <w:marRight w:val="0"/>
              <w:marTop w:val="0"/>
              <w:marBottom w:val="0"/>
              <w:divBdr>
                <w:top w:val="none" w:sz="0" w:space="0" w:color="auto"/>
                <w:left w:val="none" w:sz="0" w:space="0" w:color="auto"/>
                <w:bottom w:val="none" w:sz="0" w:space="0" w:color="auto"/>
                <w:right w:val="none" w:sz="0" w:space="0" w:color="auto"/>
              </w:divBdr>
            </w:div>
            <w:div w:id="1719279725">
              <w:marLeft w:val="0"/>
              <w:marRight w:val="0"/>
              <w:marTop w:val="0"/>
              <w:marBottom w:val="0"/>
              <w:divBdr>
                <w:top w:val="none" w:sz="0" w:space="0" w:color="auto"/>
                <w:left w:val="none" w:sz="0" w:space="0" w:color="auto"/>
                <w:bottom w:val="none" w:sz="0" w:space="0" w:color="auto"/>
                <w:right w:val="none" w:sz="0" w:space="0" w:color="auto"/>
              </w:divBdr>
            </w:div>
            <w:div w:id="435251612">
              <w:marLeft w:val="0"/>
              <w:marRight w:val="0"/>
              <w:marTop w:val="0"/>
              <w:marBottom w:val="0"/>
              <w:divBdr>
                <w:top w:val="none" w:sz="0" w:space="0" w:color="auto"/>
                <w:left w:val="none" w:sz="0" w:space="0" w:color="auto"/>
                <w:bottom w:val="none" w:sz="0" w:space="0" w:color="auto"/>
                <w:right w:val="none" w:sz="0" w:space="0" w:color="auto"/>
              </w:divBdr>
            </w:div>
            <w:div w:id="684089791">
              <w:marLeft w:val="0"/>
              <w:marRight w:val="0"/>
              <w:marTop w:val="0"/>
              <w:marBottom w:val="0"/>
              <w:divBdr>
                <w:top w:val="none" w:sz="0" w:space="0" w:color="auto"/>
                <w:left w:val="none" w:sz="0" w:space="0" w:color="auto"/>
                <w:bottom w:val="none" w:sz="0" w:space="0" w:color="auto"/>
                <w:right w:val="none" w:sz="0" w:space="0" w:color="auto"/>
              </w:divBdr>
            </w:div>
            <w:div w:id="12197043">
              <w:marLeft w:val="0"/>
              <w:marRight w:val="0"/>
              <w:marTop w:val="0"/>
              <w:marBottom w:val="0"/>
              <w:divBdr>
                <w:top w:val="none" w:sz="0" w:space="0" w:color="auto"/>
                <w:left w:val="none" w:sz="0" w:space="0" w:color="auto"/>
                <w:bottom w:val="none" w:sz="0" w:space="0" w:color="auto"/>
                <w:right w:val="none" w:sz="0" w:space="0" w:color="auto"/>
              </w:divBdr>
            </w:div>
            <w:div w:id="542254684">
              <w:marLeft w:val="0"/>
              <w:marRight w:val="0"/>
              <w:marTop w:val="0"/>
              <w:marBottom w:val="0"/>
              <w:divBdr>
                <w:top w:val="none" w:sz="0" w:space="0" w:color="auto"/>
                <w:left w:val="none" w:sz="0" w:space="0" w:color="auto"/>
                <w:bottom w:val="none" w:sz="0" w:space="0" w:color="auto"/>
                <w:right w:val="none" w:sz="0" w:space="0" w:color="auto"/>
              </w:divBdr>
            </w:div>
            <w:div w:id="1013604374">
              <w:marLeft w:val="0"/>
              <w:marRight w:val="0"/>
              <w:marTop w:val="0"/>
              <w:marBottom w:val="0"/>
              <w:divBdr>
                <w:top w:val="none" w:sz="0" w:space="0" w:color="auto"/>
                <w:left w:val="none" w:sz="0" w:space="0" w:color="auto"/>
                <w:bottom w:val="none" w:sz="0" w:space="0" w:color="auto"/>
                <w:right w:val="none" w:sz="0" w:space="0" w:color="auto"/>
              </w:divBdr>
            </w:div>
            <w:div w:id="1194270787">
              <w:marLeft w:val="0"/>
              <w:marRight w:val="0"/>
              <w:marTop w:val="0"/>
              <w:marBottom w:val="0"/>
              <w:divBdr>
                <w:top w:val="none" w:sz="0" w:space="0" w:color="auto"/>
                <w:left w:val="none" w:sz="0" w:space="0" w:color="auto"/>
                <w:bottom w:val="none" w:sz="0" w:space="0" w:color="auto"/>
                <w:right w:val="none" w:sz="0" w:space="0" w:color="auto"/>
              </w:divBdr>
            </w:div>
            <w:div w:id="1313018750">
              <w:marLeft w:val="0"/>
              <w:marRight w:val="0"/>
              <w:marTop w:val="0"/>
              <w:marBottom w:val="0"/>
              <w:divBdr>
                <w:top w:val="none" w:sz="0" w:space="0" w:color="auto"/>
                <w:left w:val="none" w:sz="0" w:space="0" w:color="auto"/>
                <w:bottom w:val="none" w:sz="0" w:space="0" w:color="auto"/>
                <w:right w:val="none" w:sz="0" w:space="0" w:color="auto"/>
              </w:divBdr>
            </w:div>
            <w:div w:id="1300303450">
              <w:marLeft w:val="0"/>
              <w:marRight w:val="0"/>
              <w:marTop w:val="0"/>
              <w:marBottom w:val="0"/>
              <w:divBdr>
                <w:top w:val="none" w:sz="0" w:space="0" w:color="auto"/>
                <w:left w:val="none" w:sz="0" w:space="0" w:color="auto"/>
                <w:bottom w:val="none" w:sz="0" w:space="0" w:color="auto"/>
                <w:right w:val="none" w:sz="0" w:space="0" w:color="auto"/>
              </w:divBdr>
            </w:div>
            <w:div w:id="536281147">
              <w:marLeft w:val="0"/>
              <w:marRight w:val="0"/>
              <w:marTop w:val="0"/>
              <w:marBottom w:val="0"/>
              <w:divBdr>
                <w:top w:val="none" w:sz="0" w:space="0" w:color="auto"/>
                <w:left w:val="none" w:sz="0" w:space="0" w:color="auto"/>
                <w:bottom w:val="none" w:sz="0" w:space="0" w:color="auto"/>
                <w:right w:val="none" w:sz="0" w:space="0" w:color="auto"/>
              </w:divBdr>
            </w:div>
            <w:div w:id="1714382164">
              <w:marLeft w:val="0"/>
              <w:marRight w:val="0"/>
              <w:marTop w:val="0"/>
              <w:marBottom w:val="0"/>
              <w:divBdr>
                <w:top w:val="none" w:sz="0" w:space="0" w:color="auto"/>
                <w:left w:val="none" w:sz="0" w:space="0" w:color="auto"/>
                <w:bottom w:val="none" w:sz="0" w:space="0" w:color="auto"/>
                <w:right w:val="none" w:sz="0" w:space="0" w:color="auto"/>
              </w:divBdr>
            </w:div>
            <w:div w:id="1932543168">
              <w:marLeft w:val="0"/>
              <w:marRight w:val="0"/>
              <w:marTop w:val="0"/>
              <w:marBottom w:val="0"/>
              <w:divBdr>
                <w:top w:val="none" w:sz="0" w:space="0" w:color="auto"/>
                <w:left w:val="none" w:sz="0" w:space="0" w:color="auto"/>
                <w:bottom w:val="none" w:sz="0" w:space="0" w:color="auto"/>
                <w:right w:val="none" w:sz="0" w:space="0" w:color="auto"/>
              </w:divBdr>
            </w:div>
            <w:div w:id="291986793">
              <w:marLeft w:val="0"/>
              <w:marRight w:val="0"/>
              <w:marTop w:val="0"/>
              <w:marBottom w:val="0"/>
              <w:divBdr>
                <w:top w:val="none" w:sz="0" w:space="0" w:color="auto"/>
                <w:left w:val="none" w:sz="0" w:space="0" w:color="auto"/>
                <w:bottom w:val="none" w:sz="0" w:space="0" w:color="auto"/>
                <w:right w:val="none" w:sz="0" w:space="0" w:color="auto"/>
              </w:divBdr>
            </w:div>
            <w:div w:id="393310258">
              <w:marLeft w:val="0"/>
              <w:marRight w:val="0"/>
              <w:marTop w:val="0"/>
              <w:marBottom w:val="0"/>
              <w:divBdr>
                <w:top w:val="none" w:sz="0" w:space="0" w:color="auto"/>
                <w:left w:val="none" w:sz="0" w:space="0" w:color="auto"/>
                <w:bottom w:val="none" w:sz="0" w:space="0" w:color="auto"/>
                <w:right w:val="none" w:sz="0" w:space="0" w:color="auto"/>
              </w:divBdr>
            </w:div>
            <w:div w:id="1272860736">
              <w:marLeft w:val="0"/>
              <w:marRight w:val="0"/>
              <w:marTop w:val="0"/>
              <w:marBottom w:val="0"/>
              <w:divBdr>
                <w:top w:val="none" w:sz="0" w:space="0" w:color="auto"/>
                <w:left w:val="none" w:sz="0" w:space="0" w:color="auto"/>
                <w:bottom w:val="none" w:sz="0" w:space="0" w:color="auto"/>
                <w:right w:val="none" w:sz="0" w:space="0" w:color="auto"/>
              </w:divBdr>
            </w:div>
            <w:div w:id="1230075190">
              <w:marLeft w:val="0"/>
              <w:marRight w:val="0"/>
              <w:marTop w:val="0"/>
              <w:marBottom w:val="0"/>
              <w:divBdr>
                <w:top w:val="none" w:sz="0" w:space="0" w:color="auto"/>
                <w:left w:val="none" w:sz="0" w:space="0" w:color="auto"/>
                <w:bottom w:val="none" w:sz="0" w:space="0" w:color="auto"/>
                <w:right w:val="none" w:sz="0" w:space="0" w:color="auto"/>
              </w:divBdr>
            </w:div>
            <w:div w:id="1100250468">
              <w:marLeft w:val="0"/>
              <w:marRight w:val="0"/>
              <w:marTop w:val="0"/>
              <w:marBottom w:val="0"/>
              <w:divBdr>
                <w:top w:val="none" w:sz="0" w:space="0" w:color="auto"/>
                <w:left w:val="none" w:sz="0" w:space="0" w:color="auto"/>
                <w:bottom w:val="none" w:sz="0" w:space="0" w:color="auto"/>
                <w:right w:val="none" w:sz="0" w:space="0" w:color="auto"/>
              </w:divBdr>
            </w:div>
            <w:div w:id="590940515">
              <w:marLeft w:val="0"/>
              <w:marRight w:val="0"/>
              <w:marTop w:val="0"/>
              <w:marBottom w:val="0"/>
              <w:divBdr>
                <w:top w:val="none" w:sz="0" w:space="0" w:color="auto"/>
                <w:left w:val="none" w:sz="0" w:space="0" w:color="auto"/>
                <w:bottom w:val="none" w:sz="0" w:space="0" w:color="auto"/>
                <w:right w:val="none" w:sz="0" w:space="0" w:color="auto"/>
              </w:divBdr>
            </w:div>
            <w:div w:id="811144701">
              <w:marLeft w:val="0"/>
              <w:marRight w:val="0"/>
              <w:marTop w:val="0"/>
              <w:marBottom w:val="0"/>
              <w:divBdr>
                <w:top w:val="none" w:sz="0" w:space="0" w:color="auto"/>
                <w:left w:val="none" w:sz="0" w:space="0" w:color="auto"/>
                <w:bottom w:val="none" w:sz="0" w:space="0" w:color="auto"/>
                <w:right w:val="none" w:sz="0" w:space="0" w:color="auto"/>
              </w:divBdr>
            </w:div>
            <w:div w:id="180168464">
              <w:marLeft w:val="0"/>
              <w:marRight w:val="0"/>
              <w:marTop w:val="0"/>
              <w:marBottom w:val="0"/>
              <w:divBdr>
                <w:top w:val="none" w:sz="0" w:space="0" w:color="auto"/>
                <w:left w:val="none" w:sz="0" w:space="0" w:color="auto"/>
                <w:bottom w:val="none" w:sz="0" w:space="0" w:color="auto"/>
                <w:right w:val="none" w:sz="0" w:space="0" w:color="auto"/>
              </w:divBdr>
            </w:div>
            <w:div w:id="348878576">
              <w:marLeft w:val="0"/>
              <w:marRight w:val="0"/>
              <w:marTop w:val="0"/>
              <w:marBottom w:val="0"/>
              <w:divBdr>
                <w:top w:val="none" w:sz="0" w:space="0" w:color="auto"/>
                <w:left w:val="none" w:sz="0" w:space="0" w:color="auto"/>
                <w:bottom w:val="none" w:sz="0" w:space="0" w:color="auto"/>
                <w:right w:val="none" w:sz="0" w:space="0" w:color="auto"/>
              </w:divBdr>
            </w:div>
            <w:div w:id="44643188">
              <w:marLeft w:val="0"/>
              <w:marRight w:val="0"/>
              <w:marTop w:val="0"/>
              <w:marBottom w:val="0"/>
              <w:divBdr>
                <w:top w:val="none" w:sz="0" w:space="0" w:color="auto"/>
                <w:left w:val="none" w:sz="0" w:space="0" w:color="auto"/>
                <w:bottom w:val="none" w:sz="0" w:space="0" w:color="auto"/>
                <w:right w:val="none" w:sz="0" w:space="0" w:color="auto"/>
              </w:divBdr>
            </w:div>
            <w:div w:id="198202762">
              <w:marLeft w:val="0"/>
              <w:marRight w:val="0"/>
              <w:marTop w:val="0"/>
              <w:marBottom w:val="0"/>
              <w:divBdr>
                <w:top w:val="none" w:sz="0" w:space="0" w:color="auto"/>
                <w:left w:val="none" w:sz="0" w:space="0" w:color="auto"/>
                <w:bottom w:val="none" w:sz="0" w:space="0" w:color="auto"/>
                <w:right w:val="none" w:sz="0" w:space="0" w:color="auto"/>
              </w:divBdr>
            </w:div>
            <w:div w:id="832795337">
              <w:marLeft w:val="0"/>
              <w:marRight w:val="0"/>
              <w:marTop w:val="0"/>
              <w:marBottom w:val="0"/>
              <w:divBdr>
                <w:top w:val="none" w:sz="0" w:space="0" w:color="auto"/>
                <w:left w:val="none" w:sz="0" w:space="0" w:color="auto"/>
                <w:bottom w:val="none" w:sz="0" w:space="0" w:color="auto"/>
                <w:right w:val="none" w:sz="0" w:space="0" w:color="auto"/>
              </w:divBdr>
            </w:div>
            <w:div w:id="982008683">
              <w:marLeft w:val="0"/>
              <w:marRight w:val="0"/>
              <w:marTop w:val="0"/>
              <w:marBottom w:val="0"/>
              <w:divBdr>
                <w:top w:val="none" w:sz="0" w:space="0" w:color="auto"/>
                <w:left w:val="none" w:sz="0" w:space="0" w:color="auto"/>
                <w:bottom w:val="none" w:sz="0" w:space="0" w:color="auto"/>
                <w:right w:val="none" w:sz="0" w:space="0" w:color="auto"/>
              </w:divBdr>
            </w:div>
            <w:div w:id="2066948267">
              <w:marLeft w:val="0"/>
              <w:marRight w:val="0"/>
              <w:marTop w:val="0"/>
              <w:marBottom w:val="0"/>
              <w:divBdr>
                <w:top w:val="none" w:sz="0" w:space="0" w:color="auto"/>
                <w:left w:val="none" w:sz="0" w:space="0" w:color="auto"/>
                <w:bottom w:val="none" w:sz="0" w:space="0" w:color="auto"/>
                <w:right w:val="none" w:sz="0" w:space="0" w:color="auto"/>
              </w:divBdr>
            </w:div>
            <w:div w:id="1650939967">
              <w:marLeft w:val="0"/>
              <w:marRight w:val="0"/>
              <w:marTop w:val="0"/>
              <w:marBottom w:val="0"/>
              <w:divBdr>
                <w:top w:val="none" w:sz="0" w:space="0" w:color="auto"/>
                <w:left w:val="none" w:sz="0" w:space="0" w:color="auto"/>
                <w:bottom w:val="none" w:sz="0" w:space="0" w:color="auto"/>
                <w:right w:val="none" w:sz="0" w:space="0" w:color="auto"/>
              </w:divBdr>
            </w:div>
            <w:div w:id="365983140">
              <w:marLeft w:val="0"/>
              <w:marRight w:val="0"/>
              <w:marTop w:val="0"/>
              <w:marBottom w:val="0"/>
              <w:divBdr>
                <w:top w:val="none" w:sz="0" w:space="0" w:color="auto"/>
                <w:left w:val="none" w:sz="0" w:space="0" w:color="auto"/>
                <w:bottom w:val="none" w:sz="0" w:space="0" w:color="auto"/>
                <w:right w:val="none" w:sz="0" w:space="0" w:color="auto"/>
              </w:divBdr>
            </w:div>
            <w:div w:id="1170485098">
              <w:marLeft w:val="0"/>
              <w:marRight w:val="0"/>
              <w:marTop w:val="0"/>
              <w:marBottom w:val="0"/>
              <w:divBdr>
                <w:top w:val="none" w:sz="0" w:space="0" w:color="auto"/>
                <w:left w:val="none" w:sz="0" w:space="0" w:color="auto"/>
                <w:bottom w:val="none" w:sz="0" w:space="0" w:color="auto"/>
                <w:right w:val="none" w:sz="0" w:space="0" w:color="auto"/>
              </w:divBdr>
            </w:div>
            <w:div w:id="452094014">
              <w:marLeft w:val="0"/>
              <w:marRight w:val="0"/>
              <w:marTop w:val="0"/>
              <w:marBottom w:val="0"/>
              <w:divBdr>
                <w:top w:val="none" w:sz="0" w:space="0" w:color="auto"/>
                <w:left w:val="none" w:sz="0" w:space="0" w:color="auto"/>
                <w:bottom w:val="none" w:sz="0" w:space="0" w:color="auto"/>
                <w:right w:val="none" w:sz="0" w:space="0" w:color="auto"/>
              </w:divBdr>
            </w:div>
            <w:div w:id="1259482219">
              <w:marLeft w:val="0"/>
              <w:marRight w:val="0"/>
              <w:marTop w:val="0"/>
              <w:marBottom w:val="0"/>
              <w:divBdr>
                <w:top w:val="none" w:sz="0" w:space="0" w:color="auto"/>
                <w:left w:val="none" w:sz="0" w:space="0" w:color="auto"/>
                <w:bottom w:val="none" w:sz="0" w:space="0" w:color="auto"/>
                <w:right w:val="none" w:sz="0" w:space="0" w:color="auto"/>
              </w:divBdr>
            </w:div>
            <w:div w:id="255791188">
              <w:marLeft w:val="0"/>
              <w:marRight w:val="0"/>
              <w:marTop w:val="0"/>
              <w:marBottom w:val="0"/>
              <w:divBdr>
                <w:top w:val="none" w:sz="0" w:space="0" w:color="auto"/>
                <w:left w:val="none" w:sz="0" w:space="0" w:color="auto"/>
                <w:bottom w:val="none" w:sz="0" w:space="0" w:color="auto"/>
                <w:right w:val="none" w:sz="0" w:space="0" w:color="auto"/>
              </w:divBdr>
            </w:div>
            <w:div w:id="1677878399">
              <w:marLeft w:val="0"/>
              <w:marRight w:val="0"/>
              <w:marTop w:val="0"/>
              <w:marBottom w:val="0"/>
              <w:divBdr>
                <w:top w:val="none" w:sz="0" w:space="0" w:color="auto"/>
                <w:left w:val="none" w:sz="0" w:space="0" w:color="auto"/>
                <w:bottom w:val="none" w:sz="0" w:space="0" w:color="auto"/>
                <w:right w:val="none" w:sz="0" w:space="0" w:color="auto"/>
              </w:divBdr>
            </w:div>
            <w:div w:id="21054573">
              <w:marLeft w:val="0"/>
              <w:marRight w:val="0"/>
              <w:marTop w:val="0"/>
              <w:marBottom w:val="0"/>
              <w:divBdr>
                <w:top w:val="none" w:sz="0" w:space="0" w:color="auto"/>
                <w:left w:val="none" w:sz="0" w:space="0" w:color="auto"/>
                <w:bottom w:val="none" w:sz="0" w:space="0" w:color="auto"/>
                <w:right w:val="none" w:sz="0" w:space="0" w:color="auto"/>
              </w:divBdr>
            </w:div>
            <w:div w:id="411389861">
              <w:marLeft w:val="0"/>
              <w:marRight w:val="0"/>
              <w:marTop w:val="0"/>
              <w:marBottom w:val="0"/>
              <w:divBdr>
                <w:top w:val="none" w:sz="0" w:space="0" w:color="auto"/>
                <w:left w:val="none" w:sz="0" w:space="0" w:color="auto"/>
                <w:bottom w:val="none" w:sz="0" w:space="0" w:color="auto"/>
                <w:right w:val="none" w:sz="0" w:space="0" w:color="auto"/>
              </w:divBdr>
            </w:div>
            <w:div w:id="523902874">
              <w:marLeft w:val="0"/>
              <w:marRight w:val="0"/>
              <w:marTop w:val="0"/>
              <w:marBottom w:val="0"/>
              <w:divBdr>
                <w:top w:val="none" w:sz="0" w:space="0" w:color="auto"/>
                <w:left w:val="none" w:sz="0" w:space="0" w:color="auto"/>
                <w:bottom w:val="none" w:sz="0" w:space="0" w:color="auto"/>
                <w:right w:val="none" w:sz="0" w:space="0" w:color="auto"/>
              </w:divBdr>
            </w:div>
            <w:div w:id="2009824112">
              <w:marLeft w:val="0"/>
              <w:marRight w:val="0"/>
              <w:marTop w:val="0"/>
              <w:marBottom w:val="0"/>
              <w:divBdr>
                <w:top w:val="none" w:sz="0" w:space="0" w:color="auto"/>
                <w:left w:val="none" w:sz="0" w:space="0" w:color="auto"/>
                <w:bottom w:val="none" w:sz="0" w:space="0" w:color="auto"/>
                <w:right w:val="none" w:sz="0" w:space="0" w:color="auto"/>
              </w:divBdr>
            </w:div>
            <w:div w:id="888690093">
              <w:marLeft w:val="0"/>
              <w:marRight w:val="0"/>
              <w:marTop w:val="0"/>
              <w:marBottom w:val="0"/>
              <w:divBdr>
                <w:top w:val="none" w:sz="0" w:space="0" w:color="auto"/>
                <w:left w:val="none" w:sz="0" w:space="0" w:color="auto"/>
                <w:bottom w:val="none" w:sz="0" w:space="0" w:color="auto"/>
                <w:right w:val="none" w:sz="0" w:space="0" w:color="auto"/>
              </w:divBdr>
            </w:div>
            <w:div w:id="1574970840">
              <w:marLeft w:val="0"/>
              <w:marRight w:val="0"/>
              <w:marTop w:val="0"/>
              <w:marBottom w:val="0"/>
              <w:divBdr>
                <w:top w:val="none" w:sz="0" w:space="0" w:color="auto"/>
                <w:left w:val="none" w:sz="0" w:space="0" w:color="auto"/>
                <w:bottom w:val="none" w:sz="0" w:space="0" w:color="auto"/>
                <w:right w:val="none" w:sz="0" w:space="0" w:color="auto"/>
              </w:divBdr>
            </w:div>
            <w:div w:id="1348367390">
              <w:marLeft w:val="0"/>
              <w:marRight w:val="0"/>
              <w:marTop w:val="0"/>
              <w:marBottom w:val="0"/>
              <w:divBdr>
                <w:top w:val="none" w:sz="0" w:space="0" w:color="auto"/>
                <w:left w:val="none" w:sz="0" w:space="0" w:color="auto"/>
                <w:bottom w:val="none" w:sz="0" w:space="0" w:color="auto"/>
                <w:right w:val="none" w:sz="0" w:space="0" w:color="auto"/>
              </w:divBdr>
            </w:div>
            <w:div w:id="1512717941">
              <w:marLeft w:val="0"/>
              <w:marRight w:val="0"/>
              <w:marTop w:val="0"/>
              <w:marBottom w:val="0"/>
              <w:divBdr>
                <w:top w:val="none" w:sz="0" w:space="0" w:color="auto"/>
                <w:left w:val="none" w:sz="0" w:space="0" w:color="auto"/>
                <w:bottom w:val="none" w:sz="0" w:space="0" w:color="auto"/>
                <w:right w:val="none" w:sz="0" w:space="0" w:color="auto"/>
              </w:divBdr>
            </w:div>
            <w:div w:id="477036968">
              <w:marLeft w:val="0"/>
              <w:marRight w:val="0"/>
              <w:marTop w:val="0"/>
              <w:marBottom w:val="0"/>
              <w:divBdr>
                <w:top w:val="none" w:sz="0" w:space="0" w:color="auto"/>
                <w:left w:val="none" w:sz="0" w:space="0" w:color="auto"/>
                <w:bottom w:val="none" w:sz="0" w:space="0" w:color="auto"/>
                <w:right w:val="none" w:sz="0" w:space="0" w:color="auto"/>
              </w:divBdr>
            </w:div>
            <w:div w:id="148326516">
              <w:marLeft w:val="0"/>
              <w:marRight w:val="0"/>
              <w:marTop w:val="0"/>
              <w:marBottom w:val="0"/>
              <w:divBdr>
                <w:top w:val="none" w:sz="0" w:space="0" w:color="auto"/>
                <w:left w:val="none" w:sz="0" w:space="0" w:color="auto"/>
                <w:bottom w:val="none" w:sz="0" w:space="0" w:color="auto"/>
                <w:right w:val="none" w:sz="0" w:space="0" w:color="auto"/>
              </w:divBdr>
            </w:div>
            <w:div w:id="518276335">
              <w:marLeft w:val="0"/>
              <w:marRight w:val="0"/>
              <w:marTop w:val="0"/>
              <w:marBottom w:val="0"/>
              <w:divBdr>
                <w:top w:val="none" w:sz="0" w:space="0" w:color="auto"/>
                <w:left w:val="none" w:sz="0" w:space="0" w:color="auto"/>
                <w:bottom w:val="none" w:sz="0" w:space="0" w:color="auto"/>
                <w:right w:val="none" w:sz="0" w:space="0" w:color="auto"/>
              </w:divBdr>
            </w:div>
            <w:div w:id="826552963">
              <w:marLeft w:val="0"/>
              <w:marRight w:val="0"/>
              <w:marTop w:val="0"/>
              <w:marBottom w:val="0"/>
              <w:divBdr>
                <w:top w:val="none" w:sz="0" w:space="0" w:color="auto"/>
                <w:left w:val="none" w:sz="0" w:space="0" w:color="auto"/>
                <w:bottom w:val="none" w:sz="0" w:space="0" w:color="auto"/>
                <w:right w:val="none" w:sz="0" w:space="0" w:color="auto"/>
              </w:divBdr>
            </w:div>
            <w:div w:id="1607998561">
              <w:marLeft w:val="0"/>
              <w:marRight w:val="0"/>
              <w:marTop w:val="0"/>
              <w:marBottom w:val="0"/>
              <w:divBdr>
                <w:top w:val="none" w:sz="0" w:space="0" w:color="auto"/>
                <w:left w:val="none" w:sz="0" w:space="0" w:color="auto"/>
                <w:bottom w:val="none" w:sz="0" w:space="0" w:color="auto"/>
                <w:right w:val="none" w:sz="0" w:space="0" w:color="auto"/>
              </w:divBdr>
            </w:div>
            <w:div w:id="1129084528">
              <w:marLeft w:val="0"/>
              <w:marRight w:val="0"/>
              <w:marTop w:val="0"/>
              <w:marBottom w:val="0"/>
              <w:divBdr>
                <w:top w:val="none" w:sz="0" w:space="0" w:color="auto"/>
                <w:left w:val="none" w:sz="0" w:space="0" w:color="auto"/>
                <w:bottom w:val="none" w:sz="0" w:space="0" w:color="auto"/>
                <w:right w:val="none" w:sz="0" w:space="0" w:color="auto"/>
              </w:divBdr>
            </w:div>
            <w:div w:id="1616787668">
              <w:marLeft w:val="0"/>
              <w:marRight w:val="0"/>
              <w:marTop w:val="0"/>
              <w:marBottom w:val="0"/>
              <w:divBdr>
                <w:top w:val="none" w:sz="0" w:space="0" w:color="auto"/>
                <w:left w:val="none" w:sz="0" w:space="0" w:color="auto"/>
                <w:bottom w:val="none" w:sz="0" w:space="0" w:color="auto"/>
                <w:right w:val="none" w:sz="0" w:space="0" w:color="auto"/>
              </w:divBdr>
            </w:div>
            <w:div w:id="973406736">
              <w:marLeft w:val="0"/>
              <w:marRight w:val="0"/>
              <w:marTop w:val="0"/>
              <w:marBottom w:val="0"/>
              <w:divBdr>
                <w:top w:val="none" w:sz="0" w:space="0" w:color="auto"/>
                <w:left w:val="none" w:sz="0" w:space="0" w:color="auto"/>
                <w:bottom w:val="none" w:sz="0" w:space="0" w:color="auto"/>
                <w:right w:val="none" w:sz="0" w:space="0" w:color="auto"/>
              </w:divBdr>
            </w:div>
            <w:div w:id="689338526">
              <w:marLeft w:val="0"/>
              <w:marRight w:val="0"/>
              <w:marTop w:val="0"/>
              <w:marBottom w:val="0"/>
              <w:divBdr>
                <w:top w:val="none" w:sz="0" w:space="0" w:color="auto"/>
                <w:left w:val="none" w:sz="0" w:space="0" w:color="auto"/>
                <w:bottom w:val="none" w:sz="0" w:space="0" w:color="auto"/>
                <w:right w:val="none" w:sz="0" w:space="0" w:color="auto"/>
              </w:divBdr>
            </w:div>
            <w:div w:id="1770663890">
              <w:marLeft w:val="0"/>
              <w:marRight w:val="0"/>
              <w:marTop w:val="0"/>
              <w:marBottom w:val="0"/>
              <w:divBdr>
                <w:top w:val="none" w:sz="0" w:space="0" w:color="auto"/>
                <w:left w:val="none" w:sz="0" w:space="0" w:color="auto"/>
                <w:bottom w:val="none" w:sz="0" w:space="0" w:color="auto"/>
                <w:right w:val="none" w:sz="0" w:space="0" w:color="auto"/>
              </w:divBdr>
            </w:div>
            <w:div w:id="816338132">
              <w:marLeft w:val="0"/>
              <w:marRight w:val="0"/>
              <w:marTop w:val="0"/>
              <w:marBottom w:val="0"/>
              <w:divBdr>
                <w:top w:val="none" w:sz="0" w:space="0" w:color="auto"/>
                <w:left w:val="none" w:sz="0" w:space="0" w:color="auto"/>
                <w:bottom w:val="none" w:sz="0" w:space="0" w:color="auto"/>
                <w:right w:val="none" w:sz="0" w:space="0" w:color="auto"/>
              </w:divBdr>
            </w:div>
            <w:div w:id="1737314744">
              <w:marLeft w:val="0"/>
              <w:marRight w:val="0"/>
              <w:marTop w:val="0"/>
              <w:marBottom w:val="0"/>
              <w:divBdr>
                <w:top w:val="none" w:sz="0" w:space="0" w:color="auto"/>
                <w:left w:val="none" w:sz="0" w:space="0" w:color="auto"/>
                <w:bottom w:val="none" w:sz="0" w:space="0" w:color="auto"/>
                <w:right w:val="none" w:sz="0" w:space="0" w:color="auto"/>
              </w:divBdr>
            </w:div>
            <w:div w:id="445007545">
              <w:marLeft w:val="0"/>
              <w:marRight w:val="0"/>
              <w:marTop w:val="0"/>
              <w:marBottom w:val="0"/>
              <w:divBdr>
                <w:top w:val="none" w:sz="0" w:space="0" w:color="auto"/>
                <w:left w:val="none" w:sz="0" w:space="0" w:color="auto"/>
                <w:bottom w:val="none" w:sz="0" w:space="0" w:color="auto"/>
                <w:right w:val="none" w:sz="0" w:space="0" w:color="auto"/>
              </w:divBdr>
            </w:div>
            <w:div w:id="1461072383">
              <w:marLeft w:val="0"/>
              <w:marRight w:val="0"/>
              <w:marTop w:val="0"/>
              <w:marBottom w:val="0"/>
              <w:divBdr>
                <w:top w:val="none" w:sz="0" w:space="0" w:color="auto"/>
                <w:left w:val="none" w:sz="0" w:space="0" w:color="auto"/>
                <w:bottom w:val="none" w:sz="0" w:space="0" w:color="auto"/>
                <w:right w:val="none" w:sz="0" w:space="0" w:color="auto"/>
              </w:divBdr>
            </w:div>
            <w:div w:id="401148637">
              <w:marLeft w:val="0"/>
              <w:marRight w:val="0"/>
              <w:marTop w:val="0"/>
              <w:marBottom w:val="0"/>
              <w:divBdr>
                <w:top w:val="none" w:sz="0" w:space="0" w:color="auto"/>
                <w:left w:val="none" w:sz="0" w:space="0" w:color="auto"/>
                <w:bottom w:val="none" w:sz="0" w:space="0" w:color="auto"/>
                <w:right w:val="none" w:sz="0" w:space="0" w:color="auto"/>
              </w:divBdr>
            </w:div>
            <w:div w:id="1173641152">
              <w:marLeft w:val="0"/>
              <w:marRight w:val="0"/>
              <w:marTop w:val="0"/>
              <w:marBottom w:val="0"/>
              <w:divBdr>
                <w:top w:val="none" w:sz="0" w:space="0" w:color="auto"/>
                <w:left w:val="none" w:sz="0" w:space="0" w:color="auto"/>
                <w:bottom w:val="none" w:sz="0" w:space="0" w:color="auto"/>
                <w:right w:val="none" w:sz="0" w:space="0" w:color="auto"/>
              </w:divBdr>
            </w:div>
            <w:div w:id="166873751">
              <w:marLeft w:val="0"/>
              <w:marRight w:val="0"/>
              <w:marTop w:val="0"/>
              <w:marBottom w:val="0"/>
              <w:divBdr>
                <w:top w:val="none" w:sz="0" w:space="0" w:color="auto"/>
                <w:left w:val="none" w:sz="0" w:space="0" w:color="auto"/>
                <w:bottom w:val="none" w:sz="0" w:space="0" w:color="auto"/>
                <w:right w:val="none" w:sz="0" w:space="0" w:color="auto"/>
              </w:divBdr>
            </w:div>
            <w:div w:id="290089475">
              <w:marLeft w:val="0"/>
              <w:marRight w:val="0"/>
              <w:marTop w:val="0"/>
              <w:marBottom w:val="0"/>
              <w:divBdr>
                <w:top w:val="none" w:sz="0" w:space="0" w:color="auto"/>
                <w:left w:val="none" w:sz="0" w:space="0" w:color="auto"/>
                <w:bottom w:val="none" w:sz="0" w:space="0" w:color="auto"/>
                <w:right w:val="none" w:sz="0" w:space="0" w:color="auto"/>
              </w:divBdr>
            </w:div>
            <w:div w:id="563176014">
              <w:marLeft w:val="0"/>
              <w:marRight w:val="0"/>
              <w:marTop w:val="0"/>
              <w:marBottom w:val="0"/>
              <w:divBdr>
                <w:top w:val="none" w:sz="0" w:space="0" w:color="auto"/>
                <w:left w:val="none" w:sz="0" w:space="0" w:color="auto"/>
                <w:bottom w:val="none" w:sz="0" w:space="0" w:color="auto"/>
                <w:right w:val="none" w:sz="0" w:space="0" w:color="auto"/>
              </w:divBdr>
            </w:div>
            <w:div w:id="1940285150">
              <w:marLeft w:val="0"/>
              <w:marRight w:val="0"/>
              <w:marTop w:val="0"/>
              <w:marBottom w:val="0"/>
              <w:divBdr>
                <w:top w:val="none" w:sz="0" w:space="0" w:color="auto"/>
                <w:left w:val="none" w:sz="0" w:space="0" w:color="auto"/>
                <w:bottom w:val="none" w:sz="0" w:space="0" w:color="auto"/>
                <w:right w:val="none" w:sz="0" w:space="0" w:color="auto"/>
              </w:divBdr>
            </w:div>
            <w:div w:id="1992441457">
              <w:marLeft w:val="0"/>
              <w:marRight w:val="0"/>
              <w:marTop w:val="0"/>
              <w:marBottom w:val="0"/>
              <w:divBdr>
                <w:top w:val="none" w:sz="0" w:space="0" w:color="auto"/>
                <w:left w:val="none" w:sz="0" w:space="0" w:color="auto"/>
                <w:bottom w:val="none" w:sz="0" w:space="0" w:color="auto"/>
                <w:right w:val="none" w:sz="0" w:space="0" w:color="auto"/>
              </w:divBdr>
            </w:div>
            <w:div w:id="423961110">
              <w:marLeft w:val="0"/>
              <w:marRight w:val="0"/>
              <w:marTop w:val="0"/>
              <w:marBottom w:val="0"/>
              <w:divBdr>
                <w:top w:val="none" w:sz="0" w:space="0" w:color="auto"/>
                <w:left w:val="none" w:sz="0" w:space="0" w:color="auto"/>
                <w:bottom w:val="none" w:sz="0" w:space="0" w:color="auto"/>
                <w:right w:val="none" w:sz="0" w:space="0" w:color="auto"/>
              </w:divBdr>
            </w:div>
            <w:div w:id="762069978">
              <w:marLeft w:val="0"/>
              <w:marRight w:val="0"/>
              <w:marTop w:val="0"/>
              <w:marBottom w:val="0"/>
              <w:divBdr>
                <w:top w:val="none" w:sz="0" w:space="0" w:color="auto"/>
                <w:left w:val="none" w:sz="0" w:space="0" w:color="auto"/>
                <w:bottom w:val="none" w:sz="0" w:space="0" w:color="auto"/>
                <w:right w:val="none" w:sz="0" w:space="0" w:color="auto"/>
              </w:divBdr>
            </w:div>
            <w:div w:id="215354561">
              <w:marLeft w:val="0"/>
              <w:marRight w:val="0"/>
              <w:marTop w:val="0"/>
              <w:marBottom w:val="0"/>
              <w:divBdr>
                <w:top w:val="none" w:sz="0" w:space="0" w:color="auto"/>
                <w:left w:val="none" w:sz="0" w:space="0" w:color="auto"/>
                <w:bottom w:val="none" w:sz="0" w:space="0" w:color="auto"/>
                <w:right w:val="none" w:sz="0" w:space="0" w:color="auto"/>
              </w:divBdr>
            </w:div>
            <w:div w:id="1561356950">
              <w:marLeft w:val="0"/>
              <w:marRight w:val="0"/>
              <w:marTop w:val="0"/>
              <w:marBottom w:val="0"/>
              <w:divBdr>
                <w:top w:val="none" w:sz="0" w:space="0" w:color="auto"/>
                <w:left w:val="none" w:sz="0" w:space="0" w:color="auto"/>
                <w:bottom w:val="none" w:sz="0" w:space="0" w:color="auto"/>
                <w:right w:val="none" w:sz="0" w:space="0" w:color="auto"/>
              </w:divBdr>
            </w:div>
            <w:div w:id="649334345">
              <w:marLeft w:val="0"/>
              <w:marRight w:val="0"/>
              <w:marTop w:val="0"/>
              <w:marBottom w:val="0"/>
              <w:divBdr>
                <w:top w:val="none" w:sz="0" w:space="0" w:color="auto"/>
                <w:left w:val="none" w:sz="0" w:space="0" w:color="auto"/>
                <w:bottom w:val="none" w:sz="0" w:space="0" w:color="auto"/>
                <w:right w:val="none" w:sz="0" w:space="0" w:color="auto"/>
              </w:divBdr>
            </w:div>
            <w:div w:id="596982854">
              <w:marLeft w:val="0"/>
              <w:marRight w:val="0"/>
              <w:marTop w:val="0"/>
              <w:marBottom w:val="0"/>
              <w:divBdr>
                <w:top w:val="none" w:sz="0" w:space="0" w:color="auto"/>
                <w:left w:val="none" w:sz="0" w:space="0" w:color="auto"/>
                <w:bottom w:val="none" w:sz="0" w:space="0" w:color="auto"/>
                <w:right w:val="none" w:sz="0" w:space="0" w:color="auto"/>
              </w:divBdr>
            </w:div>
            <w:div w:id="1351948353">
              <w:marLeft w:val="0"/>
              <w:marRight w:val="0"/>
              <w:marTop w:val="0"/>
              <w:marBottom w:val="0"/>
              <w:divBdr>
                <w:top w:val="none" w:sz="0" w:space="0" w:color="auto"/>
                <w:left w:val="none" w:sz="0" w:space="0" w:color="auto"/>
                <w:bottom w:val="none" w:sz="0" w:space="0" w:color="auto"/>
                <w:right w:val="none" w:sz="0" w:space="0" w:color="auto"/>
              </w:divBdr>
            </w:div>
            <w:div w:id="1915384985">
              <w:marLeft w:val="0"/>
              <w:marRight w:val="0"/>
              <w:marTop w:val="0"/>
              <w:marBottom w:val="0"/>
              <w:divBdr>
                <w:top w:val="none" w:sz="0" w:space="0" w:color="auto"/>
                <w:left w:val="none" w:sz="0" w:space="0" w:color="auto"/>
                <w:bottom w:val="none" w:sz="0" w:space="0" w:color="auto"/>
                <w:right w:val="none" w:sz="0" w:space="0" w:color="auto"/>
              </w:divBdr>
            </w:div>
            <w:div w:id="1264679581">
              <w:marLeft w:val="0"/>
              <w:marRight w:val="0"/>
              <w:marTop w:val="0"/>
              <w:marBottom w:val="0"/>
              <w:divBdr>
                <w:top w:val="none" w:sz="0" w:space="0" w:color="auto"/>
                <w:left w:val="none" w:sz="0" w:space="0" w:color="auto"/>
                <w:bottom w:val="none" w:sz="0" w:space="0" w:color="auto"/>
                <w:right w:val="none" w:sz="0" w:space="0" w:color="auto"/>
              </w:divBdr>
            </w:div>
            <w:div w:id="2111392825">
              <w:marLeft w:val="0"/>
              <w:marRight w:val="0"/>
              <w:marTop w:val="0"/>
              <w:marBottom w:val="0"/>
              <w:divBdr>
                <w:top w:val="none" w:sz="0" w:space="0" w:color="auto"/>
                <w:left w:val="none" w:sz="0" w:space="0" w:color="auto"/>
                <w:bottom w:val="none" w:sz="0" w:space="0" w:color="auto"/>
                <w:right w:val="none" w:sz="0" w:space="0" w:color="auto"/>
              </w:divBdr>
            </w:div>
            <w:div w:id="1390498523">
              <w:marLeft w:val="0"/>
              <w:marRight w:val="0"/>
              <w:marTop w:val="0"/>
              <w:marBottom w:val="0"/>
              <w:divBdr>
                <w:top w:val="none" w:sz="0" w:space="0" w:color="auto"/>
                <w:left w:val="none" w:sz="0" w:space="0" w:color="auto"/>
                <w:bottom w:val="none" w:sz="0" w:space="0" w:color="auto"/>
                <w:right w:val="none" w:sz="0" w:space="0" w:color="auto"/>
              </w:divBdr>
            </w:div>
            <w:div w:id="13298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19596">
      <w:bodyDiv w:val="1"/>
      <w:marLeft w:val="0"/>
      <w:marRight w:val="0"/>
      <w:marTop w:val="0"/>
      <w:marBottom w:val="0"/>
      <w:divBdr>
        <w:top w:val="none" w:sz="0" w:space="0" w:color="auto"/>
        <w:left w:val="none" w:sz="0" w:space="0" w:color="auto"/>
        <w:bottom w:val="none" w:sz="0" w:space="0" w:color="auto"/>
        <w:right w:val="none" w:sz="0" w:space="0" w:color="auto"/>
      </w:divBdr>
    </w:div>
    <w:div w:id="952631583">
      <w:bodyDiv w:val="1"/>
      <w:marLeft w:val="0"/>
      <w:marRight w:val="0"/>
      <w:marTop w:val="0"/>
      <w:marBottom w:val="0"/>
      <w:divBdr>
        <w:top w:val="none" w:sz="0" w:space="0" w:color="auto"/>
        <w:left w:val="none" w:sz="0" w:space="0" w:color="auto"/>
        <w:bottom w:val="none" w:sz="0" w:space="0" w:color="auto"/>
        <w:right w:val="none" w:sz="0" w:space="0" w:color="auto"/>
      </w:divBdr>
    </w:div>
    <w:div w:id="1044254300">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12171337">
      <w:bodyDiv w:val="1"/>
      <w:marLeft w:val="0"/>
      <w:marRight w:val="0"/>
      <w:marTop w:val="0"/>
      <w:marBottom w:val="0"/>
      <w:divBdr>
        <w:top w:val="none" w:sz="0" w:space="0" w:color="auto"/>
        <w:left w:val="none" w:sz="0" w:space="0" w:color="auto"/>
        <w:bottom w:val="none" w:sz="0" w:space="0" w:color="auto"/>
        <w:right w:val="none" w:sz="0" w:space="0" w:color="auto"/>
      </w:divBdr>
    </w:div>
    <w:div w:id="1339311711">
      <w:bodyDiv w:val="1"/>
      <w:marLeft w:val="0"/>
      <w:marRight w:val="0"/>
      <w:marTop w:val="0"/>
      <w:marBottom w:val="0"/>
      <w:divBdr>
        <w:top w:val="none" w:sz="0" w:space="0" w:color="auto"/>
        <w:left w:val="none" w:sz="0" w:space="0" w:color="auto"/>
        <w:bottom w:val="none" w:sz="0" w:space="0" w:color="auto"/>
        <w:right w:val="none" w:sz="0" w:space="0" w:color="auto"/>
      </w:divBdr>
      <w:divsChild>
        <w:div w:id="1966888612">
          <w:marLeft w:val="0"/>
          <w:marRight w:val="0"/>
          <w:marTop w:val="0"/>
          <w:marBottom w:val="0"/>
          <w:divBdr>
            <w:top w:val="none" w:sz="0" w:space="0" w:color="auto"/>
            <w:left w:val="none" w:sz="0" w:space="0" w:color="auto"/>
            <w:bottom w:val="none" w:sz="0" w:space="0" w:color="auto"/>
            <w:right w:val="none" w:sz="0" w:space="0" w:color="auto"/>
          </w:divBdr>
        </w:div>
        <w:div w:id="1765034085">
          <w:marLeft w:val="0"/>
          <w:marRight w:val="0"/>
          <w:marTop w:val="0"/>
          <w:marBottom w:val="0"/>
          <w:divBdr>
            <w:top w:val="none" w:sz="0" w:space="0" w:color="auto"/>
            <w:left w:val="none" w:sz="0" w:space="0" w:color="auto"/>
            <w:bottom w:val="none" w:sz="0" w:space="0" w:color="auto"/>
            <w:right w:val="none" w:sz="0" w:space="0" w:color="auto"/>
          </w:divBdr>
        </w:div>
        <w:div w:id="2058167354">
          <w:marLeft w:val="0"/>
          <w:marRight w:val="0"/>
          <w:marTop w:val="0"/>
          <w:marBottom w:val="0"/>
          <w:divBdr>
            <w:top w:val="none" w:sz="0" w:space="0" w:color="auto"/>
            <w:left w:val="none" w:sz="0" w:space="0" w:color="auto"/>
            <w:bottom w:val="none" w:sz="0" w:space="0" w:color="auto"/>
            <w:right w:val="none" w:sz="0" w:space="0" w:color="auto"/>
          </w:divBdr>
        </w:div>
        <w:div w:id="1232884361">
          <w:marLeft w:val="0"/>
          <w:marRight w:val="0"/>
          <w:marTop w:val="0"/>
          <w:marBottom w:val="0"/>
          <w:divBdr>
            <w:top w:val="none" w:sz="0" w:space="0" w:color="auto"/>
            <w:left w:val="none" w:sz="0" w:space="0" w:color="auto"/>
            <w:bottom w:val="none" w:sz="0" w:space="0" w:color="auto"/>
            <w:right w:val="none" w:sz="0" w:space="0" w:color="auto"/>
          </w:divBdr>
        </w:div>
        <w:div w:id="1781417246">
          <w:marLeft w:val="0"/>
          <w:marRight w:val="0"/>
          <w:marTop w:val="0"/>
          <w:marBottom w:val="0"/>
          <w:divBdr>
            <w:top w:val="none" w:sz="0" w:space="0" w:color="auto"/>
            <w:left w:val="none" w:sz="0" w:space="0" w:color="auto"/>
            <w:bottom w:val="none" w:sz="0" w:space="0" w:color="auto"/>
            <w:right w:val="none" w:sz="0" w:space="0" w:color="auto"/>
          </w:divBdr>
        </w:div>
        <w:div w:id="3564719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6554665">
              <w:marLeft w:val="0"/>
              <w:marRight w:val="0"/>
              <w:marTop w:val="0"/>
              <w:marBottom w:val="0"/>
              <w:divBdr>
                <w:top w:val="none" w:sz="0" w:space="0" w:color="auto"/>
                <w:left w:val="none" w:sz="0" w:space="0" w:color="auto"/>
                <w:bottom w:val="none" w:sz="0" w:space="0" w:color="auto"/>
                <w:right w:val="none" w:sz="0" w:space="0" w:color="auto"/>
              </w:divBdr>
            </w:div>
            <w:div w:id="298078332">
              <w:marLeft w:val="0"/>
              <w:marRight w:val="0"/>
              <w:marTop w:val="0"/>
              <w:marBottom w:val="0"/>
              <w:divBdr>
                <w:top w:val="none" w:sz="0" w:space="0" w:color="auto"/>
                <w:left w:val="none" w:sz="0" w:space="0" w:color="auto"/>
                <w:bottom w:val="none" w:sz="0" w:space="0" w:color="auto"/>
                <w:right w:val="none" w:sz="0" w:space="0" w:color="auto"/>
              </w:divBdr>
            </w:div>
            <w:div w:id="1147475149">
              <w:marLeft w:val="0"/>
              <w:marRight w:val="0"/>
              <w:marTop w:val="0"/>
              <w:marBottom w:val="0"/>
              <w:divBdr>
                <w:top w:val="none" w:sz="0" w:space="0" w:color="auto"/>
                <w:left w:val="none" w:sz="0" w:space="0" w:color="auto"/>
                <w:bottom w:val="none" w:sz="0" w:space="0" w:color="auto"/>
                <w:right w:val="none" w:sz="0" w:space="0" w:color="auto"/>
              </w:divBdr>
            </w:div>
          </w:divsChild>
        </w:div>
        <w:div w:id="867908320">
          <w:marLeft w:val="0"/>
          <w:marRight w:val="0"/>
          <w:marTop w:val="0"/>
          <w:marBottom w:val="0"/>
          <w:divBdr>
            <w:top w:val="none" w:sz="0" w:space="0" w:color="auto"/>
            <w:left w:val="none" w:sz="0" w:space="0" w:color="auto"/>
            <w:bottom w:val="none" w:sz="0" w:space="0" w:color="auto"/>
            <w:right w:val="none" w:sz="0" w:space="0" w:color="auto"/>
          </w:divBdr>
        </w:div>
        <w:div w:id="1271544622">
          <w:marLeft w:val="0"/>
          <w:marRight w:val="0"/>
          <w:marTop w:val="0"/>
          <w:marBottom w:val="0"/>
          <w:divBdr>
            <w:top w:val="none" w:sz="0" w:space="0" w:color="auto"/>
            <w:left w:val="none" w:sz="0" w:space="0" w:color="auto"/>
            <w:bottom w:val="none" w:sz="0" w:space="0" w:color="auto"/>
            <w:right w:val="none" w:sz="0" w:space="0" w:color="auto"/>
          </w:divBdr>
        </w:div>
        <w:div w:id="1526555241">
          <w:marLeft w:val="0"/>
          <w:marRight w:val="0"/>
          <w:marTop w:val="0"/>
          <w:marBottom w:val="0"/>
          <w:divBdr>
            <w:top w:val="none" w:sz="0" w:space="0" w:color="auto"/>
            <w:left w:val="none" w:sz="0" w:space="0" w:color="auto"/>
            <w:bottom w:val="none" w:sz="0" w:space="0" w:color="auto"/>
            <w:right w:val="none" w:sz="0" w:space="0" w:color="auto"/>
          </w:divBdr>
        </w:div>
        <w:div w:id="1993213808">
          <w:marLeft w:val="0"/>
          <w:marRight w:val="0"/>
          <w:marTop w:val="0"/>
          <w:marBottom w:val="0"/>
          <w:divBdr>
            <w:top w:val="none" w:sz="0" w:space="0" w:color="auto"/>
            <w:left w:val="none" w:sz="0" w:space="0" w:color="auto"/>
            <w:bottom w:val="none" w:sz="0" w:space="0" w:color="auto"/>
            <w:right w:val="none" w:sz="0" w:space="0" w:color="auto"/>
          </w:divBdr>
        </w:div>
      </w:divsChild>
    </w:div>
    <w:div w:id="162392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global/popp/rma/Pages/internal-control-framework.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www.undp.org/content/undp/en/home/operations/accountability/programme_and_operationspoliciesandprocedur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5AEDD5F4-AB3F-452D-9B45-AEE359E6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5330</Words>
  <Characters>30381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35640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3</cp:revision>
  <cp:lastPrinted>2016-05-04T12:47:00Z</cp:lastPrinted>
  <dcterms:created xsi:type="dcterms:W3CDTF">2016-05-27T14:32:00Z</dcterms:created>
  <dcterms:modified xsi:type="dcterms:W3CDTF">2016-05-27T14:32:00Z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