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35" w:rsidRPr="003C2A46" w:rsidRDefault="00BF5C35" w:rsidP="00A91E32">
      <w:pPr>
        <w:ind w:left="360"/>
        <w:rPr>
          <w:sz w:val="20"/>
          <w:szCs w:val="20"/>
          <w:lang w:val="en-GB"/>
        </w:rPr>
      </w:pPr>
    </w:p>
    <w:p w:rsidR="00C66552" w:rsidRDefault="00C66552">
      <w:pPr>
        <w:tabs>
          <w:tab w:val="left" w:pos="1254"/>
        </w:tabs>
        <w:ind w:left="360"/>
        <w:rPr>
          <w:b/>
          <w:bCs/>
          <w:sz w:val="20"/>
          <w:szCs w:val="20"/>
        </w:rPr>
      </w:pPr>
    </w:p>
    <w:p w:rsidR="00C66552" w:rsidRDefault="00C66552">
      <w:pPr>
        <w:tabs>
          <w:tab w:val="left" w:pos="1254"/>
        </w:tabs>
        <w:ind w:left="360"/>
        <w:rPr>
          <w:b/>
          <w:bCs/>
          <w:sz w:val="20"/>
          <w:szCs w:val="20"/>
        </w:rPr>
      </w:pPr>
    </w:p>
    <w:p w:rsidR="00DD6295" w:rsidRDefault="00DD6295" w:rsidP="00DD6295">
      <w:pPr>
        <w:tabs>
          <w:tab w:val="left" w:pos="1254"/>
        </w:tabs>
        <w:ind w:left="360"/>
        <w:rPr>
          <w:b/>
          <w:bCs/>
          <w:sz w:val="20"/>
          <w:szCs w:val="20"/>
        </w:rPr>
      </w:pPr>
      <w:r w:rsidRPr="0029161C">
        <w:rPr>
          <w:b/>
          <w:bCs/>
          <w:sz w:val="20"/>
          <w:szCs w:val="20"/>
        </w:rPr>
        <w:t>A</w:t>
      </w:r>
      <w:r>
        <w:rPr>
          <w:b/>
          <w:bCs/>
          <w:sz w:val="20"/>
          <w:szCs w:val="20"/>
        </w:rPr>
        <w:t>nnex</w:t>
      </w:r>
      <w:r w:rsidRPr="0029161C">
        <w:rPr>
          <w:b/>
          <w:bCs/>
          <w:sz w:val="20"/>
          <w:szCs w:val="20"/>
        </w:rPr>
        <w:t xml:space="preserve"> B to the UNDP </w:t>
      </w:r>
      <w:r>
        <w:rPr>
          <w:b/>
          <w:bCs/>
          <w:sz w:val="20"/>
          <w:szCs w:val="20"/>
        </w:rPr>
        <w:t>i</w:t>
      </w:r>
      <w:r w:rsidRPr="0029161C">
        <w:rPr>
          <w:b/>
          <w:bCs/>
          <w:sz w:val="20"/>
          <w:szCs w:val="20"/>
        </w:rPr>
        <w:t xml:space="preserve">ntegrated </w:t>
      </w:r>
      <w:r>
        <w:rPr>
          <w:b/>
          <w:bCs/>
          <w:sz w:val="20"/>
          <w:szCs w:val="20"/>
        </w:rPr>
        <w:t>r</w:t>
      </w:r>
      <w:r w:rsidRPr="0029161C">
        <w:rPr>
          <w:b/>
          <w:bCs/>
          <w:sz w:val="20"/>
          <w:szCs w:val="20"/>
        </w:rPr>
        <w:t xml:space="preserve">esources </w:t>
      </w:r>
      <w:r>
        <w:rPr>
          <w:b/>
          <w:bCs/>
          <w:sz w:val="20"/>
          <w:szCs w:val="20"/>
        </w:rPr>
        <w:t>p</w:t>
      </w:r>
      <w:r w:rsidRPr="0029161C">
        <w:rPr>
          <w:b/>
          <w:bCs/>
          <w:sz w:val="20"/>
          <w:szCs w:val="20"/>
        </w:rPr>
        <w:t xml:space="preserve">lan and </w:t>
      </w:r>
      <w:r>
        <w:rPr>
          <w:b/>
          <w:bCs/>
          <w:sz w:val="20"/>
          <w:szCs w:val="20"/>
        </w:rPr>
        <w:t>i</w:t>
      </w:r>
      <w:r w:rsidRPr="0029161C">
        <w:rPr>
          <w:b/>
          <w:bCs/>
          <w:sz w:val="20"/>
          <w:szCs w:val="20"/>
        </w:rPr>
        <w:t xml:space="preserve">ntegrated </w:t>
      </w:r>
      <w:r>
        <w:rPr>
          <w:b/>
          <w:bCs/>
          <w:sz w:val="20"/>
          <w:szCs w:val="20"/>
        </w:rPr>
        <w:t>b</w:t>
      </w:r>
      <w:r w:rsidRPr="0029161C">
        <w:rPr>
          <w:b/>
          <w:bCs/>
          <w:sz w:val="20"/>
          <w:szCs w:val="20"/>
        </w:rPr>
        <w:t>udget estimates</w:t>
      </w:r>
      <w:r>
        <w:rPr>
          <w:b/>
          <w:bCs/>
          <w:sz w:val="20"/>
          <w:szCs w:val="20"/>
        </w:rPr>
        <w:t xml:space="preserve"> for</w:t>
      </w:r>
      <w:r w:rsidRPr="0029161C">
        <w:rPr>
          <w:b/>
          <w:bCs/>
          <w:sz w:val="20"/>
          <w:szCs w:val="20"/>
        </w:rPr>
        <w:t xml:space="preserve"> 2018-2021</w:t>
      </w:r>
    </w:p>
    <w:p w:rsidR="00DD6295" w:rsidRPr="00D67265" w:rsidRDefault="00DD6295" w:rsidP="00DD6295">
      <w:pPr>
        <w:tabs>
          <w:tab w:val="left" w:pos="1254"/>
        </w:tabs>
        <w:ind w:left="360"/>
        <w:rPr>
          <w:b/>
          <w:bCs/>
          <w:sz w:val="20"/>
          <w:szCs w:val="20"/>
        </w:rPr>
      </w:pPr>
    </w:p>
    <w:p w:rsidR="00DD629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sz w:val="24"/>
          <w:lang w:val="en-GB"/>
        </w:rPr>
      </w:pPr>
    </w:p>
    <w:p w:rsidR="00DD6295" w:rsidRPr="00D6726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iCs/>
          <w:sz w:val="20"/>
          <w:szCs w:val="20"/>
          <w:lang w:val="en-GB"/>
        </w:rPr>
      </w:pPr>
      <w:r w:rsidRPr="0029161C">
        <w:rPr>
          <w:i/>
          <w:iCs/>
          <w:sz w:val="20"/>
          <w:szCs w:val="20"/>
          <w:lang w:val="en-GB"/>
        </w:rPr>
        <w:t>Summary</w:t>
      </w:r>
    </w:p>
    <w:p w:rsidR="00DD6295" w:rsidRPr="00D6726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iCs/>
          <w:sz w:val="24"/>
          <w:lang w:val="en-GB"/>
        </w:rPr>
      </w:pPr>
      <w:r w:rsidRPr="00707F31">
        <w:rPr>
          <w:sz w:val="20"/>
          <w:szCs w:val="20"/>
          <w:lang w:val="en-GB"/>
        </w:rPr>
        <w:t xml:space="preserve">The present document </w:t>
      </w:r>
      <w:r>
        <w:rPr>
          <w:sz w:val="20"/>
          <w:szCs w:val="20"/>
          <w:lang w:val="en-GB"/>
        </w:rPr>
        <w:t>is A</w:t>
      </w:r>
      <w:r w:rsidRPr="00707F31">
        <w:rPr>
          <w:sz w:val="20"/>
          <w:szCs w:val="20"/>
          <w:lang w:val="en-GB"/>
        </w:rPr>
        <w:t xml:space="preserve">nnex </w:t>
      </w:r>
      <w:r>
        <w:rPr>
          <w:sz w:val="20"/>
          <w:szCs w:val="20"/>
          <w:lang w:val="en-GB"/>
        </w:rPr>
        <w:t xml:space="preserve">B </w:t>
      </w:r>
      <w:r w:rsidRPr="00707F31">
        <w:rPr>
          <w:sz w:val="20"/>
          <w:szCs w:val="20"/>
          <w:lang w:val="en-GB"/>
        </w:rPr>
        <w:t xml:space="preserve">to the UNDP </w:t>
      </w:r>
      <w:r>
        <w:rPr>
          <w:sz w:val="20"/>
          <w:szCs w:val="20"/>
          <w:lang w:val="en-GB"/>
        </w:rPr>
        <w:t>i</w:t>
      </w:r>
      <w:r w:rsidRPr="00707F31">
        <w:rPr>
          <w:sz w:val="20"/>
          <w:szCs w:val="20"/>
          <w:lang w:val="en-GB"/>
        </w:rPr>
        <w:t xml:space="preserve">ntegrated </w:t>
      </w:r>
      <w:r>
        <w:rPr>
          <w:sz w:val="20"/>
          <w:szCs w:val="20"/>
          <w:lang w:val="en-GB"/>
        </w:rPr>
        <w:t>resources p</w:t>
      </w:r>
      <w:r w:rsidRPr="00707F31">
        <w:rPr>
          <w:sz w:val="20"/>
          <w:szCs w:val="20"/>
          <w:lang w:val="en-GB"/>
        </w:rPr>
        <w:t xml:space="preserve">lan and </w:t>
      </w:r>
      <w:r>
        <w:rPr>
          <w:sz w:val="20"/>
          <w:szCs w:val="20"/>
          <w:lang w:val="en-GB"/>
        </w:rPr>
        <w:t>i</w:t>
      </w:r>
      <w:r w:rsidRPr="00707F31">
        <w:rPr>
          <w:sz w:val="20"/>
          <w:szCs w:val="20"/>
          <w:lang w:val="en-GB"/>
        </w:rPr>
        <w:t xml:space="preserve">ntegrated </w:t>
      </w:r>
      <w:r>
        <w:rPr>
          <w:sz w:val="20"/>
          <w:szCs w:val="20"/>
          <w:lang w:val="en-GB"/>
        </w:rPr>
        <w:t>b</w:t>
      </w:r>
      <w:r w:rsidRPr="00707F31">
        <w:rPr>
          <w:sz w:val="20"/>
          <w:szCs w:val="20"/>
          <w:lang w:val="en-GB"/>
        </w:rPr>
        <w:t>udget estimates for 2018-2021 (DP/2017/39), and should be considered as part of that document.</w:t>
      </w:r>
    </w:p>
    <w:p w:rsidR="00DD6295" w:rsidRPr="005152FA"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sz w:val="24"/>
          <w:lang w:val="en-GB"/>
        </w:rPr>
      </w:pPr>
    </w:p>
    <w:p w:rsidR="005F4932" w:rsidRDefault="005F4932">
      <w:r>
        <w:br w:type="page"/>
      </w:r>
      <w:bookmarkStart w:id="0" w:name="_GoBack"/>
      <w:bookmarkEnd w:id="0"/>
    </w:p>
    <w:p w:rsidR="00B95A86" w:rsidRDefault="00B95A86">
      <w:pPr>
        <w:jc w:val="center"/>
      </w:pPr>
    </w:p>
    <w:tbl>
      <w:tblPr>
        <w:tblW w:w="9374" w:type="dxa"/>
        <w:jc w:val="center"/>
        <w:tblLayout w:type="fixed"/>
        <w:tblCellMar>
          <w:left w:w="0" w:type="dxa"/>
          <w:right w:w="0" w:type="dxa"/>
        </w:tblCellMar>
        <w:tblLook w:val="0000" w:firstRow="0" w:lastRow="0" w:firstColumn="0" w:lastColumn="0" w:noHBand="0" w:noVBand="0"/>
      </w:tblPr>
      <w:tblGrid>
        <w:gridCol w:w="9374"/>
      </w:tblGrid>
      <w:tr w:rsidR="00F7553D" w:rsidRPr="007378D6" w:rsidTr="008C7224">
        <w:trPr>
          <w:trHeight w:val="12710"/>
          <w:jc w:val="center"/>
        </w:trPr>
        <w:tc>
          <w:tcPr>
            <w:tcW w:w="9374" w:type="dxa"/>
          </w:tcPr>
          <w:p w:rsidR="00B95A86" w:rsidRDefault="004A40A9" w:rsidP="00D67265">
            <w:pPr>
              <w:tabs>
                <w:tab w:val="left" w:pos="900"/>
                <w:tab w:val="left" w:pos="1260"/>
                <w:tab w:val="left" w:pos="1440"/>
                <w:tab w:val="left" w:pos="8820"/>
              </w:tabs>
              <w:ind w:right="540"/>
              <w:rPr>
                <w:b/>
                <w:bCs/>
                <w:i/>
                <w:iCs/>
                <w:sz w:val="24"/>
                <w:lang w:val="en-GB"/>
              </w:rPr>
            </w:pPr>
            <w:r w:rsidRPr="0029161C">
              <w:rPr>
                <w:b/>
                <w:bCs/>
                <w:i/>
                <w:iCs/>
                <w:sz w:val="24"/>
                <w:lang w:val="en-GB"/>
              </w:rPr>
              <w:t xml:space="preserve">              </w:t>
            </w:r>
            <w:r w:rsidR="00B95A86" w:rsidRPr="0029161C">
              <w:rPr>
                <w:b/>
                <w:bCs/>
                <w:i/>
                <w:iCs/>
                <w:sz w:val="24"/>
                <w:lang w:val="en-GB"/>
              </w:rPr>
              <w:t>Overview</w:t>
            </w:r>
          </w:p>
          <w:p w:rsidR="00583901" w:rsidRPr="00D67265" w:rsidRDefault="00583901" w:rsidP="00D67265">
            <w:pPr>
              <w:tabs>
                <w:tab w:val="left" w:pos="900"/>
                <w:tab w:val="left" w:pos="1260"/>
                <w:tab w:val="left" w:pos="1440"/>
                <w:tab w:val="left" w:pos="8820"/>
              </w:tabs>
              <w:ind w:right="540"/>
              <w:rPr>
                <w:b/>
                <w:bCs/>
                <w:i/>
                <w:iCs/>
                <w:sz w:val="24"/>
                <w:lang w:val="en-GB"/>
              </w:rPr>
            </w:pPr>
          </w:p>
          <w:p w:rsidR="00583901" w:rsidRPr="00D67265" w:rsidRDefault="00B95A86" w:rsidP="00D67265">
            <w:pPr>
              <w:pStyle w:val="SingleTxt"/>
              <w:numPr>
                <w:ilvl w:val="0"/>
                <w:numId w:val="1"/>
              </w:numPr>
              <w:tabs>
                <w:tab w:val="clear" w:pos="1267"/>
                <w:tab w:val="clear" w:pos="1742"/>
                <w:tab w:val="left" w:pos="1170"/>
              </w:tabs>
              <w:ind w:left="720" w:right="0" w:hanging="540"/>
              <w:rPr>
                <w:rFonts w:eastAsia="Calibri"/>
                <w:b/>
                <w:bCs/>
              </w:rPr>
            </w:pPr>
            <w:r w:rsidRPr="00D67265">
              <w:rPr>
                <w:rFonts w:eastAsia="Calibri"/>
              </w:rPr>
              <w:t>Th</w:t>
            </w:r>
            <w:r w:rsidR="00467FEF" w:rsidRPr="00D67265">
              <w:rPr>
                <w:rFonts w:eastAsia="Calibri"/>
              </w:rPr>
              <w:t xml:space="preserve">e present </w:t>
            </w:r>
            <w:r w:rsidR="00467FEF">
              <w:rPr>
                <w:rFonts w:eastAsia="Calibri"/>
              </w:rPr>
              <w:t>a</w:t>
            </w:r>
            <w:r w:rsidRPr="00D67265">
              <w:rPr>
                <w:rFonts w:eastAsia="Calibri"/>
              </w:rPr>
              <w:t xml:space="preserve">nnex </w:t>
            </w:r>
            <w:r w:rsidR="00467FEF">
              <w:rPr>
                <w:rFonts w:eastAsia="Calibri"/>
              </w:rPr>
              <w:t>contains</w:t>
            </w:r>
            <w:r w:rsidR="00F7092F">
              <w:rPr>
                <w:rFonts w:eastAsia="Calibri"/>
              </w:rPr>
              <w:t xml:space="preserve"> details on (</w:t>
            </w:r>
            <w:proofErr w:type="spellStart"/>
            <w:r w:rsidR="00F7092F">
              <w:rPr>
                <w:rFonts w:eastAsia="Calibri"/>
              </w:rPr>
              <w:t>i</w:t>
            </w:r>
            <w:proofErr w:type="spellEnd"/>
            <w:r w:rsidR="00F7092F">
              <w:rPr>
                <w:rFonts w:eastAsia="Calibri"/>
              </w:rPr>
              <w:t>) integrated resources p</w:t>
            </w:r>
            <w:r w:rsidRPr="00D67265">
              <w:rPr>
                <w:rFonts w:eastAsia="Calibri"/>
              </w:rPr>
              <w:t xml:space="preserve">lan; </w:t>
            </w:r>
            <w:r w:rsidR="00F7092F">
              <w:rPr>
                <w:rFonts w:eastAsia="Calibri"/>
              </w:rPr>
              <w:t>(ii) integrated b</w:t>
            </w:r>
            <w:r w:rsidR="00B004D0" w:rsidRPr="00D67265">
              <w:rPr>
                <w:rFonts w:eastAsia="Calibri"/>
              </w:rPr>
              <w:t>udget</w:t>
            </w:r>
            <w:r w:rsidR="00B83295">
              <w:rPr>
                <w:rFonts w:eastAsia="Calibri"/>
              </w:rPr>
              <w:t>, with (</w:t>
            </w:r>
            <w:proofErr w:type="spellStart"/>
            <w:r w:rsidR="00B83295">
              <w:rPr>
                <w:rFonts w:eastAsia="Calibri"/>
              </w:rPr>
              <w:t>ii.a</w:t>
            </w:r>
            <w:proofErr w:type="spellEnd"/>
            <w:r w:rsidRPr="00D67265">
              <w:rPr>
                <w:rFonts w:eastAsia="Calibri"/>
              </w:rPr>
              <w:t xml:space="preserve">) </w:t>
            </w:r>
            <w:r w:rsidR="00B004D0" w:rsidRPr="00D67265">
              <w:rPr>
                <w:rFonts w:eastAsia="Calibri"/>
              </w:rPr>
              <w:t>P</w:t>
            </w:r>
            <w:r w:rsidRPr="00D67265">
              <w:rPr>
                <w:rFonts w:eastAsia="Calibri"/>
              </w:rPr>
              <w:t>rogrammatic component</w:t>
            </w:r>
            <w:r w:rsidR="007F5858" w:rsidRPr="00D67265">
              <w:rPr>
                <w:rFonts w:eastAsia="Calibri"/>
              </w:rPr>
              <w:t xml:space="preserve">s of </w:t>
            </w:r>
            <w:r w:rsidR="00F7092F">
              <w:rPr>
                <w:rFonts w:eastAsia="Calibri"/>
              </w:rPr>
              <w:t>the integrated b</w:t>
            </w:r>
            <w:r w:rsidR="007F5858" w:rsidRPr="00D67265">
              <w:rPr>
                <w:rFonts w:eastAsia="Calibri"/>
              </w:rPr>
              <w:t>udget</w:t>
            </w:r>
            <w:r w:rsidR="0068218D">
              <w:rPr>
                <w:rFonts w:eastAsia="Calibri"/>
              </w:rPr>
              <w:t xml:space="preserve"> – methodology</w:t>
            </w:r>
            <w:r w:rsidR="007F5858" w:rsidRPr="00D67265">
              <w:rPr>
                <w:rFonts w:eastAsia="Calibri"/>
              </w:rPr>
              <w:t xml:space="preserve">; </w:t>
            </w:r>
            <w:r w:rsidR="00F7092F">
              <w:rPr>
                <w:rFonts w:eastAsia="Calibri"/>
              </w:rPr>
              <w:t>(</w:t>
            </w:r>
            <w:proofErr w:type="spellStart"/>
            <w:r w:rsidR="00F7092F">
              <w:rPr>
                <w:rFonts w:eastAsia="Calibri"/>
              </w:rPr>
              <w:t>ii.b</w:t>
            </w:r>
            <w:proofErr w:type="spellEnd"/>
            <w:r w:rsidR="00F7092F">
              <w:rPr>
                <w:rFonts w:eastAsia="Calibri"/>
              </w:rPr>
              <w:t>) programmatic components of the i</w:t>
            </w:r>
            <w:r w:rsidR="0068218D">
              <w:rPr>
                <w:rFonts w:eastAsia="Calibri"/>
              </w:rPr>
              <w:t xml:space="preserve">ntegrated </w:t>
            </w:r>
            <w:proofErr w:type="spellStart"/>
            <w:r w:rsidR="0068218D">
              <w:rPr>
                <w:rFonts w:eastAsia="Calibri"/>
              </w:rPr>
              <w:t>B</w:t>
            </w:r>
            <w:r w:rsidR="00F7092F">
              <w:rPr>
                <w:rFonts w:eastAsia="Calibri"/>
              </w:rPr>
              <w:t>b</w:t>
            </w:r>
            <w:r w:rsidR="0068218D">
              <w:rPr>
                <w:rFonts w:eastAsia="Calibri"/>
              </w:rPr>
              <w:t>udget</w:t>
            </w:r>
            <w:proofErr w:type="spellEnd"/>
            <w:r w:rsidR="0068218D">
              <w:rPr>
                <w:rFonts w:eastAsia="Calibri"/>
              </w:rPr>
              <w:t xml:space="preserve"> – additional details; </w:t>
            </w:r>
            <w:r w:rsidR="00B83295">
              <w:rPr>
                <w:rFonts w:eastAsia="Calibri"/>
              </w:rPr>
              <w:t>and (</w:t>
            </w:r>
            <w:proofErr w:type="spellStart"/>
            <w:r w:rsidR="00B83295">
              <w:rPr>
                <w:rFonts w:eastAsia="Calibri"/>
              </w:rPr>
              <w:t>ii.</w:t>
            </w:r>
            <w:r w:rsidR="0068218D">
              <w:rPr>
                <w:rFonts w:eastAsia="Calibri"/>
              </w:rPr>
              <w:t>c</w:t>
            </w:r>
            <w:proofErr w:type="spellEnd"/>
            <w:r w:rsidRPr="00D67265">
              <w:rPr>
                <w:rFonts w:eastAsia="Calibri"/>
              </w:rPr>
              <w:t xml:space="preserve">) </w:t>
            </w:r>
            <w:r w:rsidR="00F7092F">
              <w:rPr>
                <w:rFonts w:eastAsia="Calibri"/>
              </w:rPr>
              <w:t>i</w:t>
            </w:r>
            <w:r w:rsidR="007F5858" w:rsidRPr="00D67265">
              <w:rPr>
                <w:rFonts w:eastAsia="Calibri"/>
              </w:rPr>
              <w:t>nstitutional compon</w:t>
            </w:r>
            <w:r w:rsidR="00F7092F">
              <w:rPr>
                <w:rFonts w:eastAsia="Calibri"/>
              </w:rPr>
              <w:t>ent of the integrated b</w:t>
            </w:r>
            <w:r w:rsidR="00B83295" w:rsidRPr="00D67265">
              <w:rPr>
                <w:rFonts w:eastAsia="Calibri"/>
              </w:rPr>
              <w:t>udget; (</w:t>
            </w:r>
            <w:r w:rsidR="00B83295">
              <w:rPr>
                <w:rFonts w:eastAsia="Calibri"/>
              </w:rPr>
              <w:t>iii</w:t>
            </w:r>
            <w:r w:rsidR="007F5858" w:rsidRPr="00D67265">
              <w:rPr>
                <w:rFonts w:eastAsia="Calibri"/>
              </w:rPr>
              <w:t xml:space="preserve">) </w:t>
            </w:r>
            <w:r w:rsidRPr="00D67265">
              <w:rPr>
                <w:rFonts w:eastAsia="Calibri"/>
              </w:rPr>
              <w:t>GLOC</w:t>
            </w:r>
            <w:r w:rsidR="00B83295" w:rsidRPr="00D67265">
              <w:rPr>
                <w:rFonts w:eastAsia="Calibri"/>
              </w:rPr>
              <w:t>; and (</w:t>
            </w:r>
            <w:r w:rsidR="00B83295">
              <w:rPr>
                <w:rFonts w:eastAsia="Calibri"/>
              </w:rPr>
              <w:t>iv</w:t>
            </w:r>
            <w:r w:rsidR="00F7092F">
              <w:rPr>
                <w:rFonts w:eastAsia="Calibri"/>
              </w:rPr>
              <w:t>) f</w:t>
            </w:r>
            <w:r w:rsidR="007F5858" w:rsidRPr="00D67265">
              <w:rPr>
                <w:rFonts w:eastAsia="Calibri"/>
              </w:rPr>
              <w:t>unding of UNDP country office presence in MICs with GNI per capita above $6,660.</w:t>
            </w:r>
            <w:r w:rsidRPr="00D67265" w:rsidDel="00B95A86">
              <w:rPr>
                <w:rFonts w:eastAsia="Calibri"/>
              </w:rPr>
              <w:t xml:space="preserve"> </w:t>
            </w:r>
          </w:p>
          <w:p w:rsidR="0041676E" w:rsidRDefault="0041676E" w:rsidP="00D67265">
            <w:pPr>
              <w:pStyle w:val="DualTxt"/>
              <w:tabs>
                <w:tab w:val="clear" w:pos="960"/>
                <w:tab w:val="clear" w:pos="1915"/>
                <w:tab w:val="left" w:pos="900"/>
                <w:tab w:val="left" w:pos="990"/>
                <w:tab w:val="left" w:pos="1260"/>
                <w:tab w:val="left" w:pos="1800"/>
                <w:tab w:val="left" w:pos="8820"/>
              </w:tabs>
              <w:spacing w:line="200" w:lineRule="exact"/>
              <w:ind w:left="1260" w:right="547"/>
              <w:rPr>
                <w:b w:val="0"/>
                <w:bCs w:val="0"/>
                <w:sz w:val="20"/>
                <w:szCs w:val="20"/>
              </w:rPr>
            </w:pPr>
          </w:p>
          <w:p w:rsidR="00B95A86" w:rsidRPr="00D67265" w:rsidRDefault="00A00BF3" w:rsidP="00FF1157">
            <w:pPr>
              <w:pStyle w:val="DualTxt"/>
              <w:tabs>
                <w:tab w:val="clear" w:pos="960"/>
                <w:tab w:val="clear" w:pos="1915"/>
                <w:tab w:val="left" w:pos="900"/>
                <w:tab w:val="left" w:pos="990"/>
                <w:tab w:val="left" w:pos="1260"/>
                <w:tab w:val="left" w:pos="1800"/>
                <w:tab w:val="left" w:pos="8820"/>
              </w:tabs>
              <w:spacing w:line="200" w:lineRule="exact"/>
              <w:ind w:left="720" w:right="547"/>
              <w:rPr>
                <w:bCs w:val="0"/>
                <w:iCs/>
                <w:sz w:val="21"/>
                <w:szCs w:val="20"/>
              </w:rPr>
            </w:pPr>
            <w:proofErr w:type="spellStart"/>
            <w:r>
              <w:rPr>
                <w:bCs w:val="0"/>
                <w:iCs/>
                <w:sz w:val="21"/>
                <w:szCs w:val="20"/>
              </w:rPr>
              <w:t>I.a</w:t>
            </w:r>
            <w:proofErr w:type="spellEnd"/>
            <w:r>
              <w:rPr>
                <w:bCs w:val="0"/>
                <w:iCs/>
                <w:sz w:val="21"/>
                <w:szCs w:val="20"/>
              </w:rPr>
              <w:t xml:space="preserve">. </w:t>
            </w:r>
            <w:r w:rsidR="00F7092F">
              <w:rPr>
                <w:bCs w:val="0"/>
                <w:iCs/>
                <w:sz w:val="21"/>
                <w:szCs w:val="20"/>
              </w:rPr>
              <w:t>Integrated resources p</w:t>
            </w:r>
            <w:r w:rsidR="00B95A86" w:rsidRPr="00D67265">
              <w:rPr>
                <w:bCs w:val="0"/>
                <w:iCs/>
                <w:sz w:val="21"/>
                <w:szCs w:val="20"/>
              </w:rPr>
              <w:t>lan</w:t>
            </w:r>
            <w:r w:rsidR="00FE3E87" w:rsidRPr="00D67265">
              <w:rPr>
                <w:bCs w:val="0"/>
                <w:iCs/>
                <w:sz w:val="21"/>
                <w:szCs w:val="20"/>
              </w:rPr>
              <w:t xml:space="preserve"> and harmonized cost classification categories</w:t>
            </w:r>
          </w:p>
          <w:p w:rsidR="00B95A86" w:rsidRPr="00D67265" w:rsidRDefault="00B95A86" w:rsidP="00D67265">
            <w:pPr>
              <w:pStyle w:val="DualTxt"/>
              <w:spacing w:after="0" w:line="240" w:lineRule="auto"/>
              <w:ind w:left="907" w:right="547"/>
              <w:rPr>
                <w:i/>
                <w:iCs/>
                <w:sz w:val="20"/>
              </w:rPr>
            </w:pPr>
          </w:p>
          <w:p w:rsidR="00F02DD9" w:rsidRPr="00D67265" w:rsidRDefault="00F7092F" w:rsidP="00D67265">
            <w:pPr>
              <w:pStyle w:val="SingleTxt"/>
              <w:numPr>
                <w:ilvl w:val="0"/>
                <w:numId w:val="1"/>
              </w:numPr>
              <w:tabs>
                <w:tab w:val="clear" w:pos="1267"/>
                <w:tab w:val="clear" w:pos="1742"/>
                <w:tab w:val="left" w:pos="1170"/>
              </w:tabs>
              <w:ind w:left="720" w:right="0" w:hanging="540"/>
              <w:rPr>
                <w:rFonts w:eastAsia="Calibri"/>
              </w:rPr>
            </w:pPr>
            <w:r>
              <w:rPr>
                <w:rFonts w:eastAsia="Calibri"/>
              </w:rPr>
              <w:t>UNDP prepared its integrated resources plan and integrated b</w:t>
            </w:r>
            <w:r w:rsidR="3CA481E0" w:rsidRPr="00D67265">
              <w:rPr>
                <w:rFonts w:eastAsia="Calibri"/>
              </w:rPr>
              <w:t xml:space="preserve">udget in line with the budget harmonization exercise within the </w:t>
            </w:r>
            <w:r w:rsidR="004153AA">
              <w:rPr>
                <w:rFonts w:eastAsia="Calibri"/>
              </w:rPr>
              <w:t>context of the ‘road map to an Integrated B</w:t>
            </w:r>
            <w:r w:rsidR="3CA481E0" w:rsidRPr="00D67265">
              <w:rPr>
                <w:rFonts w:eastAsia="Calibri"/>
              </w:rPr>
              <w:t>udget from 2014 onwards’ conducted with UNICEF, UNFPA and UN-Women. It incorporates the harmonized results-based budgeting approach approved in decision 2011/10, including: (a) improved results focus and linkage with the strategic plan; and (b) key bud</w:t>
            </w:r>
            <w:r w:rsidR="00DE23BF">
              <w:rPr>
                <w:rFonts w:eastAsia="Calibri"/>
              </w:rPr>
              <w:t>get tables with respect to the Integrated Resource P</w:t>
            </w:r>
            <w:r w:rsidR="3CA481E0" w:rsidRPr="00D67265">
              <w:rPr>
                <w:rFonts w:eastAsia="Calibri"/>
              </w:rPr>
              <w:t>lan (DP/2017/39, table 1); a comparison of planned and actual/estimated expenditures (DP/2017/</w:t>
            </w:r>
            <w:r w:rsidR="00C51948">
              <w:rPr>
                <w:rFonts w:eastAsia="Calibri"/>
              </w:rPr>
              <w:t xml:space="preserve">39, annex A, table 1b); and </w:t>
            </w:r>
            <w:r w:rsidR="00E56BC5">
              <w:rPr>
                <w:rFonts w:eastAsia="Calibri"/>
              </w:rPr>
              <w:t>e</w:t>
            </w:r>
            <w:r w:rsidR="00C51948" w:rsidRPr="00C51948">
              <w:rPr>
                <w:rFonts w:eastAsia="Calibri"/>
              </w:rPr>
              <w:t xml:space="preserve">stimated resources, by strategic plan outcome, 2018-2021 </w:t>
            </w:r>
            <w:r w:rsidR="3CA481E0" w:rsidRPr="00D67265">
              <w:rPr>
                <w:rFonts w:eastAsia="Calibri"/>
              </w:rPr>
              <w:t xml:space="preserve">(DP/2017/39, </w:t>
            </w:r>
            <w:r w:rsidR="00C51948">
              <w:rPr>
                <w:rFonts w:eastAsia="Calibri"/>
              </w:rPr>
              <w:t xml:space="preserve">annex A, </w:t>
            </w:r>
            <w:r w:rsidR="3CA481E0" w:rsidRPr="00D67265">
              <w:rPr>
                <w:rFonts w:eastAsia="Calibri"/>
              </w:rPr>
              <w:t xml:space="preserve">table 2). </w:t>
            </w:r>
          </w:p>
          <w:p w:rsidR="00B95A86" w:rsidRPr="00D67265" w:rsidRDefault="00F02DD9" w:rsidP="00D67265">
            <w:pPr>
              <w:pStyle w:val="SingleTxt"/>
              <w:numPr>
                <w:ilvl w:val="0"/>
                <w:numId w:val="1"/>
              </w:numPr>
              <w:tabs>
                <w:tab w:val="clear" w:pos="1267"/>
                <w:tab w:val="clear" w:pos="1742"/>
                <w:tab w:val="left" w:pos="1170"/>
              </w:tabs>
              <w:ind w:left="720" w:right="0" w:hanging="540"/>
            </w:pPr>
            <w:r w:rsidRPr="00D67265">
              <w:rPr>
                <w:rFonts w:eastAsia="Calibri"/>
                <w:noProof/>
                <w:lang w:val="en-US"/>
              </w:rPr>
              <w:drawing>
                <wp:anchor distT="0" distB="0" distL="114300" distR="114300" simplePos="0" relativeHeight="251658240" behindDoc="0" locked="0" layoutInCell="1" allowOverlap="1" wp14:anchorId="6A9FA0D7" wp14:editId="732D7F20">
                  <wp:simplePos x="0" y="0"/>
                  <wp:positionH relativeFrom="column">
                    <wp:posOffset>1566048</wp:posOffset>
                  </wp:positionH>
                  <wp:positionV relativeFrom="paragraph">
                    <wp:posOffset>693213</wp:posOffset>
                  </wp:positionV>
                  <wp:extent cx="3960421" cy="1970998"/>
                  <wp:effectExtent l="0" t="0" r="2540" b="0"/>
                  <wp:wrapNone/>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3"/>
                          <a:stretch>
                            <a:fillRect/>
                          </a:stretch>
                        </pic:blipFill>
                        <pic:spPr>
                          <a:xfrm>
                            <a:off x="0" y="0"/>
                            <a:ext cx="3960421" cy="1970998"/>
                          </a:xfrm>
                          <a:prstGeom prst="rect">
                            <a:avLst/>
                          </a:prstGeom>
                        </pic:spPr>
                      </pic:pic>
                    </a:graphicData>
                  </a:graphic>
                  <wp14:sizeRelH relativeFrom="margin">
                    <wp14:pctWidth>0</wp14:pctWidth>
                  </wp14:sizeRelH>
                  <wp14:sizeRelV relativeFrom="margin">
                    <wp14:pctHeight>0</wp14:pctHeight>
                  </wp14:sizeRelV>
                </wp:anchor>
              </w:drawing>
            </w:r>
            <w:r w:rsidR="00583901" w:rsidRPr="00D67265">
              <w:rPr>
                <w:rFonts w:eastAsia="Calibri"/>
              </w:rPr>
              <w:t>The diagram below illustrate</w:t>
            </w:r>
            <w:r w:rsidR="00F7092F">
              <w:rPr>
                <w:rFonts w:eastAsia="Calibri"/>
              </w:rPr>
              <w:t>s the relationship between the integrated resources plan and the integrated b</w:t>
            </w:r>
            <w:r w:rsidR="00583901" w:rsidRPr="00D67265">
              <w:rPr>
                <w:rFonts w:eastAsia="Calibri"/>
              </w:rPr>
              <w:t>udget</w:t>
            </w:r>
            <w:r w:rsidR="00583901" w:rsidRPr="00D67265">
              <w:t>.</w:t>
            </w:r>
          </w:p>
          <w:p w:rsidR="00583901" w:rsidRPr="00D67265" w:rsidRDefault="00583901" w:rsidP="00D67265">
            <w:pPr>
              <w:pStyle w:val="DualTxt"/>
              <w:spacing w:line="200" w:lineRule="exact"/>
              <w:ind w:left="360" w:right="547"/>
              <w:rPr>
                <w:b w:val="0"/>
                <w:bCs w:val="0"/>
              </w:rPr>
            </w:pPr>
          </w:p>
          <w:p w:rsidR="00583901" w:rsidRPr="00D67265" w:rsidRDefault="00583901" w:rsidP="00D67265">
            <w:pPr>
              <w:pStyle w:val="DualTxt"/>
              <w:spacing w:line="200" w:lineRule="exact"/>
              <w:ind w:right="547"/>
              <w:rPr>
                <w:sz w:val="20"/>
              </w:rPr>
            </w:pPr>
          </w:p>
          <w:p w:rsidR="00583901" w:rsidRDefault="00583901" w:rsidP="00D67265">
            <w:pPr>
              <w:pStyle w:val="ADRText"/>
              <w:ind w:left="0"/>
              <w:rPr>
                <w:b/>
                <w:sz w:val="24"/>
              </w:rPr>
            </w:pPr>
          </w:p>
          <w:p w:rsidR="00583901" w:rsidRDefault="00583901" w:rsidP="00D67265">
            <w:pPr>
              <w:pStyle w:val="ADRText"/>
              <w:ind w:left="0"/>
              <w:rPr>
                <w:b/>
                <w:sz w:val="24"/>
              </w:rPr>
            </w:pPr>
          </w:p>
          <w:p w:rsidR="00583901" w:rsidRDefault="00583901" w:rsidP="00D67265">
            <w:pPr>
              <w:pStyle w:val="SingleTxt"/>
              <w:tabs>
                <w:tab w:val="clear" w:pos="1267"/>
                <w:tab w:val="clear" w:pos="1742"/>
                <w:tab w:val="left" w:pos="1170"/>
              </w:tabs>
              <w:ind w:left="720" w:right="0"/>
              <w:rPr>
                <w:b/>
                <w:sz w:val="24"/>
              </w:rPr>
            </w:pPr>
          </w:p>
          <w:p w:rsidR="00583901" w:rsidRDefault="00583901" w:rsidP="00D67265">
            <w:pPr>
              <w:pStyle w:val="ADRText"/>
              <w:ind w:left="0"/>
              <w:rPr>
                <w:b/>
                <w:sz w:val="24"/>
              </w:rPr>
            </w:pPr>
          </w:p>
          <w:p w:rsidR="00583901" w:rsidRDefault="00583901" w:rsidP="00D67265">
            <w:pPr>
              <w:pStyle w:val="ADRText"/>
              <w:ind w:left="0"/>
              <w:rPr>
                <w:b/>
                <w:sz w:val="24"/>
              </w:rPr>
            </w:pPr>
          </w:p>
          <w:p w:rsidR="00583901" w:rsidRDefault="00583901" w:rsidP="00D67265">
            <w:pPr>
              <w:pStyle w:val="ADRText"/>
              <w:ind w:left="0"/>
              <w:rPr>
                <w:b/>
                <w:sz w:val="24"/>
              </w:rPr>
            </w:pPr>
          </w:p>
          <w:p w:rsidR="00583901" w:rsidRDefault="00583901" w:rsidP="00D67265">
            <w:pPr>
              <w:pStyle w:val="ADRText"/>
              <w:ind w:left="0"/>
              <w:rPr>
                <w:b/>
                <w:sz w:val="24"/>
              </w:rPr>
            </w:pPr>
            <w:r w:rsidRPr="00D67265">
              <w:rPr>
                <w:rFonts w:eastAsia="Calibri"/>
                <w:noProof/>
                <w:lang w:val="en-US"/>
              </w:rPr>
              <mc:AlternateContent>
                <mc:Choice Requires="wpg">
                  <w:drawing>
                    <wp:anchor distT="0" distB="0" distL="114300" distR="114300" simplePos="0" relativeHeight="251658241" behindDoc="0" locked="0" layoutInCell="1" allowOverlap="1" wp14:anchorId="1FF48FC3" wp14:editId="4B267538">
                      <wp:simplePos x="0" y="0"/>
                      <wp:positionH relativeFrom="page">
                        <wp:posOffset>999978</wp:posOffset>
                      </wp:positionH>
                      <wp:positionV relativeFrom="paragraph">
                        <wp:posOffset>705632</wp:posOffset>
                      </wp:positionV>
                      <wp:extent cx="4189845" cy="525599"/>
                      <wp:effectExtent l="0" t="0" r="20320" b="27305"/>
                      <wp:wrapNone/>
                      <wp:docPr id="49" name="Group 2"/>
                      <wp:cNvGraphicFramePr/>
                      <a:graphic xmlns:a="http://schemas.openxmlformats.org/drawingml/2006/main">
                        <a:graphicData uri="http://schemas.microsoft.com/office/word/2010/wordprocessingGroup">
                          <wpg:wgp>
                            <wpg:cNvGrpSpPr/>
                            <wpg:grpSpPr>
                              <a:xfrm>
                                <a:off x="0" y="0"/>
                                <a:ext cx="4189845" cy="525599"/>
                                <a:chOff x="151714" y="4134162"/>
                                <a:chExt cx="4874143" cy="430712"/>
                              </a:xfrm>
                            </wpg:grpSpPr>
                            <wpg:grpSp>
                              <wpg:cNvPr id="50" name="Group 50"/>
                              <wpg:cNvGrpSpPr/>
                              <wpg:grpSpPr>
                                <a:xfrm>
                                  <a:off x="850178" y="4302613"/>
                                  <a:ext cx="4175679" cy="262261"/>
                                  <a:chOff x="850178" y="4302613"/>
                                  <a:chExt cx="4175679" cy="262261"/>
                                </a:xfrm>
                              </wpg:grpSpPr>
                              <wps:wsp>
                                <wps:cNvPr id="52" name="TextBox 8"/>
                                <wps:cNvSpPr txBox="1"/>
                                <wps:spPr>
                                  <a:xfrm>
                                    <a:off x="850178" y="4302613"/>
                                    <a:ext cx="2011680" cy="262255"/>
                                  </a:xfrm>
                                  <a:prstGeom prst="rect">
                                    <a:avLst/>
                                  </a:prstGeom>
                                  <a:pattFill prst="pct10">
                                    <a:fgClr>
                                      <a:schemeClr val="tx1"/>
                                    </a:fgClr>
                                    <a:bgClr>
                                      <a:schemeClr val="bg1"/>
                                    </a:bgClr>
                                  </a:pattFill>
                                  <a:ln>
                                    <a:solidFill>
                                      <a:schemeClr val="tx1"/>
                                    </a:solidFill>
                                  </a:ln>
                                </wps:spPr>
                                <wps:txbx>
                                  <w:txbxContent>
                                    <w:p w:rsidR="00E6386B" w:rsidRDefault="00E6386B" w:rsidP="00583901">
                                      <w:pPr>
                                        <w:pStyle w:val="NormalWeb"/>
                                        <w:spacing w:before="0" w:beforeAutospacing="0" w:after="0" w:afterAutospacing="0"/>
                                        <w:jc w:val="center"/>
                                        <w:rPr>
                                          <w:sz w:val="24"/>
                                        </w:rPr>
                                      </w:pPr>
                                      <w:r>
                                        <w:rPr>
                                          <w:rFonts w:ascii="Calibri" w:hAnsi="Calibri" w:cstheme="minorBidi"/>
                                          <w:b/>
                                          <w:bCs/>
                                          <w:color w:val="000000" w:themeColor="text1"/>
                                          <w:kern w:val="24"/>
                                        </w:rPr>
                                        <w:t>Programmatic component</w:t>
                                      </w:r>
                                    </w:p>
                                  </w:txbxContent>
                                </wps:txbx>
                                <wps:bodyPr wrap="square" rtlCol="0">
                                  <a:noAutofit/>
                                </wps:bodyPr>
                              </wps:wsp>
                              <wps:wsp>
                                <wps:cNvPr id="53" name="TextBox 11"/>
                                <wps:cNvSpPr txBox="1"/>
                                <wps:spPr>
                                  <a:xfrm>
                                    <a:off x="3014178" y="4302619"/>
                                    <a:ext cx="2011679" cy="262255"/>
                                  </a:xfrm>
                                  <a:prstGeom prst="rect">
                                    <a:avLst/>
                                  </a:prstGeom>
                                  <a:noFill/>
                                  <a:ln>
                                    <a:solidFill>
                                      <a:schemeClr val="tx1"/>
                                    </a:solidFill>
                                  </a:ln>
                                </wps:spPr>
                                <wps:txbx>
                                  <w:txbxContent>
                                    <w:p w:rsidR="00E6386B" w:rsidRPr="003E77F4" w:rsidRDefault="00E6386B" w:rsidP="00583901">
                                      <w:pPr>
                                        <w:pStyle w:val="NormalWeb"/>
                                        <w:spacing w:before="0" w:beforeAutospacing="0" w:after="0" w:afterAutospacing="0"/>
                                        <w:jc w:val="center"/>
                                        <w:rPr>
                                          <w:b/>
                                          <w:sz w:val="24"/>
                                        </w:rPr>
                                      </w:pPr>
                                      <w:r w:rsidRPr="003E77F4">
                                        <w:rPr>
                                          <w:rFonts w:ascii="Calibri" w:hAnsi="Calibri" w:cstheme="minorBidi"/>
                                          <w:b/>
                                          <w:color w:val="000000" w:themeColor="text1"/>
                                          <w:kern w:val="24"/>
                                        </w:rPr>
                                        <w:t>Institutional component</w:t>
                                      </w:r>
                                    </w:p>
                                  </w:txbxContent>
                                </wps:txbx>
                                <wps:bodyPr wrap="square" rtlCol="0">
                                  <a:noAutofit/>
                                </wps:bodyPr>
                              </wps:wsp>
                            </wpg:grpSp>
                            <wps:wsp>
                              <wps:cNvPr id="54" name="TextBox 13"/>
                              <wps:cNvSpPr txBox="1"/>
                              <wps:spPr>
                                <a:xfrm>
                                  <a:off x="151714" y="4134162"/>
                                  <a:ext cx="4874143" cy="196712"/>
                                </a:xfrm>
                                <a:prstGeom prst="rect">
                                  <a:avLst/>
                                </a:prstGeom>
                                <a:noFill/>
                              </wps:spPr>
                              <wps:txbx>
                                <w:txbxContent>
                                  <w:p w:rsidR="00E6386B" w:rsidRDefault="00E6386B" w:rsidP="00583901">
                                    <w:pPr>
                                      <w:pStyle w:val="NormalWeb"/>
                                      <w:spacing w:before="0" w:beforeAutospacing="0" w:after="0" w:afterAutospacing="0"/>
                                      <w:rPr>
                                        <w:rFonts w:ascii="Calibri" w:hAnsi="Calibri" w:cstheme="minorBidi"/>
                                        <w:b/>
                                        <w:bCs/>
                                        <w:color w:val="000000" w:themeColor="text1"/>
                                        <w:kern w:val="24"/>
                                      </w:rPr>
                                    </w:pPr>
                                    <w:r>
                                      <w:rPr>
                                        <w:rFonts w:ascii="Calibri" w:hAnsi="Calibri" w:cstheme="minorBidi"/>
                                        <w:b/>
                                        <w:bCs/>
                                        <w:color w:val="000000" w:themeColor="text1"/>
                                        <w:kern w:val="24"/>
                                      </w:rPr>
                                      <w:t>LEGEND:</w:t>
                                    </w:r>
                                  </w:p>
                                  <w:p w:rsidR="00E6386B" w:rsidRDefault="00E6386B" w:rsidP="00583901">
                                    <w:pPr>
                                      <w:pStyle w:val="NormalWeb"/>
                                      <w:spacing w:before="0" w:beforeAutospacing="0" w:after="0" w:afterAutospacing="0"/>
                                      <w:rPr>
                                        <w:sz w:val="24"/>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FF48FC3" id="Group 2" o:spid="_x0000_s1026" style="position:absolute;margin-left:78.75pt;margin-top:55.55pt;width:329.9pt;height:41.4pt;z-index:251658241;mso-position-horizontal-relative:page;mso-width-relative:margin;mso-height-relative:margin" coordorigin="1517,41341" coordsize="48741,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">
                      <v:group id="Group 50" o:spid="_x0000_s1027" style="position:absolute;left:8501;top:43026;width:41757;height:2622" coordorigin="8501,43026" coordsize="4175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202" coordsize="21600,21600" o:spt="202" path="m,l,21600r21600,l21600,xe">
                          <v:stroke joinstyle="miter"/>
                          <v:path gradientshapeok="t" o:connecttype="rect"/>
                        </v:shapetype>
                        <v:shape id="TextBox 8" o:spid="_x0000_s1028" type="#_x0000_t202" style="position:absolute;left:8501;top:43026;width:2011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" fillcolor="black [3213]" strokecolor="black [3213]">
                          <v:fill r:id="rId14" o:title="" color2="white [3212]" type="pattern"/>
                          <v:textbox>
                            <w:txbxContent>
                              <w:p w:rsidR="00E6386B" w:rsidRDefault="00E6386B" w:rsidP="00583901">
                                <w:pPr>
                                  <w:pStyle w:val="NormalWeb"/>
                                  <w:spacing w:before="0" w:beforeAutospacing="0" w:after="0" w:afterAutospacing="0"/>
                                  <w:jc w:val="center"/>
                                  <w:rPr>
                                    <w:sz w:val="24"/>
                                  </w:rPr>
                                </w:pPr>
                                <w:r>
                                  <w:rPr>
                                    <w:rFonts w:ascii="Calibri" w:hAnsi="Calibri" w:cstheme="minorBidi"/>
                                    <w:b/>
                                    <w:bCs/>
                                    <w:color w:val="000000" w:themeColor="text1"/>
                                    <w:kern w:val="24"/>
                                  </w:rPr>
                                  <w:t>Programmatic component</w:t>
                                </w:r>
                              </w:p>
                            </w:txbxContent>
                          </v:textbox>
                        </v:shape>
                        <v:shape id="TextBox 11" o:spid="_x0000_s1029" type="#_x0000_t202" style="position:absolute;left:30141;top:43026;width:2011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g8xQAAANsAAAAPAAAAZHJzL2Rvd25yZXYueG1sRI9Pa8JA&#10;FMTvhX6H5RV6001bqhJdQ5sgiOjBP4jHR/aZBLNvQ3arybd3BaHHYWZ+w8y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CjhTg8xQAAANsAAAAP&#10;AAAAAAAAAAAAAAAAAAcCAABkcnMvZG93bnJldi54bWxQSwUGAAAAAAMAAwC3AAAA+QIAAAAA&#10;" filled="f" strokecolor="black [3213]">
                          <v:textbox>
                            <w:txbxContent>
                              <w:p w:rsidR="00E6386B" w:rsidRPr="003E77F4" w:rsidRDefault="00E6386B" w:rsidP="00583901">
                                <w:pPr>
                                  <w:pStyle w:val="NormalWeb"/>
                                  <w:spacing w:before="0" w:beforeAutospacing="0" w:after="0" w:afterAutospacing="0"/>
                                  <w:jc w:val="center"/>
                                  <w:rPr>
                                    <w:b/>
                                    <w:sz w:val="24"/>
                                  </w:rPr>
                                </w:pPr>
                                <w:r w:rsidRPr="003E77F4">
                                  <w:rPr>
                                    <w:rFonts w:ascii="Calibri" w:hAnsi="Calibri" w:cstheme="minorBidi"/>
                                    <w:b/>
                                    <w:color w:val="000000" w:themeColor="text1"/>
                                    <w:kern w:val="24"/>
                                  </w:rPr>
                                  <w:t>Institutional component</w:t>
                                </w:r>
                              </w:p>
                            </w:txbxContent>
                          </v:textbox>
                        </v:shape>
                      </v:group>
                      <v:shape id="TextBox 13" o:spid="_x0000_s1030" type="#_x0000_t202" style="position:absolute;left:1517;top:41341;width:4874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6386B" w:rsidRDefault="00E6386B" w:rsidP="00583901">
                              <w:pPr>
                                <w:pStyle w:val="NormalWeb"/>
                                <w:spacing w:before="0" w:beforeAutospacing="0" w:after="0" w:afterAutospacing="0"/>
                                <w:rPr>
                                  <w:rFonts w:ascii="Calibri" w:hAnsi="Calibri" w:cstheme="minorBidi"/>
                                  <w:b/>
                                  <w:bCs/>
                                  <w:color w:val="000000" w:themeColor="text1"/>
                                  <w:kern w:val="24"/>
                                </w:rPr>
                              </w:pPr>
                              <w:r>
                                <w:rPr>
                                  <w:rFonts w:ascii="Calibri" w:hAnsi="Calibri" w:cstheme="minorBidi"/>
                                  <w:b/>
                                  <w:bCs/>
                                  <w:color w:val="000000" w:themeColor="text1"/>
                                  <w:kern w:val="24"/>
                                </w:rPr>
                                <w:t>LEGEND:</w:t>
                              </w:r>
                            </w:p>
                            <w:p w:rsidR="00E6386B" w:rsidRDefault="00E6386B" w:rsidP="00583901">
                              <w:pPr>
                                <w:pStyle w:val="NormalWeb"/>
                                <w:spacing w:before="0" w:beforeAutospacing="0" w:after="0" w:afterAutospacing="0"/>
                                <w:rPr>
                                  <w:sz w:val="24"/>
                                </w:rPr>
                              </w:pPr>
                            </w:p>
                          </w:txbxContent>
                        </v:textbox>
                      </v:shape>
                      <w10:wrap anchorx="page"/>
                    </v:group>
                  </w:pict>
                </mc:Fallback>
              </mc:AlternateContent>
            </w:r>
          </w:p>
          <w:p w:rsidR="00583901" w:rsidRDefault="00583901" w:rsidP="00D67265">
            <w:pPr>
              <w:pStyle w:val="ADRText"/>
              <w:ind w:left="0"/>
              <w:rPr>
                <w:b/>
                <w:sz w:val="24"/>
              </w:rPr>
            </w:pPr>
          </w:p>
          <w:p w:rsidR="00583901" w:rsidRDefault="00583901" w:rsidP="00D67265">
            <w:pPr>
              <w:pStyle w:val="ADRText"/>
              <w:ind w:left="0"/>
              <w:rPr>
                <w:b/>
                <w:sz w:val="24"/>
              </w:rPr>
            </w:pPr>
          </w:p>
          <w:p w:rsidR="00583901" w:rsidRDefault="00583901" w:rsidP="00D67265">
            <w:pPr>
              <w:pStyle w:val="ADRText"/>
              <w:ind w:left="0"/>
              <w:rPr>
                <w:b/>
                <w:sz w:val="24"/>
              </w:rPr>
            </w:pPr>
          </w:p>
          <w:p w:rsidR="00583901" w:rsidRDefault="00583901" w:rsidP="00D67265">
            <w:pPr>
              <w:pStyle w:val="ADRText"/>
              <w:ind w:left="0"/>
              <w:rPr>
                <w:b/>
                <w:sz w:val="24"/>
              </w:rPr>
            </w:pPr>
          </w:p>
          <w:p w:rsidR="00583901" w:rsidRPr="00647640" w:rsidRDefault="00583901" w:rsidP="00D67265">
            <w:pPr>
              <w:pStyle w:val="ADRText"/>
              <w:ind w:left="0"/>
              <w:rPr>
                <w:b/>
                <w:sz w:val="24"/>
              </w:rPr>
            </w:pPr>
          </w:p>
          <w:p w:rsidR="3CA481E0" w:rsidRDefault="3CA481E0" w:rsidP="00D67265">
            <w:pPr>
              <w:pStyle w:val="ADRText"/>
              <w:ind w:left="0"/>
              <w:rPr>
                <w:b/>
                <w:bCs/>
                <w:sz w:val="24"/>
              </w:rPr>
            </w:pPr>
          </w:p>
          <w:p w:rsidR="00583901" w:rsidRDefault="00583901" w:rsidP="00D67265">
            <w:pPr>
              <w:pStyle w:val="ADRText"/>
              <w:ind w:left="0"/>
              <w:rPr>
                <w:b/>
                <w:bCs/>
                <w:sz w:val="24"/>
              </w:rPr>
            </w:pPr>
          </w:p>
          <w:p w:rsidR="00F02DD9" w:rsidRPr="00F02DD9" w:rsidRDefault="00F02DD9" w:rsidP="00D67265">
            <w:pPr>
              <w:pStyle w:val="SingleTxt"/>
              <w:numPr>
                <w:ilvl w:val="0"/>
                <w:numId w:val="1"/>
              </w:numPr>
              <w:tabs>
                <w:tab w:val="clear" w:pos="1267"/>
                <w:tab w:val="clear" w:pos="1742"/>
                <w:tab w:val="left" w:pos="1170"/>
              </w:tabs>
              <w:ind w:left="720" w:right="0" w:hanging="540"/>
              <w:rPr>
                <w:rFonts w:eastAsia="Calibri"/>
              </w:rPr>
            </w:pPr>
            <w:r w:rsidRPr="00D67265">
              <w:rPr>
                <w:rFonts w:eastAsia="Calibri"/>
              </w:rPr>
              <w:t xml:space="preserve">The </w:t>
            </w:r>
            <w:r w:rsidR="00F7092F">
              <w:rPr>
                <w:rFonts w:eastAsia="Calibri"/>
              </w:rPr>
              <w:t>integrated resources p</w:t>
            </w:r>
            <w:r w:rsidR="00AF34BD">
              <w:rPr>
                <w:rFonts w:eastAsia="Calibri"/>
              </w:rPr>
              <w:t xml:space="preserve">lan and the </w:t>
            </w:r>
            <w:r w:rsidR="00F7092F">
              <w:rPr>
                <w:rFonts w:eastAsia="Calibri"/>
              </w:rPr>
              <w:t>encompassed integrated b</w:t>
            </w:r>
            <w:r w:rsidRPr="009C0776">
              <w:rPr>
                <w:rFonts w:eastAsia="Calibri"/>
              </w:rPr>
              <w:t>udget are premised on the following three pillar</w:t>
            </w:r>
            <w:r>
              <w:rPr>
                <w:rFonts w:eastAsia="Calibri"/>
              </w:rPr>
              <w:t>s:</w:t>
            </w:r>
          </w:p>
          <w:p w:rsidR="00F02DD9" w:rsidRPr="00D67265" w:rsidRDefault="00B95A86" w:rsidP="00D67265">
            <w:pPr>
              <w:pStyle w:val="SingleTxt"/>
              <w:numPr>
                <w:ilvl w:val="1"/>
                <w:numId w:val="1"/>
              </w:numPr>
              <w:tabs>
                <w:tab w:val="clear" w:pos="1267"/>
                <w:tab w:val="clear" w:pos="1742"/>
                <w:tab w:val="left" w:pos="1170"/>
              </w:tabs>
              <w:ind w:right="0" w:firstLine="90"/>
            </w:pPr>
            <w:r w:rsidRPr="00D67265">
              <w:rPr>
                <w:rFonts w:eastAsia="Calibri"/>
              </w:rPr>
              <w:t>Achieving synergies by integrating programmatic</w:t>
            </w:r>
            <w:r w:rsidRPr="00D67265">
              <w:rPr>
                <w:b/>
                <w:bCs/>
              </w:rPr>
              <w:t xml:space="preserve"> </w:t>
            </w:r>
            <w:r w:rsidRPr="00D67265">
              <w:rPr>
                <w:bCs/>
              </w:rPr>
              <w:t>and institutional budget components</w:t>
            </w:r>
            <w:r w:rsidRPr="00D67265">
              <w:rPr>
                <w:b/>
                <w:bCs/>
              </w:rPr>
              <w:t xml:space="preserve">; </w:t>
            </w:r>
          </w:p>
          <w:p w:rsidR="00F02DD9" w:rsidRPr="00D67265" w:rsidRDefault="00B95A86" w:rsidP="00D67265">
            <w:pPr>
              <w:pStyle w:val="SingleTxt"/>
              <w:numPr>
                <w:ilvl w:val="1"/>
                <w:numId w:val="1"/>
              </w:numPr>
              <w:tabs>
                <w:tab w:val="clear" w:pos="1267"/>
                <w:tab w:val="clear" w:pos="1742"/>
                <w:tab w:val="left" w:pos="1170"/>
              </w:tabs>
              <w:ind w:right="0" w:firstLine="90"/>
            </w:pPr>
            <w:r w:rsidRPr="00D67265">
              <w:t>Leveraging the cost classification, to respond to the quadrennial comprehensive policy review of United Nations operational activities for development and to further enhance the transparent and efficient usage of resources; and</w:t>
            </w:r>
          </w:p>
          <w:p w:rsidR="00B95A86" w:rsidRPr="00D67265" w:rsidRDefault="00B95A86" w:rsidP="00D67265">
            <w:pPr>
              <w:pStyle w:val="SingleTxt"/>
              <w:numPr>
                <w:ilvl w:val="1"/>
                <w:numId w:val="1"/>
              </w:numPr>
              <w:tabs>
                <w:tab w:val="clear" w:pos="1267"/>
                <w:tab w:val="clear" w:pos="1742"/>
                <w:tab w:val="left" w:pos="1170"/>
              </w:tabs>
              <w:ind w:right="0" w:firstLine="90"/>
            </w:pPr>
            <w:r w:rsidRPr="00D67265">
              <w:t>Improving cost alignment through more rigorous and targeted implementation of the cost recovery.</w:t>
            </w:r>
          </w:p>
          <w:p w:rsidR="62BB57C9" w:rsidRDefault="62BB57C9" w:rsidP="00D67265">
            <w:pPr>
              <w:pStyle w:val="SingleTxt"/>
              <w:spacing w:after="100"/>
              <w:ind w:right="0" w:hanging="346"/>
            </w:pPr>
          </w:p>
          <w:p w:rsidR="00B95A86" w:rsidRPr="00D67265" w:rsidRDefault="00B95A86" w:rsidP="00D67265">
            <w:pPr>
              <w:pStyle w:val="SingleTxt"/>
              <w:numPr>
                <w:ilvl w:val="0"/>
                <w:numId w:val="1"/>
              </w:numPr>
              <w:tabs>
                <w:tab w:val="clear" w:pos="1267"/>
                <w:tab w:val="clear" w:pos="1742"/>
                <w:tab w:val="left" w:pos="1170"/>
              </w:tabs>
              <w:ind w:left="720" w:right="0" w:hanging="540"/>
              <w:rPr>
                <w:rFonts w:eastAsia="Calibri"/>
              </w:rPr>
            </w:pPr>
            <w:r w:rsidRPr="00D67265">
              <w:rPr>
                <w:rFonts w:eastAsia="Calibri"/>
              </w:rPr>
              <w:lastRenderedPageBreak/>
              <w:t xml:space="preserve">Elements of the cost classification categories, which are harmonized with UNICEF, UNFPA and UN-Women, and applied in the presentation of the </w:t>
            </w:r>
            <w:r w:rsidR="00F7092F">
              <w:rPr>
                <w:rFonts w:eastAsia="Calibri"/>
              </w:rPr>
              <w:t>i</w:t>
            </w:r>
            <w:r w:rsidRPr="00D67265">
              <w:rPr>
                <w:rFonts w:eastAsia="Calibri"/>
              </w:rPr>
              <w:t xml:space="preserve">ntegrated </w:t>
            </w:r>
            <w:r w:rsidR="00F7092F">
              <w:rPr>
                <w:rFonts w:eastAsia="Calibri"/>
              </w:rPr>
              <w:t>r</w:t>
            </w:r>
            <w:r w:rsidRPr="00D67265">
              <w:rPr>
                <w:rFonts w:eastAsia="Calibri"/>
              </w:rPr>
              <w:t xml:space="preserve">esources </w:t>
            </w:r>
            <w:r w:rsidR="00F7092F">
              <w:rPr>
                <w:rFonts w:eastAsia="Calibri"/>
              </w:rPr>
              <w:t>p</w:t>
            </w:r>
            <w:r w:rsidRPr="00D67265">
              <w:rPr>
                <w:rFonts w:eastAsia="Calibri"/>
              </w:rPr>
              <w:t xml:space="preserve">lan encompassing the </w:t>
            </w:r>
            <w:r w:rsidR="00F7092F">
              <w:rPr>
                <w:rFonts w:eastAsia="Calibri"/>
              </w:rPr>
              <w:t>i</w:t>
            </w:r>
            <w:r w:rsidRPr="00D67265">
              <w:rPr>
                <w:rFonts w:eastAsia="Calibri"/>
              </w:rPr>
              <w:t xml:space="preserve">ntegrated </w:t>
            </w:r>
            <w:r w:rsidR="00F7092F">
              <w:rPr>
                <w:rFonts w:eastAsia="Calibri"/>
              </w:rPr>
              <w:t>b</w:t>
            </w:r>
            <w:r w:rsidRPr="00D67265">
              <w:rPr>
                <w:rFonts w:eastAsia="Calibri"/>
              </w:rPr>
              <w:t>udget are:</w:t>
            </w:r>
          </w:p>
          <w:p w:rsidR="00B95A86" w:rsidRPr="00B44329" w:rsidRDefault="00B95A86" w:rsidP="00D67265">
            <w:pPr>
              <w:pStyle w:val="SingleTxt"/>
              <w:numPr>
                <w:ilvl w:val="1"/>
                <w:numId w:val="1"/>
              </w:numPr>
              <w:tabs>
                <w:tab w:val="clear" w:pos="1267"/>
                <w:tab w:val="clear" w:pos="1742"/>
                <w:tab w:val="left" w:pos="1170"/>
              </w:tabs>
              <w:ind w:right="0"/>
              <w:rPr>
                <w:rFonts w:eastAsia="Calibri"/>
              </w:rPr>
            </w:pPr>
            <w:r w:rsidRPr="00D67265">
              <w:rPr>
                <w:rFonts w:eastAsia="Calibri"/>
              </w:rPr>
              <w:t>Programme activities: dedicated support embedded in development programmes and projects to achieve development results;</w:t>
            </w:r>
          </w:p>
          <w:p w:rsidR="00B95A86" w:rsidRPr="00D67265" w:rsidRDefault="00B95A86" w:rsidP="00D67265">
            <w:pPr>
              <w:pStyle w:val="SingleTxt"/>
              <w:numPr>
                <w:ilvl w:val="1"/>
                <w:numId w:val="1"/>
              </w:numPr>
              <w:tabs>
                <w:tab w:val="clear" w:pos="1267"/>
                <w:tab w:val="clear" w:pos="1742"/>
                <w:tab w:val="left" w:pos="1170"/>
              </w:tabs>
              <w:ind w:right="0"/>
              <w:rPr>
                <w:rFonts w:eastAsia="Calibri"/>
              </w:rPr>
            </w:pPr>
            <w:r w:rsidRPr="00B44329">
              <w:rPr>
                <w:rFonts w:eastAsia="Calibri"/>
              </w:rPr>
              <w:t xml:space="preserve">Development effectiveness activities: specialized expertise on development aligned with the strategic plan outcomes; strategic country programme planning and quality assurance; programme pipeline development and management; and programme policy advisory services;  </w:t>
            </w:r>
          </w:p>
          <w:p w:rsidR="00B95A86" w:rsidRPr="00D67265" w:rsidRDefault="00B95A86" w:rsidP="00D67265">
            <w:pPr>
              <w:pStyle w:val="SingleTxt"/>
              <w:numPr>
                <w:ilvl w:val="1"/>
                <w:numId w:val="1"/>
              </w:numPr>
              <w:tabs>
                <w:tab w:val="clear" w:pos="1267"/>
                <w:tab w:val="clear" w:pos="1742"/>
                <w:tab w:val="left" w:pos="1170"/>
              </w:tabs>
              <w:ind w:right="0"/>
              <w:rPr>
                <w:rFonts w:eastAsia="Calibri"/>
              </w:rPr>
            </w:pPr>
            <w:r w:rsidRPr="00B44329">
              <w:rPr>
                <w:rFonts w:eastAsia="Calibri"/>
              </w:rPr>
              <w:t>U</w:t>
            </w:r>
            <w:r w:rsidR="00F7092F">
              <w:rPr>
                <w:rFonts w:eastAsia="Calibri"/>
              </w:rPr>
              <w:t xml:space="preserve">nited </w:t>
            </w:r>
            <w:r w:rsidRPr="00B44329">
              <w:rPr>
                <w:rFonts w:eastAsia="Calibri"/>
              </w:rPr>
              <w:t>N</w:t>
            </w:r>
            <w:r w:rsidR="00F7092F">
              <w:rPr>
                <w:rFonts w:eastAsia="Calibri"/>
              </w:rPr>
              <w:t>ations</w:t>
            </w:r>
            <w:r w:rsidRPr="00B44329">
              <w:rPr>
                <w:rFonts w:eastAsia="Calibri"/>
              </w:rPr>
              <w:t xml:space="preserve"> development coordination activities: United Nations system’s leadership, coordination and representation; and operational support and services to the UN system;</w:t>
            </w:r>
          </w:p>
          <w:p w:rsidR="00B44329" w:rsidRDefault="00B95A86" w:rsidP="00D67265">
            <w:pPr>
              <w:pStyle w:val="SingleTxt"/>
              <w:numPr>
                <w:ilvl w:val="1"/>
                <w:numId w:val="1"/>
              </w:numPr>
              <w:tabs>
                <w:tab w:val="clear" w:pos="1267"/>
                <w:tab w:val="clear" w:pos="1742"/>
                <w:tab w:val="left" w:pos="1170"/>
              </w:tabs>
              <w:ind w:right="0"/>
              <w:rPr>
                <w:rFonts w:eastAsia="Calibri"/>
              </w:rPr>
            </w:pPr>
            <w:r w:rsidRPr="00D67265">
              <w:rPr>
                <w:rFonts w:eastAsia="Calibri"/>
              </w:rPr>
              <w:t>Management activities: leadership and in country representation; programme direction and accountability; monitoring and oversight; and operational management and administration; and</w:t>
            </w:r>
            <w:r w:rsidR="00B44329" w:rsidRPr="007C1921">
              <w:rPr>
                <w:rFonts w:eastAsia="Calibri"/>
              </w:rPr>
              <w:t xml:space="preserve"> </w:t>
            </w:r>
          </w:p>
          <w:p w:rsidR="00F913D9" w:rsidRPr="00D67265" w:rsidRDefault="00B44329" w:rsidP="00D67265">
            <w:pPr>
              <w:pStyle w:val="SingleTxt"/>
              <w:numPr>
                <w:ilvl w:val="1"/>
                <w:numId w:val="1"/>
              </w:numPr>
              <w:tabs>
                <w:tab w:val="clear" w:pos="1267"/>
                <w:tab w:val="clear" w:pos="1742"/>
                <w:tab w:val="left" w:pos="1170"/>
              </w:tabs>
              <w:ind w:right="0"/>
              <w:rPr>
                <w:rFonts w:eastAsia="Calibri"/>
              </w:rPr>
            </w:pPr>
            <w:r>
              <w:rPr>
                <w:rFonts w:eastAsia="Calibri"/>
              </w:rPr>
              <w:t xml:space="preserve">Special </w:t>
            </w:r>
            <w:r w:rsidRPr="007C1921">
              <w:rPr>
                <w:rFonts w:eastAsia="Calibri"/>
              </w:rPr>
              <w:t>purpose activities: capital investments; funds and programmes administered by UNDP (i.e. UNV, UNCDF); and reimbursable support services provided to other United Nations partners</w:t>
            </w:r>
            <w:r>
              <w:rPr>
                <w:rFonts w:eastAsia="Calibri"/>
              </w:rPr>
              <w:t>.</w:t>
            </w:r>
          </w:p>
          <w:p w:rsidR="00B13F00" w:rsidRDefault="00B13F00" w:rsidP="00C73160">
            <w:pPr>
              <w:pStyle w:val="DualTxt"/>
              <w:tabs>
                <w:tab w:val="clear" w:pos="960"/>
                <w:tab w:val="clear" w:pos="1915"/>
                <w:tab w:val="left" w:pos="900"/>
                <w:tab w:val="left" w:pos="990"/>
                <w:tab w:val="left" w:pos="1260"/>
                <w:tab w:val="left" w:pos="1800"/>
                <w:tab w:val="left" w:pos="8820"/>
              </w:tabs>
              <w:spacing w:line="200" w:lineRule="exact"/>
              <w:ind w:right="547"/>
              <w:rPr>
                <w:rFonts w:eastAsia="Calibri"/>
                <w:b w:val="0"/>
                <w:bCs w:val="0"/>
                <w:w w:val="103"/>
                <w:sz w:val="20"/>
                <w:szCs w:val="20"/>
              </w:rPr>
            </w:pPr>
          </w:p>
          <w:p w:rsidR="007215F8" w:rsidRPr="007215F8" w:rsidRDefault="007215F8" w:rsidP="007215F8">
            <w:pPr>
              <w:spacing w:after="120" w:line="240" w:lineRule="atLeast"/>
              <w:ind w:left="1627"/>
              <w:jc w:val="both"/>
              <w:divId w:val="1345862033"/>
              <w:rPr>
                <w:rFonts w:eastAsiaTheme="minorEastAsia"/>
                <w:color w:val="333333"/>
                <w:spacing w:val="4"/>
                <w:sz w:val="20"/>
                <w:szCs w:val="20"/>
                <w:lang w:eastAsia="en-US"/>
              </w:rPr>
            </w:pPr>
            <w:r w:rsidRPr="007215F8">
              <w:rPr>
                <w:rFonts w:eastAsiaTheme="minorEastAsia"/>
                <w:color w:val="333333"/>
                <w:spacing w:val="4"/>
                <w:sz w:val="20"/>
                <w:szCs w:val="20"/>
                <w:lang w:eastAsia="en-US"/>
              </w:rPr>
              <w:t> </w:t>
            </w:r>
          </w:p>
          <w:p w:rsidR="007215F8" w:rsidRDefault="007215F8" w:rsidP="007215F8">
            <w:pPr>
              <w:spacing w:after="120" w:line="240" w:lineRule="atLeast"/>
              <w:ind w:left="720"/>
              <w:jc w:val="both"/>
              <w:divId w:val="1345862033"/>
              <w:rPr>
                <w:rFonts w:eastAsiaTheme="minorEastAsia"/>
                <w:b/>
                <w:bCs/>
                <w:color w:val="000000"/>
                <w:spacing w:val="4"/>
                <w:szCs w:val="22"/>
                <w:lang w:val="en-GB" w:eastAsia="en-US"/>
              </w:rPr>
            </w:pPr>
            <w:proofErr w:type="spellStart"/>
            <w:r>
              <w:rPr>
                <w:rFonts w:eastAsiaTheme="minorEastAsia"/>
                <w:b/>
                <w:bCs/>
                <w:color w:val="000000"/>
                <w:spacing w:val="4"/>
                <w:szCs w:val="22"/>
                <w:lang w:val="en-GB" w:eastAsia="en-US"/>
              </w:rPr>
              <w:t>I.b</w:t>
            </w:r>
            <w:proofErr w:type="spellEnd"/>
            <w:r>
              <w:rPr>
                <w:rFonts w:eastAsiaTheme="minorEastAsia"/>
                <w:b/>
                <w:bCs/>
                <w:color w:val="000000"/>
                <w:spacing w:val="4"/>
                <w:szCs w:val="22"/>
                <w:lang w:val="en-GB" w:eastAsia="en-US"/>
              </w:rPr>
              <w:t xml:space="preserve">. </w:t>
            </w:r>
            <w:r w:rsidRPr="007215F8">
              <w:rPr>
                <w:rFonts w:eastAsiaTheme="minorEastAsia"/>
                <w:b/>
                <w:bCs/>
                <w:color w:val="000000"/>
                <w:spacing w:val="4"/>
                <w:szCs w:val="22"/>
                <w:lang w:val="en-GB" w:eastAsia="en-US"/>
              </w:rPr>
              <w:t>Review of the financial performance in 2014-2017</w:t>
            </w:r>
            <w:r>
              <w:rPr>
                <w:rFonts w:eastAsiaTheme="minorEastAsia"/>
                <w:b/>
                <w:bCs/>
                <w:color w:val="000000"/>
                <w:spacing w:val="4"/>
                <w:szCs w:val="22"/>
                <w:lang w:val="en-GB" w:eastAsia="en-US"/>
              </w:rPr>
              <w:t xml:space="preserve"> and lessons learned</w:t>
            </w:r>
          </w:p>
          <w:p w:rsidR="007215F8" w:rsidRDefault="007215F8" w:rsidP="007215F8">
            <w:pPr>
              <w:spacing w:after="120" w:line="240" w:lineRule="atLeast"/>
              <w:ind w:left="720"/>
              <w:jc w:val="both"/>
              <w:divId w:val="1345862033"/>
              <w:rPr>
                <w:rFonts w:eastAsiaTheme="minorEastAsia"/>
                <w:color w:val="333333"/>
                <w:spacing w:val="4"/>
                <w:sz w:val="20"/>
                <w:szCs w:val="20"/>
                <w:lang w:eastAsia="en-US"/>
              </w:rPr>
            </w:pPr>
          </w:p>
          <w:p w:rsidR="0068218D" w:rsidRPr="00FF1157" w:rsidRDefault="0068218D" w:rsidP="00FF1157">
            <w:pPr>
              <w:pStyle w:val="ListParagraph"/>
              <w:spacing w:after="120" w:line="240" w:lineRule="atLeast"/>
              <w:jc w:val="both"/>
              <w:divId w:val="1345862033"/>
              <w:rPr>
                <w:rFonts w:eastAsiaTheme="minorEastAsia"/>
                <w:color w:val="333333"/>
                <w:spacing w:val="4"/>
                <w:sz w:val="15"/>
                <w:szCs w:val="20"/>
              </w:rPr>
            </w:pPr>
          </w:p>
          <w:p w:rsidR="0068218D" w:rsidRPr="00FF1157" w:rsidRDefault="0068218D" w:rsidP="00FF1157">
            <w:pPr>
              <w:pStyle w:val="ListParagraph"/>
              <w:numPr>
                <w:ilvl w:val="0"/>
                <w:numId w:val="1"/>
              </w:numPr>
              <w:spacing w:after="120" w:line="240" w:lineRule="atLeast"/>
              <w:ind w:left="720" w:hanging="540"/>
              <w:jc w:val="both"/>
              <w:divId w:val="1345862033"/>
              <w:rPr>
                <w:rFonts w:eastAsiaTheme="minorEastAsia"/>
                <w:color w:val="333333"/>
                <w:spacing w:val="4"/>
                <w:sz w:val="15"/>
                <w:szCs w:val="20"/>
              </w:rPr>
            </w:pPr>
            <w:r w:rsidRPr="003A2B83">
              <w:rPr>
                <w:rFonts w:eastAsia="Calibri"/>
                <w:spacing w:val="4"/>
                <w:w w:val="103"/>
                <w:kern w:val="14"/>
                <w:sz w:val="20"/>
                <w:szCs w:val="20"/>
                <w:lang w:val="en-GB"/>
              </w:rPr>
              <w:t>Detailed comparison of the actual financial performance (actual for 2014-2016, and latest estimates for 2017) with the planned 2014-2017 resources plan is provided in table 1</w:t>
            </w:r>
            <w:r>
              <w:rPr>
                <w:rFonts w:eastAsia="Calibri"/>
                <w:spacing w:val="4"/>
                <w:w w:val="103"/>
                <w:kern w:val="14"/>
                <w:sz w:val="20"/>
                <w:szCs w:val="20"/>
                <w:lang w:val="en-GB"/>
              </w:rPr>
              <w:t>b</w:t>
            </w:r>
            <w:r w:rsidRPr="003A2B83">
              <w:rPr>
                <w:rFonts w:eastAsia="Calibri"/>
                <w:spacing w:val="4"/>
                <w:w w:val="103"/>
                <w:kern w:val="14"/>
                <w:sz w:val="20"/>
                <w:szCs w:val="20"/>
                <w:lang w:val="en-GB"/>
              </w:rPr>
              <w:t xml:space="preserve"> of the annex A.</w:t>
            </w:r>
            <w:r w:rsidRPr="007215F8">
              <w:rPr>
                <w:rFonts w:eastAsiaTheme="minorEastAsia"/>
                <w:color w:val="333333"/>
                <w:spacing w:val="4"/>
                <w:sz w:val="20"/>
                <w:szCs w:val="20"/>
                <w:lang w:val="en-GB"/>
              </w:rPr>
              <w:t xml:space="preserve"> </w:t>
            </w:r>
          </w:p>
          <w:p w:rsidR="0068218D" w:rsidRPr="00FF1157" w:rsidRDefault="0068218D" w:rsidP="00FF1157">
            <w:pPr>
              <w:pStyle w:val="ListParagraph"/>
              <w:spacing w:after="120" w:line="240" w:lineRule="atLeast"/>
              <w:jc w:val="both"/>
              <w:divId w:val="1345862033"/>
              <w:rPr>
                <w:rFonts w:eastAsiaTheme="minorEastAsia"/>
                <w:color w:val="333333"/>
                <w:spacing w:val="4"/>
                <w:sz w:val="15"/>
                <w:szCs w:val="20"/>
              </w:rPr>
            </w:pPr>
          </w:p>
          <w:p w:rsidR="0068218D" w:rsidRPr="003D1869" w:rsidRDefault="0068218D" w:rsidP="00FF1157">
            <w:pPr>
              <w:pStyle w:val="ListParagraph"/>
              <w:numPr>
                <w:ilvl w:val="0"/>
                <w:numId w:val="1"/>
              </w:numPr>
              <w:spacing w:after="120" w:line="240" w:lineRule="atLeast"/>
              <w:ind w:left="720" w:hanging="540"/>
              <w:jc w:val="both"/>
              <w:divId w:val="1345862033"/>
              <w:rPr>
                <w:rFonts w:eastAsia="Calibri"/>
                <w:spacing w:val="4"/>
                <w:w w:val="103"/>
                <w:kern w:val="14"/>
                <w:sz w:val="20"/>
                <w:szCs w:val="20"/>
                <w:lang w:val="en-GB"/>
              </w:rPr>
            </w:pPr>
            <w:r w:rsidRPr="003D1869">
              <w:rPr>
                <w:rFonts w:eastAsia="Calibri"/>
                <w:spacing w:val="4"/>
                <w:w w:val="103"/>
                <w:kern w:val="14"/>
                <w:sz w:val="20"/>
                <w:szCs w:val="20"/>
                <w:lang w:val="en-GB"/>
              </w:rPr>
              <w:t xml:space="preserve">Highlights of the financial performance in 2014-2017 period are as follows: </w:t>
            </w:r>
          </w:p>
          <w:p w:rsidR="0068218D" w:rsidRPr="00FF1157" w:rsidRDefault="0068218D" w:rsidP="00FF1157">
            <w:pPr>
              <w:pStyle w:val="ListParagraph"/>
              <w:spacing w:after="120" w:line="240" w:lineRule="atLeast"/>
              <w:jc w:val="both"/>
              <w:divId w:val="1345862033"/>
              <w:rPr>
                <w:rFonts w:eastAsiaTheme="minorEastAsia"/>
                <w:color w:val="333333"/>
                <w:spacing w:val="4"/>
                <w:sz w:val="15"/>
                <w:szCs w:val="20"/>
              </w:rPr>
            </w:pPr>
          </w:p>
          <w:p w:rsidR="00F402CA" w:rsidRDefault="0068218D" w:rsidP="00FF1157">
            <w:pPr>
              <w:pStyle w:val="ListParagraph"/>
              <w:numPr>
                <w:ilvl w:val="1"/>
                <w:numId w:val="1"/>
              </w:numPr>
              <w:spacing w:after="120" w:line="240" w:lineRule="atLeast"/>
              <w:jc w:val="both"/>
              <w:divId w:val="1345862033"/>
              <w:rPr>
                <w:rFonts w:eastAsiaTheme="minorEastAsia"/>
                <w:color w:val="333333"/>
                <w:spacing w:val="4"/>
                <w:sz w:val="20"/>
                <w:szCs w:val="20"/>
                <w:lang w:val="en-GB"/>
              </w:rPr>
            </w:pPr>
            <w:r w:rsidRPr="007215F8">
              <w:rPr>
                <w:rFonts w:eastAsiaTheme="minorEastAsia"/>
                <w:color w:val="333333"/>
                <w:spacing w:val="4"/>
                <w:sz w:val="20"/>
                <w:szCs w:val="20"/>
                <w:lang w:val="en-GB"/>
              </w:rPr>
              <w:t>Total available resources by the end of the period 2014-2017, are estimated to be $23,22</w:t>
            </w:r>
            <w:r w:rsidR="002F7739">
              <w:rPr>
                <w:rFonts w:eastAsiaTheme="minorEastAsia"/>
                <w:color w:val="333333"/>
                <w:spacing w:val="4"/>
                <w:sz w:val="20"/>
                <w:szCs w:val="20"/>
                <w:lang w:val="en-GB"/>
              </w:rPr>
              <w:t>4</w:t>
            </w:r>
            <w:r w:rsidRPr="007215F8">
              <w:rPr>
                <w:rFonts w:eastAsiaTheme="minorEastAsia"/>
                <w:color w:val="333333"/>
                <w:spacing w:val="4"/>
                <w:sz w:val="20"/>
                <w:szCs w:val="20"/>
                <w:lang w:val="en-GB"/>
              </w:rPr>
              <w:t xml:space="preserve"> million, r</w:t>
            </w:r>
            <w:r w:rsidR="002F7739">
              <w:rPr>
                <w:rFonts w:eastAsiaTheme="minorEastAsia"/>
                <w:color w:val="333333"/>
                <w:spacing w:val="4"/>
                <w:sz w:val="20"/>
                <w:szCs w:val="20"/>
                <w:lang w:val="en-GB"/>
              </w:rPr>
              <w:t>epresenting a decrease of $1,036</w:t>
            </w:r>
            <w:r w:rsidRPr="007215F8">
              <w:rPr>
                <w:rFonts w:eastAsiaTheme="minorEastAsia"/>
                <w:color w:val="333333"/>
                <w:spacing w:val="4"/>
                <w:sz w:val="20"/>
                <w:szCs w:val="20"/>
                <w:lang w:val="en-GB"/>
              </w:rPr>
              <w:t xml:space="preserve"> million (4 per cent) from the originally planned $24,260 million.</w:t>
            </w:r>
          </w:p>
          <w:p w:rsidR="00EF339F" w:rsidRPr="00EF339F" w:rsidRDefault="00EF339F" w:rsidP="00FF1157">
            <w:pPr>
              <w:pStyle w:val="ListParagraph"/>
              <w:spacing w:after="120" w:line="240" w:lineRule="atLeast"/>
              <w:jc w:val="both"/>
              <w:divId w:val="1345862033"/>
              <w:rPr>
                <w:rFonts w:eastAsiaTheme="minorEastAsia"/>
                <w:color w:val="333333"/>
                <w:spacing w:val="4"/>
                <w:sz w:val="20"/>
                <w:szCs w:val="20"/>
                <w:lang w:val="en-GB"/>
              </w:rPr>
            </w:pPr>
            <w:r w:rsidRPr="007215F8">
              <w:rPr>
                <w:rFonts w:eastAsiaTheme="minorEastAsia"/>
                <w:color w:val="333333"/>
                <w:spacing w:val="4"/>
                <w:sz w:val="20"/>
                <w:szCs w:val="20"/>
                <w:lang w:val="en-GB"/>
              </w:rPr>
              <w:t xml:space="preserve"> </w:t>
            </w:r>
          </w:p>
          <w:p w:rsidR="00F402CA" w:rsidRPr="00FF1157" w:rsidRDefault="00EF339F" w:rsidP="00F402CA">
            <w:pPr>
              <w:pStyle w:val="ListParagraph"/>
              <w:numPr>
                <w:ilvl w:val="1"/>
                <w:numId w:val="1"/>
              </w:numPr>
              <w:spacing w:after="120" w:line="240" w:lineRule="atLeast"/>
              <w:jc w:val="both"/>
              <w:divId w:val="1345862033"/>
              <w:rPr>
                <w:rFonts w:eastAsiaTheme="minorEastAsia"/>
                <w:color w:val="333333"/>
                <w:spacing w:val="4"/>
                <w:sz w:val="20"/>
                <w:szCs w:val="20"/>
                <w:lang w:val="en-GB"/>
              </w:rPr>
            </w:pPr>
            <w:r w:rsidRPr="007215F8">
              <w:rPr>
                <w:rFonts w:eastAsiaTheme="minorEastAsia"/>
                <w:color w:val="333333"/>
                <w:spacing w:val="4"/>
                <w:sz w:val="20"/>
                <w:szCs w:val="20"/>
                <w:lang w:val="en-GB"/>
              </w:rPr>
              <w:t>Total contributions (included in the total available resources) received by the end of the period 2014-2017, are estimated to be $18,278 million, representing a decrease of $1,081 million (6 per cent) from the originally planned $19,359 million. The decrease in total contributions is the net effect of (</w:t>
            </w:r>
            <w:proofErr w:type="spellStart"/>
            <w:r w:rsidRPr="007215F8">
              <w:rPr>
                <w:rFonts w:eastAsiaTheme="minorEastAsia"/>
                <w:color w:val="333333"/>
                <w:spacing w:val="4"/>
                <w:sz w:val="20"/>
                <w:szCs w:val="20"/>
                <w:lang w:val="en-GB"/>
              </w:rPr>
              <w:t>i</w:t>
            </w:r>
            <w:proofErr w:type="spellEnd"/>
            <w:r w:rsidRPr="007215F8">
              <w:rPr>
                <w:rFonts w:eastAsiaTheme="minorEastAsia"/>
                <w:color w:val="333333"/>
                <w:spacing w:val="4"/>
                <w:sz w:val="20"/>
                <w:szCs w:val="20"/>
                <w:lang w:val="en-GB"/>
              </w:rPr>
              <w:t>) decrease of $885 million in the regular resources; (ii) decrease of $657 million in the resources from multilateral and bilateral partners; and (iii) increase of $383 million in domestic resources (i.e. government cost sharing). </w:t>
            </w:r>
          </w:p>
          <w:p w:rsidR="00F402CA" w:rsidRPr="00EF339F" w:rsidRDefault="00F402CA" w:rsidP="00FF1157">
            <w:pPr>
              <w:pStyle w:val="ListParagraph"/>
              <w:spacing w:after="120" w:line="240" w:lineRule="atLeast"/>
              <w:jc w:val="both"/>
              <w:divId w:val="1345862033"/>
              <w:rPr>
                <w:rFonts w:eastAsiaTheme="minorEastAsia"/>
                <w:color w:val="333333"/>
                <w:spacing w:val="4"/>
                <w:sz w:val="20"/>
                <w:szCs w:val="20"/>
                <w:lang w:val="en-GB"/>
              </w:rPr>
            </w:pPr>
          </w:p>
          <w:p w:rsidR="0068218D" w:rsidRPr="00FF1157" w:rsidRDefault="00EF339F" w:rsidP="00FF1157">
            <w:pPr>
              <w:pStyle w:val="ListParagraph"/>
              <w:numPr>
                <w:ilvl w:val="1"/>
                <w:numId w:val="1"/>
              </w:numPr>
              <w:spacing w:after="120" w:line="240" w:lineRule="atLeast"/>
              <w:jc w:val="both"/>
              <w:divId w:val="1345862033"/>
              <w:rPr>
                <w:rFonts w:eastAsiaTheme="minorEastAsia"/>
                <w:color w:val="333333"/>
                <w:spacing w:val="4"/>
                <w:sz w:val="20"/>
                <w:szCs w:val="20"/>
                <w:lang w:val="en-GB"/>
              </w:rPr>
            </w:pPr>
            <w:r>
              <w:rPr>
                <w:rFonts w:eastAsiaTheme="minorEastAsia"/>
                <w:color w:val="333333"/>
                <w:spacing w:val="4"/>
                <w:sz w:val="20"/>
                <w:szCs w:val="20"/>
                <w:lang w:val="en-GB"/>
              </w:rPr>
              <w:t xml:space="preserve">Total </w:t>
            </w:r>
            <w:r w:rsidRPr="00FF1157">
              <w:rPr>
                <w:rFonts w:eastAsiaTheme="minorEastAsia"/>
                <w:color w:val="333333"/>
                <w:spacing w:val="4"/>
                <w:sz w:val="20"/>
                <w:szCs w:val="20"/>
                <w:lang w:val="en-GB"/>
              </w:rPr>
              <w:t>expenditure by the end of the period 2014-2</w:t>
            </w:r>
            <w:r w:rsidR="00C922AB" w:rsidRPr="00C922AB">
              <w:rPr>
                <w:rFonts w:eastAsiaTheme="minorEastAsia"/>
                <w:color w:val="333333"/>
                <w:spacing w:val="4"/>
                <w:sz w:val="20"/>
                <w:szCs w:val="20"/>
                <w:lang w:val="en-GB"/>
              </w:rPr>
              <w:t>017, are estimated to be $20,19</w:t>
            </w:r>
            <w:r w:rsidR="00C922AB">
              <w:rPr>
                <w:rFonts w:eastAsiaTheme="minorEastAsia"/>
                <w:color w:val="333333"/>
                <w:spacing w:val="4"/>
                <w:sz w:val="20"/>
                <w:szCs w:val="20"/>
                <w:lang w:val="en-GB"/>
              </w:rPr>
              <w:t>0</w:t>
            </w:r>
            <w:r w:rsidRPr="00FF1157">
              <w:rPr>
                <w:rFonts w:eastAsiaTheme="minorEastAsia"/>
                <w:color w:val="333333"/>
                <w:spacing w:val="4"/>
                <w:sz w:val="20"/>
                <w:szCs w:val="20"/>
                <w:lang w:val="en-GB"/>
              </w:rPr>
              <w:t xml:space="preserve"> million, representing a decrease of $2,4</w:t>
            </w:r>
            <w:r w:rsidR="00C922AB">
              <w:rPr>
                <w:rFonts w:eastAsiaTheme="minorEastAsia"/>
                <w:color w:val="333333"/>
                <w:spacing w:val="4"/>
                <w:sz w:val="20"/>
                <w:szCs w:val="20"/>
                <w:lang w:val="en-GB"/>
              </w:rPr>
              <w:t>52</w:t>
            </w:r>
            <w:r w:rsidRPr="00FF1157">
              <w:rPr>
                <w:rFonts w:eastAsiaTheme="minorEastAsia"/>
                <w:color w:val="333333"/>
                <w:spacing w:val="4"/>
                <w:sz w:val="20"/>
                <w:szCs w:val="20"/>
                <w:lang w:val="en-GB"/>
              </w:rPr>
              <w:t xml:space="preserve"> million (11 per cent) from the originally planned $22,642 million. Ratio of spending of resources on the management activities (i.e. management ratio) is reduced from the planned 8.1% to 8% in the period of 2014-2017. Ratio of spending of resources on the UN development coordination activities is increased from the planned 1.7% to 2% in the period of 2014-2017</w:t>
            </w:r>
            <w:r w:rsidR="00C922AB">
              <w:rPr>
                <w:rFonts w:eastAsiaTheme="minorEastAsia"/>
                <w:color w:val="333333"/>
                <w:spacing w:val="4"/>
                <w:sz w:val="20"/>
                <w:szCs w:val="20"/>
                <w:lang w:val="en-GB"/>
              </w:rPr>
              <w:t>, as actual expenditure in 2014-2017 included $30 million from residual balances from prior years provided by donors to DOCO.</w:t>
            </w:r>
          </w:p>
          <w:p w:rsidR="00731318" w:rsidRDefault="00731318" w:rsidP="00FF1157">
            <w:pPr>
              <w:spacing w:after="120" w:line="240" w:lineRule="atLeast"/>
              <w:ind w:left="360"/>
              <w:jc w:val="both"/>
              <w:divId w:val="1345862033"/>
              <w:rPr>
                <w:rFonts w:eastAsiaTheme="minorEastAsia"/>
                <w:color w:val="333333"/>
                <w:spacing w:val="4"/>
                <w:sz w:val="20"/>
                <w:szCs w:val="20"/>
                <w:lang w:val="en-GB" w:eastAsia="en-US"/>
              </w:rPr>
            </w:pPr>
          </w:p>
          <w:p w:rsidR="00731318" w:rsidRPr="00F472DC" w:rsidRDefault="00731318" w:rsidP="00F472DC">
            <w:pPr>
              <w:pStyle w:val="ListParagraph"/>
              <w:numPr>
                <w:ilvl w:val="0"/>
                <w:numId w:val="1"/>
              </w:numPr>
              <w:spacing w:after="120" w:line="240" w:lineRule="atLeast"/>
              <w:ind w:left="720" w:hanging="540"/>
              <w:jc w:val="both"/>
              <w:divId w:val="1345862033"/>
              <w:rPr>
                <w:rFonts w:eastAsia="Calibri"/>
                <w:spacing w:val="4"/>
                <w:w w:val="103"/>
                <w:kern w:val="14"/>
                <w:sz w:val="20"/>
                <w:szCs w:val="20"/>
                <w:lang w:val="en-GB"/>
              </w:rPr>
            </w:pPr>
            <w:r w:rsidRPr="00F472DC">
              <w:rPr>
                <w:rFonts w:eastAsia="Calibri"/>
                <w:spacing w:val="4"/>
                <w:w w:val="103"/>
                <w:kern w:val="14"/>
                <w:sz w:val="20"/>
                <w:szCs w:val="20"/>
                <w:lang w:val="en-GB"/>
              </w:rPr>
              <w:t>In decision 2016/10 the Executive Board requested UNDP, in consultation with UNICEF, UNFPA and UN-Women, as appropriate, to incorp</w:t>
            </w:r>
            <w:r w:rsidR="00020977">
              <w:rPr>
                <w:rFonts w:eastAsia="Calibri"/>
                <w:spacing w:val="4"/>
                <w:w w:val="103"/>
                <w:kern w:val="14"/>
                <w:sz w:val="20"/>
                <w:szCs w:val="20"/>
                <w:lang w:val="en-GB"/>
              </w:rPr>
              <w:t>orate lessons learned from the integrated b</w:t>
            </w:r>
            <w:r w:rsidRPr="00F472DC">
              <w:rPr>
                <w:rFonts w:eastAsia="Calibri"/>
                <w:spacing w:val="4"/>
                <w:w w:val="103"/>
                <w:kern w:val="14"/>
                <w:sz w:val="20"/>
                <w:szCs w:val="20"/>
                <w:lang w:val="en-GB"/>
              </w:rPr>
              <w:t>udget, 2014-2</w:t>
            </w:r>
            <w:r w:rsidR="00020977">
              <w:rPr>
                <w:rFonts w:eastAsia="Calibri"/>
                <w:spacing w:val="4"/>
                <w:w w:val="103"/>
                <w:kern w:val="14"/>
                <w:sz w:val="20"/>
                <w:szCs w:val="20"/>
                <w:lang w:val="en-GB"/>
              </w:rPr>
              <w:t>017, in the preparation of the integrated b</w:t>
            </w:r>
            <w:r w:rsidRPr="00F472DC">
              <w:rPr>
                <w:rFonts w:eastAsia="Calibri"/>
                <w:spacing w:val="4"/>
                <w:w w:val="103"/>
                <w:kern w:val="14"/>
                <w:sz w:val="20"/>
                <w:szCs w:val="20"/>
                <w:lang w:val="en-GB"/>
              </w:rPr>
              <w:t>udget, 2018-2021. Accordingly, in the preparati</w:t>
            </w:r>
            <w:r w:rsidR="00020977">
              <w:rPr>
                <w:rFonts w:eastAsia="Calibri"/>
                <w:spacing w:val="4"/>
                <w:w w:val="103"/>
                <w:kern w:val="14"/>
                <w:sz w:val="20"/>
                <w:szCs w:val="20"/>
                <w:lang w:val="en-GB"/>
              </w:rPr>
              <w:t>on of the 2018-2021 integrated resources plan and the integrated b</w:t>
            </w:r>
            <w:r w:rsidRPr="00F472DC">
              <w:rPr>
                <w:rFonts w:eastAsia="Calibri"/>
                <w:spacing w:val="4"/>
                <w:w w:val="103"/>
                <w:kern w:val="14"/>
                <w:sz w:val="20"/>
                <w:szCs w:val="20"/>
                <w:lang w:val="en-GB"/>
              </w:rPr>
              <w:t xml:space="preserve">udget, UNDP has </w:t>
            </w:r>
            <w:proofErr w:type="gramStart"/>
            <w:r w:rsidRPr="00F472DC">
              <w:rPr>
                <w:rFonts w:eastAsia="Calibri"/>
                <w:spacing w:val="4"/>
                <w:w w:val="103"/>
                <w:kern w:val="14"/>
                <w:sz w:val="20"/>
                <w:szCs w:val="20"/>
                <w:lang w:val="en-GB"/>
              </w:rPr>
              <w:t>taken into account</w:t>
            </w:r>
            <w:proofErr w:type="gramEnd"/>
            <w:r w:rsidRPr="00F472DC">
              <w:rPr>
                <w:rFonts w:eastAsia="Calibri"/>
                <w:spacing w:val="4"/>
                <w:w w:val="103"/>
                <w:kern w:val="14"/>
                <w:sz w:val="20"/>
                <w:szCs w:val="20"/>
                <w:lang w:val="en-GB"/>
              </w:rPr>
              <w:t xml:space="preserve"> the lessons learned from the i</w:t>
            </w:r>
            <w:r w:rsidR="00020977">
              <w:rPr>
                <w:rFonts w:eastAsia="Calibri"/>
                <w:spacing w:val="4"/>
                <w:w w:val="103"/>
                <w:kern w:val="14"/>
                <w:sz w:val="20"/>
                <w:szCs w:val="20"/>
                <w:lang w:val="en-GB"/>
              </w:rPr>
              <w:t>mplementation of the 2014-2017 integrated resources plan and the integrated b</w:t>
            </w:r>
            <w:r w:rsidRPr="00F472DC">
              <w:rPr>
                <w:rFonts w:eastAsia="Calibri"/>
                <w:spacing w:val="4"/>
                <w:w w:val="103"/>
                <w:kern w:val="14"/>
                <w:sz w:val="20"/>
                <w:szCs w:val="20"/>
                <w:lang w:val="en-GB"/>
              </w:rPr>
              <w:t>udget</w:t>
            </w:r>
            <w:r w:rsidR="00020977">
              <w:rPr>
                <w:rFonts w:eastAsia="Calibri"/>
                <w:spacing w:val="4"/>
                <w:w w:val="103"/>
                <w:kern w:val="14"/>
                <w:sz w:val="20"/>
                <w:szCs w:val="20"/>
                <w:lang w:val="en-GB"/>
              </w:rPr>
              <w:t>, and the independent e</w:t>
            </w:r>
            <w:r w:rsidR="006A3881" w:rsidRPr="00F472DC">
              <w:rPr>
                <w:rFonts w:eastAsia="Calibri"/>
                <w:spacing w:val="4"/>
                <w:w w:val="103"/>
                <w:kern w:val="14"/>
                <w:sz w:val="20"/>
                <w:szCs w:val="20"/>
                <w:lang w:val="en-GB"/>
              </w:rPr>
              <w:t>valuation of the Strategic Plan 2014 – 2017 (DP/2017/32) recommendations as appropriate.</w:t>
            </w:r>
          </w:p>
          <w:p w:rsidR="00731318" w:rsidRDefault="00731318" w:rsidP="00FF1157">
            <w:pPr>
              <w:tabs>
                <w:tab w:val="left" w:pos="1260"/>
                <w:tab w:val="left" w:pos="1440"/>
              </w:tabs>
              <w:spacing w:after="60"/>
              <w:ind w:left="360" w:right="547"/>
              <w:jc w:val="both"/>
              <w:divId w:val="1345862033"/>
              <w:rPr>
                <w:sz w:val="20"/>
                <w:szCs w:val="20"/>
              </w:rPr>
            </w:pPr>
          </w:p>
          <w:p w:rsidR="00731318" w:rsidRDefault="00731318" w:rsidP="00FF1157">
            <w:pPr>
              <w:tabs>
                <w:tab w:val="left" w:pos="1260"/>
                <w:tab w:val="left" w:pos="1440"/>
              </w:tabs>
              <w:spacing w:after="60"/>
              <w:ind w:left="360" w:right="547"/>
              <w:jc w:val="both"/>
              <w:divId w:val="1345862033"/>
              <w:rPr>
                <w:sz w:val="20"/>
                <w:szCs w:val="20"/>
              </w:rPr>
            </w:pPr>
          </w:p>
          <w:p w:rsidR="00731318" w:rsidRDefault="00731318" w:rsidP="00FF1157">
            <w:pPr>
              <w:tabs>
                <w:tab w:val="left" w:pos="1260"/>
                <w:tab w:val="left" w:pos="1440"/>
              </w:tabs>
              <w:spacing w:after="60"/>
              <w:ind w:left="360" w:right="547"/>
              <w:jc w:val="both"/>
              <w:divId w:val="1345862033"/>
              <w:rPr>
                <w:sz w:val="20"/>
                <w:szCs w:val="20"/>
              </w:rPr>
            </w:pPr>
          </w:p>
          <w:p w:rsidR="00401705" w:rsidRDefault="00401705" w:rsidP="006A3881">
            <w:pPr>
              <w:tabs>
                <w:tab w:val="left" w:pos="1260"/>
                <w:tab w:val="left" w:pos="1440"/>
              </w:tabs>
              <w:spacing w:after="60"/>
              <w:ind w:right="547"/>
              <w:jc w:val="both"/>
              <w:divId w:val="1345862033"/>
              <w:rPr>
                <w:sz w:val="20"/>
                <w:szCs w:val="20"/>
              </w:rPr>
            </w:pPr>
          </w:p>
          <w:p w:rsidR="00401705" w:rsidRDefault="00401705" w:rsidP="006A3881">
            <w:pPr>
              <w:numPr>
                <w:ilvl w:val="0"/>
                <w:numId w:val="1"/>
              </w:numPr>
              <w:tabs>
                <w:tab w:val="left" w:pos="1260"/>
                <w:tab w:val="left" w:pos="1440"/>
              </w:tabs>
              <w:spacing w:after="60"/>
              <w:ind w:left="810" w:right="547" w:hanging="540"/>
              <w:jc w:val="both"/>
              <w:divId w:val="1345862033"/>
              <w:rPr>
                <w:sz w:val="20"/>
                <w:szCs w:val="20"/>
              </w:rPr>
            </w:pPr>
            <w:r>
              <w:rPr>
                <w:sz w:val="20"/>
                <w:szCs w:val="20"/>
              </w:rPr>
              <w:t xml:space="preserve">The </w:t>
            </w:r>
            <w:r w:rsidRPr="00401705">
              <w:rPr>
                <w:sz w:val="20"/>
                <w:szCs w:val="20"/>
              </w:rPr>
              <w:t xml:space="preserve">shielding of programmatic lines also provided lessons learned. The impact of the drop in regular (core) resources was most pronounced on the non-shielded programmatic lines including </w:t>
            </w:r>
            <w:r w:rsidR="00020977">
              <w:rPr>
                <w:sz w:val="20"/>
                <w:szCs w:val="20"/>
              </w:rPr>
              <w:t>development effectiveness. The integrated b</w:t>
            </w:r>
            <w:r w:rsidRPr="00401705">
              <w:rPr>
                <w:sz w:val="20"/>
                <w:szCs w:val="20"/>
              </w:rPr>
              <w:t xml:space="preserve">udget, 2018 -2021 has proposal to provide a more balanced approach to shielding of programmatic lines and the consolidation of the development effectiveness lines. </w:t>
            </w:r>
          </w:p>
          <w:p w:rsidR="00401705" w:rsidRDefault="00401705" w:rsidP="00401705">
            <w:pPr>
              <w:tabs>
                <w:tab w:val="left" w:pos="1260"/>
                <w:tab w:val="left" w:pos="1440"/>
              </w:tabs>
              <w:spacing w:after="60"/>
              <w:ind w:left="360" w:right="547"/>
              <w:jc w:val="both"/>
              <w:divId w:val="1345862033"/>
              <w:rPr>
                <w:sz w:val="20"/>
                <w:szCs w:val="20"/>
              </w:rPr>
            </w:pPr>
          </w:p>
          <w:p w:rsidR="00401705" w:rsidRPr="00C51948" w:rsidRDefault="00F472DC" w:rsidP="00401705">
            <w:pPr>
              <w:spacing w:after="120" w:line="240" w:lineRule="atLeast"/>
              <w:jc w:val="both"/>
              <w:divId w:val="1345862033"/>
              <w:rPr>
                <w:rFonts w:eastAsiaTheme="minorEastAsia"/>
                <w:b/>
                <w:bCs/>
                <w:color w:val="000000"/>
                <w:spacing w:val="4"/>
                <w:szCs w:val="22"/>
                <w:lang w:val="en-GB" w:eastAsia="en-US"/>
              </w:rPr>
            </w:pPr>
            <w:r>
              <w:rPr>
                <w:rFonts w:eastAsiaTheme="minorEastAsia"/>
                <w:b/>
                <w:bCs/>
                <w:color w:val="000000"/>
                <w:spacing w:val="4"/>
                <w:szCs w:val="22"/>
                <w:lang w:val="en-GB" w:eastAsia="en-US"/>
              </w:rPr>
              <w:t xml:space="preserve">              </w:t>
            </w:r>
            <w:proofErr w:type="spellStart"/>
            <w:r w:rsidR="00401705">
              <w:rPr>
                <w:rFonts w:eastAsiaTheme="minorEastAsia"/>
                <w:b/>
                <w:bCs/>
                <w:color w:val="000000"/>
                <w:spacing w:val="4"/>
                <w:szCs w:val="22"/>
                <w:lang w:val="en-GB" w:eastAsia="en-US"/>
              </w:rPr>
              <w:t>I.</w:t>
            </w:r>
            <w:r w:rsidR="00401705" w:rsidRPr="00C51948">
              <w:rPr>
                <w:rFonts w:eastAsiaTheme="minorEastAsia"/>
                <w:b/>
                <w:bCs/>
                <w:color w:val="000000"/>
                <w:spacing w:val="4"/>
                <w:szCs w:val="22"/>
                <w:lang w:val="en-GB" w:eastAsia="en-US"/>
              </w:rPr>
              <w:t>c</w:t>
            </w:r>
            <w:proofErr w:type="spellEnd"/>
            <w:r w:rsidR="00401705" w:rsidRPr="00C51948">
              <w:rPr>
                <w:rFonts w:eastAsiaTheme="minorEastAsia"/>
                <w:b/>
                <w:bCs/>
                <w:color w:val="000000"/>
                <w:spacing w:val="4"/>
                <w:szCs w:val="22"/>
                <w:lang w:val="en-GB" w:eastAsia="en-US"/>
              </w:rPr>
              <w:t xml:space="preserve">. Additional information on financial instruments </w:t>
            </w:r>
          </w:p>
          <w:p w:rsidR="00401705" w:rsidRPr="00C51948" w:rsidRDefault="00401705" w:rsidP="00401705">
            <w:pPr>
              <w:tabs>
                <w:tab w:val="left" w:pos="1260"/>
                <w:tab w:val="left" w:pos="1440"/>
              </w:tabs>
              <w:spacing w:after="60"/>
              <w:ind w:left="360" w:right="547"/>
              <w:jc w:val="both"/>
              <w:divId w:val="1345862033"/>
              <w:rPr>
                <w:sz w:val="20"/>
                <w:szCs w:val="20"/>
              </w:rPr>
            </w:pPr>
          </w:p>
          <w:p w:rsidR="00401705" w:rsidRPr="00C51948" w:rsidRDefault="00401705" w:rsidP="00401705">
            <w:pPr>
              <w:tabs>
                <w:tab w:val="left" w:pos="1260"/>
                <w:tab w:val="left" w:pos="1440"/>
              </w:tabs>
              <w:spacing w:after="60"/>
              <w:ind w:left="360" w:right="547"/>
              <w:jc w:val="both"/>
              <w:divId w:val="1345862033"/>
              <w:rPr>
                <w:sz w:val="20"/>
                <w:szCs w:val="20"/>
              </w:rPr>
            </w:pPr>
          </w:p>
          <w:p w:rsidR="00401705" w:rsidRPr="00C51948" w:rsidRDefault="00401705" w:rsidP="006A3881">
            <w:pPr>
              <w:numPr>
                <w:ilvl w:val="0"/>
                <w:numId w:val="1"/>
              </w:numPr>
              <w:tabs>
                <w:tab w:val="left" w:pos="1260"/>
                <w:tab w:val="left" w:pos="1440"/>
              </w:tabs>
              <w:spacing w:after="60"/>
              <w:ind w:left="810" w:right="547" w:hanging="540"/>
              <w:jc w:val="both"/>
              <w:divId w:val="1345862033"/>
              <w:rPr>
                <w:sz w:val="20"/>
                <w:szCs w:val="20"/>
              </w:rPr>
            </w:pPr>
            <w:r w:rsidRPr="00C51948">
              <w:rPr>
                <w:sz w:val="20"/>
                <w:szCs w:val="20"/>
              </w:rPr>
              <w:t xml:space="preserve">The 2030 Agenda for Sustainable Development sets out ambitious, transformative goals for the global community, matched by unprecedented financing needs. This reflects the fact that the range of funding options for development is now wider than in the past, as financial instruments and funding mechanisms have become more diversified. In addition to traditional </w:t>
            </w:r>
            <w:r w:rsidR="00081841" w:rsidRPr="00C51948">
              <w:rPr>
                <w:sz w:val="20"/>
                <w:szCs w:val="20"/>
              </w:rPr>
              <w:t>funding</w:t>
            </w:r>
            <w:r w:rsidR="00D317F5" w:rsidRPr="00C51948">
              <w:rPr>
                <w:sz w:val="20"/>
                <w:szCs w:val="20"/>
              </w:rPr>
              <w:t xml:space="preserve"> </w:t>
            </w:r>
            <w:r w:rsidR="009B1533" w:rsidRPr="00C51948">
              <w:rPr>
                <w:sz w:val="20"/>
                <w:szCs w:val="20"/>
              </w:rPr>
              <w:t>options</w:t>
            </w:r>
            <w:r w:rsidRPr="00C51948">
              <w:rPr>
                <w:sz w:val="20"/>
                <w:szCs w:val="20"/>
              </w:rPr>
              <w:t>, development financing now offer</w:t>
            </w:r>
            <w:r w:rsidR="009B1533" w:rsidRPr="00C51948">
              <w:rPr>
                <w:sz w:val="20"/>
                <w:szCs w:val="20"/>
              </w:rPr>
              <w:t>s</w:t>
            </w:r>
            <w:r w:rsidRPr="00C51948">
              <w:rPr>
                <w:sz w:val="20"/>
                <w:szCs w:val="20"/>
              </w:rPr>
              <w:t xml:space="preserve"> commercial, concessional and blended financial structures. Access to these instruments is widening, especially as more countries transition towards middle income and higher statuses, and the blended finance market matures to enable access to finance in riskier development environments. To help achieve</w:t>
            </w:r>
            <w:r w:rsidR="00B41B8A">
              <w:rPr>
                <w:sz w:val="20"/>
                <w:szCs w:val="20"/>
              </w:rPr>
              <w:t xml:space="preserve"> the sustainable development goal</w:t>
            </w:r>
            <w:r w:rsidRPr="00C51948">
              <w:rPr>
                <w:sz w:val="20"/>
                <w:szCs w:val="20"/>
              </w:rPr>
              <w:t>s</w:t>
            </w:r>
            <w:r w:rsidR="00B41B8A">
              <w:rPr>
                <w:sz w:val="20"/>
                <w:szCs w:val="20"/>
              </w:rPr>
              <w:t xml:space="preserve"> (SDGs)</w:t>
            </w:r>
            <w:r w:rsidRPr="00C51948">
              <w:rPr>
                <w:sz w:val="20"/>
                <w:szCs w:val="20"/>
              </w:rPr>
              <w:t xml:space="preserve">, to remain a credible partner in mobilizing and operating with development </w:t>
            </w:r>
            <w:r w:rsidR="00EC3378" w:rsidRPr="00C51948">
              <w:rPr>
                <w:sz w:val="20"/>
                <w:szCs w:val="20"/>
              </w:rPr>
              <w:t>resources</w:t>
            </w:r>
            <w:r w:rsidRPr="00C51948">
              <w:rPr>
                <w:sz w:val="20"/>
                <w:szCs w:val="20"/>
              </w:rPr>
              <w:t xml:space="preserve"> in support of the Strategic Plan, UNDP will focus on developing innovative financial instruments that enable it to strengthen its role as a partner in the delivery of sustainable and measurable development results. </w:t>
            </w:r>
          </w:p>
          <w:p w:rsidR="00401705" w:rsidRPr="00C51948" w:rsidRDefault="00401705" w:rsidP="006A3881">
            <w:pPr>
              <w:tabs>
                <w:tab w:val="left" w:pos="1260"/>
                <w:tab w:val="left" w:pos="1440"/>
              </w:tabs>
              <w:spacing w:after="60"/>
              <w:ind w:left="810" w:right="547"/>
              <w:jc w:val="both"/>
              <w:divId w:val="1345862033"/>
              <w:rPr>
                <w:sz w:val="20"/>
                <w:szCs w:val="20"/>
              </w:rPr>
            </w:pPr>
          </w:p>
          <w:p w:rsidR="00401705" w:rsidRPr="00C51948" w:rsidRDefault="00401705" w:rsidP="006A3881">
            <w:pPr>
              <w:numPr>
                <w:ilvl w:val="0"/>
                <w:numId w:val="1"/>
              </w:numPr>
              <w:tabs>
                <w:tab w:val="left" w:pos="1260"/>
                <w:tab w:val="left" w:pos="1440"/>
              </w:tabs>
              <w:spacing w:after="60"/>
              <w:ind w:left="810" w:right="547" w:hanging="540"/>
              <w:jc w:val="both"/>
              <w:divId w:val="1345862033"/>
              <w:rPr>
                <w:sz w:val="20"/>
                <w:szCs w:val="20"/>
              </w:rPr>
            </w:pPr>
            <w:r w:rsidRPr="00C51948">
              <w:rPr>
                <w:sz w:val="20"/>
                <w:szCs w:val="20"/>
              </w:rPr>
              <w:t>Establishing these capabilities will enable UNDP to work with various types of development finance and to structure projects that include a combination of loans, guarantees and grants (including performance based grants) that best meet national development priorities. Using opportunities provided by the emerging funding architecture, these new financial instruments have</w:t>
            </w:r>
            <w:r w:rsidR="00C35FA0">
              <w:rPr>
                <w:sz w:val="20"/>
                <w:szCs w:val="20"/>
              </w:rPr>
              <w:t xml:space="preserve"> the potential to enhance UNDP</w:t>
            </w:r>
            <w:r w:rsidRPr="00C51948">
              <w:rPr>
                <w:sz w:val="20"/>
                <w:szCs w:val="20"/>
              </w:rPr>
              <w:t xml:space="preserve"> existing role in helping countries access, mobilize and leverage additional resources for the SDGs, by broadening the range of financial instruments available to deliver development results and by targeting new partners, including fostering Private Public Partnerships in development. These new financial instruments should help finance not only central government development activities but also regional governments, cities, NGOs and the private sector, all of which may contribute towards the achievement of the SDGs.</w:t>
            </w:r>
          </w:p>
          <w:p w:rsidR="00C73160" w:rsidRDefault="00C73160" w:rsidP="00D67265">
            <w:pPr>
              <w:pStyle w:val="DualTxt"/>
              <w:tabs>
                <w:tab w:val="clear" w:pos="960"/>
                <w:tab w:val="clear" w:pos="1915"/>
                <w:tab w:val="left" w:pos="900"/>
                <w:tab w:val="left" w:pos="990"/>
                <w:tab w:val="left" w:pos="1260"/>
                <w:tab w:val="left" w:pos="1800"/>
                <w:tab w:val="left" w:pos="8820"/>
              </w:tabs>
              <w:spacing w:line="200" w:lineRule="exact"/>
              <w:ind w:left="1770" w:right="547"/>
              <w:rPr>
                <w:rFonts w:eastAsia="Calibri"/>
                <w:b w:val="0"/>
                <w:bCs w:val="0"/>
                <w:w w:val="103"/>
                <w:sz w:val="20"/>
                <w:szCs w:val="20"/>
              </w:rPr>
            </w:pPr>
          </w:p>
          <w:p w:rsidR="00C73160" w:rsidRDefault="00C73160" w:rsidP="00D67265">
            <w:pPr>
              <w:pStyle w:val="DualTxt"/>
              <w:tabs>
                <w:tab w:val="clear" w:pos="960"/>
                <w:tab w:val="clear" w:pos="1915"/>
                <w:tab w:val="left" w:pos="900"/>
                <w:tab w:val="left" w:pos="990"/>
                <w:tab w:val="left" w:pos="1260"/>
                <w:tab w:val="left" w:pos="1800"/>
                <w:tab w:val="left" w:pos="8820"/>
              </w:tabs>
              <w:spacing w:line="200" w:lineRule="exact"/>
              <w:ind w:left="1770" w:right="547"/>
              <w:rPr>
                <w:rFonts w:eastAsia="Calibri"/>
                <w:b w:val="0"/>
                <w:bCs w:val="0"/>
                <w:w w:val="103"/>
                <w:sz w:val="20"/>
                <w:szCs w:val="20"/>
              </w:rPr>
            </w:pPr>
          </w:p>
          <w:p w:rsidR="00FE408A" w:rsidRPr="00D67265" w:rsidRDefault="003C43F5" w:rsidP="00FF1157">
            <w:pPr>
              <w:pStyle w:val="DualTxt"/>
              <w:tabs>
                <w:tab w:val="clear" w:pos="960"/>
                <w:tab w:val="clear" w:pos="1915"/>
                <w:tab w:val="left" w:pos="900"/>
                <w:tab w:val="left" w:pos="990"/>
                <w:tab w:val="left" w:pos="1260"/>
                <w:tab w:val="left" w:pos="1800"/>
                <w:tab w:val="left" w:pos="8820"/>
              </w:tabs>
              <w:spacing w:line="200" w:lineRule="exact"/>
              <w:ind w:left="720" w:right="547"/>
              <w:rPr>
                <w:rFonts w:eastAsia="Calibri"/>
                <w:bCs w:val="0"/>
                <w:w w:val="103"/>
                <w:szCs w:val="20"/>
              </w:rPr>
            </w:pPr>
            <w:r>
              <w:rPr>
                <w:rFonts w:eastAsia="Calibri"/>
                <w:bCs w:val="0"/>
                <w:w w:val="103"/>
                <w:szCs w:val="20"/>
              </w:rPr>
              <w:t xml:space="preserve">II. </w:t>
            </w:r>
            <w:r w:rsidR="00B74C2E">
              <w:rPr>
                <w:rFonts w:eastAsia="Calibri"/>
                <w:bCs w:val="0"/>
                <w:w w:val="103"/>
                <w:szCs w:val="20"/>
              </w:rPr>
              <w:t>Integrated b</w:t>
            </w:r>
            <w:r w:rsidR="00B13F00" w:rsidRPr="00D67265">
              <w:rPr>
                <w:rFonts w:eastAsia="Calibri"/>
                <w:bCs w:val="0"/>
                <w:w w:val="103"/>
                <w:szCs w:val="20"/>
              </w:rPr>
              <w:t>udget</w:t>
            </w:r>
            <w:r w:rsidR="00FE408A" w:rsidRPr="00D67265">
              <w:rPr>
                <w:rFonts w:eastAsia="Calibri"/>
                <w:bCs w:val="0"/>
                <w:w w:val="103"/>
                <w:szCs w:val="20"/>
              </w:rPr>
              <w:t xml:space="preserve"> </w:t>
            </w:r>
          </w:p>
          <w:p w:rsidR="00FE408A" w:rsidRDefault="00FE408A" w:rsidP="00D67265">
            <w:pPr>
              <w:pStyle w:val="DualTxt"/>
              <w:tabs>
                <w:tab w:val="clear" w:pos="960"/>
                <w:tab w:val="clear" w:pos="1915"/>
                <w:tab w:val="left" w:pos="900"/>
                <w:tab w:val="left" w:pos="990"/>
                <w:tab w:val="left" w:pos="1260"/>
                <w:tab w:val="left" w:pos="1800"/>
                <w:tab w:val="left" w:pos="8820"/>
              </w:tabs>
              <w:spacing w:line="200" w:lineRule="exact"/>
              <w:ind w:right="547"/>
              <w:rPr>
                <w:rFonts w:eastAsia="Calibri"/>
                <w:b w:val="0"/>
                <w:bCs w:val="0"/>
                <w:w w:val="103"/>
                <w:sz w:val="20"/>
                <w:szCs w:val="20"/>
              </w:rPr>
            </w:pPr>
          </w:p>
          <w:p w:rsidR="00FE408A" w:rsidRPr="006A3881" w:rsidRDefault="00B74C2E" w:rsidP="006A3881">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Pr>
                <w:rFonts w:eastAsia="MS Mincho"/>
                <w:spacing w:val="0"/>
                <w:w w:val="100"/>
                <w:kern w:val="0"/>
                <w:lang w:val="en-US" w:eastAsia="ja-JP"/>
              </w:rPr>
              <w:t>The integrated b</w:t>
            </w:r>
            <w:r w:rsidR="009076D0" w:rsidRPr="006A3881">
              <w:rPr>
                <w:rFonts w:eastAsia="MS Mincho"/>
                <w:spacing w:val="0"/>
                <w:w w:val="100"/>
                <w:kern w:val="0"/>
                <w:lang w:val="en-US" w:eastAsia="ja-JP"/>
              </w:rPr>
              <w:t xml:space="preserve">udget is funded from regular (core) resources. </w:t>
            </w:r>
            <w:r w:rsidR="00FE408A" w:rsidRPr="006A3881">
              <w:rPr>
                <w:rFonts w:eastAsia="MS Mincho"/>
                <w:spacing w:val="0"/>
                <w:w w:val="100"/>
                <w:kern w:val="0"/>
                <w:lang w:val="en-US" w:eastAsia="ja-JP"/>
              </w:rPr>
              <w:t>Compared to the latest forecast for 2017 of $600 million in core resources contributions, the 2018 – 2021 projections reflect a gradual growth in regular resources i.e. $630 million in 2018; $680 million in 2019; and 700 million per year in 2020 – 2021. Based on the projected contributions of regular (core) resources of $2,710 million, other income of $137 million and an opening balance of $246 million (</w:t>
            </w:r>
            <w:proofErr w:type="spellStart"/>
            <w:r w:rsidR="00FE408A" w:rsidRPr="006A3881">
              <w:rPr>
                <w:rFonts w:eastAsia="MS Mincho"/>
                <w:spacing w:val="0"/>
                <w:w w:val="100"/>
                <w:kern w:val="0"/>
                <w:lang w:val="en-US" w:eastAsia="ja-JP"/>
              </w:rPr>
              <w:t>totalling</w:t>
            </w:r>
            <w:proofErr w:type="spellEnd"/>
            <w:r w:rsidR="00FE408A" w:rsidRPr="006A3881">
              <w:rPr>
                <w:rFonts w:eastAsia="MS Mincho"/>
                <w:spacing w:val="0"/>
                <w:w w:val="100"/>
                <w:kern w:val="0"/>
                <w:lang w:val="en-US" w:eastAsia="ja-JP"/>
              </w:rPr>
              <w:t xml:space="preserve"> to $3,094 million), UNDP proposes an estimated expenditure of $2,887 million for the period 2018-2021. This represents a decrease of $18 million from $2,905 million in 2014-2017 (actuals for 2014-2016 and estimated for 2017).</w:t>
            </w:r>
            <w:r w:rsidR="009076D0" w:rsidRPr="006A3881">
              <w:rPr>
                <w:rFonts w:eastAsia="MS Mincho"/>
                <w:spacing w:val="0"/>
                <w:w w:val="100"/>
                <w:kern w:val="0"/>
                <w:lang w:val="en-US" w:eastAsia="ja-JP"/>
              </w:rPr>
              <w:t xml:space="preserve"> Details follow below on the </w:t>
            </w:r>
            <w:r w:rsidR="00D54CE2" w:rsidRPr="006A3881">
              <w:rPr>
                <w:rFonts w:eastAsia="MS Mincho"/>
                <w:spacing w:val="0"/>
                <w:w w:val="100"/>
                <w:kern w:val="0"/>
                <w:lang w:val="en-US" w:eastAsia="ja-JP"/>
              </w:rPr>
              <w:t>p</w:t>
            </w:r>
            <w:r w:rsidR="009076D0" w:rsidRPr="006A3881">
              <w:rPr>
                <w:rFonts w:eastAsia="MS Mincho"/>
                <w:spacing w:val="0"/>
                <w:w w:val="100"/>
                <w:kern w:val="0"/>
                <w:lang w:val="en-US" w:eastAsia="ja-JP"/>
              </w:rPr>
              <w:t xml:space="preserve">rogrammatic and </w:t>
            </w:r>
            <w:r w:rsidR="00D54CE2" w:rsidRPr="006A3881">
              <w:rPr>
                <w:rFonts w:eastAsia="MS Mincho"/>
                <w:spacing w:val="0"/>
                <w:w w:val="100"/>
                <w:kern w:val="0"/>
                <w:lang w:val="en-US" w:eastAsia="ja-JP"/>
              </w:rPr>
              <w:t>i</w:t>
            </w:r>
            <w:r w:rsidR="009076D0" w:rsidRPr="006A3881">
              <w:rPr>
                <w:rFonts w:eastAsia="MS Mincho"/>
                <w:spacing w:val="0"/>
                <w:w w:val="100"/>
                <w:kern w:val="0"/>
                <w:lang w:val="en-US" w:eastAsia="ja-JP"/>
              </w:rPr>
              <w:t>nstitutional com</w:t>
            </w:r>
            <w:r w:rsidR="00D52575">
              <w:rPr>
                <w:rFonts w:eastAsia="MS Mincho"/>
                <w:spacing w:val="0"/>
                <w:w w:val="100"/>
                <w:kern w:val="0"/>
                <w:lang w:val="en-US" w:eastAsia="ja-JP"/>
              </w:rPr>
              <w:t>ponents of the integrated b</w:t>
            </w:r>
            <w:r w:rsidR="009076D0" w:rsidRPr="006A3881">
              <w:rPr>
                <w:rFonts w:eastAsia="MS Mincho"/>
                <w:spacing w:val="0"/>
                <w:w w:val="100"/>
                <w:kern w:val="0"/>
                <w:lang w:val="en-US" w:eastAsia="ja-JP"/>
              </w:rPr>
              <w:t>udget.</w:t>
            </w:r>
          </w:p>
          <w:p w:rsidR="00B95A86" w:rsidRPr="00D67265" w:rsidRDefault="00B95A86" w:rsidP="00D67265">
            <w:pPr>
              <w:pStyle w:val="DualTxt"/>
              <w:tabs>
                <w:tab w:val="clear" w:pos="960"/>
                <w:tab w:val="clear" w:pos="1915"/>
                <w:tab w:val="left" w:pos="900"/>
                <w:tab w:val="left" w:pos="990"/>
                <w:tab w:val="left" w:pos="1260"/>
                <w:tab w:val="left" w:pos="1800"/>
                <w:tab w:val="left" w:pos="8820"/>
              </w:tabs>
              <w:spacing w:line="200" w:lineRule="exact"/>
              <w:ind w:right="547"/>
              <w:rPr>
                <w:i/>
                <w:iCs/>
                <w:w w:val="103"/>
                <w:sz w:val="20"/>
                <w:szCs w:val="20"/>
              </w:rPr>
            </w:pPr>
          </w:p>
          <w:p w:rsidR="00B95A86" w:rsidRPr="003C2A46" w:rsidRDefault="00B95A86" w:rsidP="00D67265">
            <w:pPr>
              <w:pStyle w:val="DualTxt"/>
              <w:tabs>
                <w:tab w:val="clear" w:pos="960"/>
                <w:tab w:val="clear" w:pos="1915"/>
                <w:tab w:val="left" w:pos="900"/>
                <w:tab w:val="left" w:pos="990"/>
                <w:tab w:val="left" w:pos="1260"/>
                <w:tab w:val="left" w:pos="1800"/>
                <w:tab w:val="left" w:pos="8820"/>
              </w:tabs>
              <w:spacing w:after="0" w:line="240" w:lineRule="auto"/>
              <w:ind w:right="547"/>
              <w:rPr>
                <w:b w:val="0"/>
                <w:bCs w:val="0"/>
                <w:i/>
                <w:sz w:val="20"/>
                <w:szCs w:val="20"/>
              </w:rPr>
            </w:pPr>
          </w:p>
          <w:p w:rsidR="00B95A86" w:rsidRPr="00D67265" w:rsidRDefault="00FE408A" w:rsidP="00D67265">
            <w:pPr>
              <w:pStyle w:val="DualTxt"/>
              <w:tabs>
                <w:tab w:val="clear" w:pos="960"/>
                <w:tab w:val="clear" w:pos="1915"/>
                <w:tab w:val="left" w:pos="900"/>
                <w:tab w:val="left" w:pos="990"/>
                <w:tab w:val="left" w:pos="1260"/>
                <w:tab w:val="left" w:pos="1800"/>
                <w:tab w:val="left" w:pos="8820"/>
              </w:tabs>
              <w:ind w:right="540"/>
            </w:pPr>
            <w:r>
              <w:rPr>
                <w:iCs/>
              </w:rPr>
              <w:t xml:space="preserve">           </w:t>
            </w:r>
            <w:proofErr w:type="spellStart"/>
            <w:proofErr w:type="gramStart"/>
            <w:r>
              <w:rPr>
                <w:iCs/>
              </w:rPr>
              <w:t>II.a</w:t>
            </w:r>
            <w:proofErr w:type="spellEnd"/>
            <w:r>
              <w:rPr>
                <w:iCs/>
              </w:rPr>
              <w:t xml:space="preserve"> </w:t>
            </w:r>
            <w:r w:rsidR="00B74C2E">
              <w:rPr>
                <w:iCs/>
              </w:rPr>
              <w:t xml:space="preserve"> Programmatic</w:t>
            </w:r>
            <w:proofErr w:type="gramEnd"/>
            <w:r w:rsidR="00B74C2E">
              <w:rPr>
                <w:iCs/>
              </w:rPr>
              <w:t xml:space="preserve"> component of the integrated b</w:t>
            </w:r>
            <w:r>
              <w:rPr>
                <w:iCs/>
              </w:rPr>
              <w:t>udget</w:t>
            </w:r>
            <w:r w:rsidR="00581152">
              <w:rPr>
                <w:iCs/>
              </w:rPr>
              <w:t xml:space="preserve">  - methodology</w:t>
            </w:r>
            <w:r>
              <w:rPr>
                <w:iCs/>
              </w:rPr>
              <w:t>.</w:t>
            </w:r>
          </w:p>
          <w:p w:rsidR="00F85E21" w:rsidRDefault="00F85E21" w:rsidP="00D67265">
            <w:pPr>
              <w:pStyle w:val="DualTxt"/>
              <w:tabs>
                <w:tab w:val="clear" w:pos="960"/>
                <w:tab w:val="clear" w:pos="1915"/>
                <w:tab w:val="left" w:pos="900"/>
                <w:tab w:val="left" w:pos="990"/>
                <w:tab w:val="left" w:pos="1260"/>
                <w:tab w:val="left" w:pos="1800"/>
                <w:tab w:val="left" w:pos="8820"/>
              </w:tabs>
              <w:ind w:left="1080" w:right="540"/>
            </w:pPr>
          </w:p>
          <w:p w:rsidR="00B13F00" w:rsidRPr="00F472DC" w:rsidRDefault="00B13F00"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Majority of the programmatic components of the </w:t>
            </w:r>
            <w:r w:rsidR="00D52575">
              <w:rPr>
                <w:rFonts w:eastAsia="MS Mincho"/>
                <w:spacing w:val="0"/>
                <w:w w:val="100"/>
                <w:kern w:val="0"/>
                <w:lang w:val="en-US" w:eastAsia="ja-JP"/>
              </w:rPr>
              <w:t>integrated b</w:t>
            </w:r>
            <w:r w:rsidR="00F0408D" w:rsidRPr="00F472DC">
              <w:rPr>
                <w:rFonts w:eastAsia="MS Mincho"/>
                <w:spacing w:val="0"/>
                <w:w w:val="100"/>
                <w:kern w:val="0"/>
                <w:lang w:val="en-US" w:eastAsia="ja-JP"/>
              </w:rPr>
              <w:t>udget</w:t>
            </w:r>
            <w:r w:rsidRPr="00F472DC">
              <w:rPr>
                <w:rFonts w:eastAsia="MS Mincho"/>
                <w:spacing w:val="0"/>
                <w:w w:val="100"/>
                <w:kern w:val="0"/>
                <w:lang w:val="en-US" w:eastAsia="ja-JP"/>
              </w:rPr>
              <w:t xml:space="preserve"> (TRAC-1 and TRAC-2, representing approximately 70 per cent) are distributed to all eligible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countries for country-level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activities. This is to provide every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country with a base on which they can access financing, </w:t>
            </w:r>
            <w:r w:rsidRPr="00F472DC">
              <w:rPr>
                <w:rFonts w:eastAsia="MS Mincho"/>
                <w:spacing w:val="0"/>
                <w:w w:val="100"/>
                <w:kern w:val="0"/>
                <w:lang w:val="en-US" w:eastAsia="ja-JP"/>
              </w:rPr>
              <w:lastRenderedPageBreak/>
              <w:t xml:space="preserve">expertise, and technologies to make progress on the Sustainable Development Goals. TRAC-1 allocations are based on the Executive Board’s approved criteria (i.e. the income status and population size of each country), with majority of these resources </w:t>
            </w:r>
            <w:proofErr w:type="spellStart"/>
            <w:r w:rsidRPr="00F472DC">
              <w:rPr>
                <w:rFonts w:eastAsia="MS Mincho"/>
                <w:spacing w:val="0"/>
                <w:w w:val="100"/>
                <w:kern w:val="0"/>
                <w:lang w:val="en-US" w:eastAsia="ja-JP"/>
              </w:rPr>
              <w:t>channelled</w:t>
            </w:r>
            <w:proofErr w:type="spellEnd"/>
            <w:r w:rsidRPr="00F472DC">
              <w:rPr>
                <w:rFonts w:eastAsia="MS Mincho"/>
                <w:spacing w:val="0"/>
                <w:w w:val="100"/>
                <w:kern w:val="0"/>
                <w:lang w:val="en-US" w:eastAsia="ja-JP"/>
              </w:rPr>
              <w:t xml:space="preserve"> to low-income and least developed countries. </w:t>
            </w:r>
          </w:p>
          <w:p w:rsidR="00B13F00" w:rsidRPr="00F472DC" w:rsidRDefault="00B13F00"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A portion of the regular resources, </w:t>
            </w:r>
            <w:r w:rsidR="005449BD" w:rsidRPr="00F472DC">
              <w:rPr>
                <w:rFonts w:eastAsia="MS Mincho"/>
                <w:spacing w:val="0"/>
                <w:w w:val="100"/>
                <w:kern w:val="0"/>
                <w:lang w:val="en-US" w:eastAsia="ja-JP"/>
              </w:rPr>
              <w:t>TRAC-</w:t>
            </w:r>
            <w:r w:rsidRPr="00F472DC">
              <w:rPr>
                <w:rFonts w:eastAsia="MS Mincho"/>
                <w:spacing w:val="0"/>
                <w:w w:val="100"/>
                <w:kern w:val="0"/>
                <w:lang w:val="en-US" w:eastAsia="ja-JP"/>
              </w:rPr>
              <w:t xml:space="preserve">3, is also </w:t>
            </w:r>
            <w:proofErr w:type="spellStart"/>
            <w:r w:rsidRPr="00F472DC">
              <w:rPr>
                <w:rFonts w:eastAsia="MS Mincho"/>
                <w:spacing w:val="0"/>
                <w:w w:val="100"/>
                <w:kern w:val="0"/>
                <w:lang w:val="en-US" w:eastAsia="ja-JP"/>
              </w:rPr>
              <w:t>channelled</w:t>
            </w:r>
            <w:proofErr w:type="spellEnd"/>
            <w:r w:rsidRPr="00F472DC">
              <w:rPr>
                <w:rFonts w:eastAsia="MS Mincho"/>
                <w:spacing w:val="0"/>
                <w:w w:val="100"/>
                <w:kern w:val="0"/>
                <w:lang w:val="en-US" w:eastAsia="ja-JP"/>
              </w:rPr>
              <w:t xml:space="preserve"> to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countries that are affected by conflicts and natural disasters. In these countries, TRAC</w:t>
            </w:r>
            <w:r w:rsidR="007F233F" w:rsidRPr="00F472DC">
              <w:rPr>
                <w:rFonts w:eastAsia="MS Mincho"/>
                <w:spacing w:val="0"/>
                <w:w w:val="100"/>
                <w:kern w:val="0"/>
                <w:lang w:val="en-US" w:eastAsia="ja-JP"/>
              </w:rPr>
              <w:t>-</w:t>
            </w:r>
            <w:r w:rsidRPr="00F472DC">
              <w:rPr>
                <w:rFonts w:eastAsia="MS Mincho"/>
                <w:spacing w:val="0"/>
                <w:w w:val="100"/>
                <w:kern w:val="0"/>
                <w:lang w:val="en-US" w:eastAsia="ja-JP"/>
              </w:rPr>
              <w:t>3 resources ar</w:t>
            </w:r>
            <w:r w:rsidR="007F233F" w:rsidRPr="00F472DC">
              <w:rPr>
                <w:rFonts w:eastAsia="MS Mincho"/>
                <w:spacing w:val="0"/>
                <w:w w:val="100"/>
                <w:kern w:val="0"/>
                <w:lang w:val="en-US" w:eastAsia="ja-JP"/>
              </w:rPr>
              <w:t>e used in conjunction with TRAC-</w:t>
            </w:r>
            <w:r w:rsidRPr="00F472DC">
              <w:rPr>
                <w:rFonts w:eastAsia="MS Mincho"/>
                <w:spacing w:val="0"/>
                <w:w w:val="100"/>
                <w:kern w:val="0"/>
                <w:lang w:val="en-US" w:eastAsia="ja-JP"/>
              </w:rPr>
              <w:t xml:space="preserve">1 and other resources. </w:t>
            </w:r>
          </w:p>
          <w:p w:rsidR="00B13F00" w:rsidRPr="00F472DC" w:rsidRDefault="00B13F00"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The </w:t>
            </w:r>
            <w:r w:rsidR="00F563E7" w:rsidRPr="00F472DC">
              <w:rPr>
                <w:rFonts w:eastAsia="MS Mincho"/>
                <w:spacing w:val="0"/>
                <w:w w:val="100"/>
                <w:kern w:val="0"/>
                <w:lang w:val="en-US" w:eastAsia="ja-JP"/>
              </w:rPr>
              <w:t>d</w:t>
            </w:r>
            <w:r w:rsidRPr="00F472DC">
              <w:rPr>
                <w:rFonts w:eastAsia="MS Mincho"/>
                <w:spacing w:val="0"/>
                <w:w w:val="100"/>
                <w:kern w:val="0"/>
                <w:lang w:val="en-US" w:eastAsia="ja-JP"/>
              </w:rPr>
              <w:t xml:space="preserve">evelopment </w:t>
            </w:r>
            <w:r w:rsidR="00F563E7" w:rsidRPr="00F472DC">
              <w:rPr>
                <w:rFonts w:eastAsia="MS Mincho"/>
                <w:spacing w:val="0"/>
                <w:w w:val="100"/>
                <w:kern w:val="0"/>
                <w:lang w:val="en-US" w:eastAsia="ja-JP"/>
              </w:rPr>
              <w:t>e</w:t>
            </w:r>
            <w:r w:rsidRPr="00F472DC">
              <w:rPr>
                <w:rFonts w:eastAsia="MS Mincho"/>
                <w:spacing w:val="0"/>
                <w:w w:val="100"/>
                <w:kern w:val="0"/>
                <w:lang w:val="en-US" w:eastAsia="ja-JP"/>
              </w:rPr>
              <w:t>ffectiveness (DE) related activities support the integration of development knowledge professional standards and quality assurance through specialized technical expertise to help countries access financing, by enhancing knowledge management practices and systems. UNDP proposes the consolidation of these core programmatic lines with ‘DE’ related activities, noting that these ‘DE’ lines were not shielded in the 2014 – 2017 period. The proposed consolidation would enhance focus and reduce fragment</w:t>
            </w:r>
            <w:r w:rsidR="00D52575">
              <w:rPr>
                <w:rFonts w:eastAsia="MS Mincho"/>
                <w:spacing w:val="0"/>
                <w:w w:val="100"/>
                <w:kern w:val="0"/>
                <w:lang w:val="en-US" w:eastAsia="ja-JP"/>
              </w:rPr>
              <w:t>ation of core resources in the integrated b</w:t>
            </w:r>
            <w:r w:rsidRPr="00F472DC">
              <w:rPr>
                <w:rFonts w:eastAsia="MS Mincho"/>
                <w:spacing w:val="0"/>
                <w:w w:val="100"/>
                <w:kern w:val="0"/>
                <w:lang w:val="en-US" w:eastAsia="ja-JP"/>
              </w:rPr>
              <w:t>udget framework. The consolidation facilitates support for the Global Development Advisory and Implementation Services Platform and the Country Support Platform proposed in the Strategic Plan</w:t>
            </w:r>
            <w:r w:rsidR="006838CB" w:rsidRPr="00F472DC">
              <w:rPr>
                <w:rFonts w:eastAsia="MS Mincho"/>
                <w:spacing w:val="0"/>
                <w:w w:val="100"/>
                <w:kern w:val="0"/>
                <w:lang w:val="en-US" w:eastAsia="ja-JP"/>
              </w:rPr>
              <w:t>.</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A summary of the principles and parameters of the programmatic components of the Integrated Budget and a detailed explanation and salient features of each of the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lines are provided below.</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The programming arrangements set the legal framework, as well as the principles and parameters, for the distributions of UNDP regular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resources and their use, in line with the key objectives of the organization and according to defined principles. The purpose of regular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resources is to fund </w:t>
            </w:r>
            <w:proofErr w:type="spellStart"/>
            <w:r w:rsidRPr="00F472DC">
              <w:rPr>
                <w:rFonts w:eastAsia="MS Mincho"/>
                <w:spacing w:val="0"/>
                <w:w w:val="100"/>
                <w:kern w:val="0"/>
                <w:lang w:val="en-US" w:eastAsia="ja-JP"/>
              </w:rPr>
              <w:t>programmes</w:t>
            </w:r>
            <w:proofErr w:type="spellEnd"/>
            <w:r w:rsidRPr="00F472DC">
              <w:rPr>
                <w:rFonts w:eastAsia="MS Mincho"/>
                <w:spacing w:val="0"/>
                <w:w w:val="100"/>
                <w:kern w:val="0"/>
                <w:lang w:val="en-US" w:eastAsia="ja-JP"/>
              </w:rPr>
              <w:t xml:space="preserve"> and other initiatives at the country, inter-country, regional and global levels, and to support selected high-priority initiatives.</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The guiding principles of the framework are:</w:t>
            </w:r>
          </w:p>
          <w:p w:rsidR="00B95A86" w:rsidRDefault="00B95A86" w:rsidP="00D52575">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60" w:line="240" w:lineRule="auto"/>
              <w:ind w:right="547"/>
              <w:rPr>
                <w:b w:val="0"/>
                <w:bCs w:val="0"/>
                <w:sz w:val="20"/>
                <w:szCs w:val="20"/>
              </w:rPr>
            </w:pPr>
            <w:r>
              <w:rPr>
                <w:b w:val="0"/>
                <w:bCs w:val="0"/>
                <w:sz w:val="20"/>
                <w:szCs w:val="20"/>
              </w:rPr>
              <w:t>Predictability – the</w:t>
            </w:r>
            <w:r w:rsidRPr="00365384">
              <w:rPr>
                <w:b w:val="0"/>
                <w:bCs w:val="0"/>
                <w:sz w:val="20"/>
                <w:szCs w:val="20"/>
              </w:rPr>
              <w:t xml:space="preserve"> availability of sufficient regular </w:t>
            </w:r>
            <w:r>
              <w:rPr>
                <w:b w:val="0"/>
                <w:bCs w:val="0"/>
                <w:sz w:val="20"/>
                <w:szCs w:val="20"/>
              </w:rPr>
              <w:t xml:space="preserve">programme </w:t>
            </w:r>
            <w:r w:rsidRPr="00365384">
              <w:rPr>
                <w:b w:val="0"/>
                <w:bCs w:val="0"/>
                <w:sz w:val="20"/>
                <w:szCs w:val="20"/>
              </w:rPr>
              <w:t>resources</w:t>
            </w:r>
            <w:r>
              <w:rPr>
                <w:b w:val="0"/>
                <w:bCs w:val="0"/>
                <w:sz w:val="20"/>
                <w:szCs w:val="20"/>
              </w:rPr>
              <w:t xml:space="preserve"> within a stated time frame;</w:t>
            </w:r>
          </w:p>
          <w:p w:rsidR="00B95A86" w:rsidRDefault="00B95A86" w:rsidP="00D52575">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60" w:line="240" w:lineRule="auto"/>
              <w:ind w:right="547"/>
              <w:rPr>
                <w:b w:val="0"/>
                <w:bCs w:val="0"/>
                <w:sz w:val="20"/>
                <w:szCs w:val="20"/>
              </w:rPr>
            </w:pPr>
            <w:r>
              <w:rPr>
                <w:b w:val="0"/>
                <w:bCs w:val="0"/>
                <w:sz w:val="20"/>
                <w:szCs w:val="20"/>
              </w:rPr>
              <w:t xml:space="preserve">Universality – </w:t>
            </w:r>
            <w:r w:rsidRPr="00365384">
              <w:rPr>
                <w:b w:val="0"/>
                <w:bCs w:val="0"/>
                <w:sz w:val="20"/>
                <w:szCs w:val="20"/>
              </w:rPr>
              <w:t xml:space="preserve">UNDP </w:t>
            </w:r>
            <w:r>
              <w:rPr>
                <w:b w:val="0"/>
                <w:bCs w:val="0"/>
                <w:sz w:val="20"/>
                <w:szCs w:val="20"/>
              </w:rPr>
              <w:t xml:space="preserve">regular </w:t>
            </w:r>
            <w:r w:rsidRPr="00365384">
              <w:rPr>
                <w:b w:val="0"/>
                <w:bCs w:val="0"/>
                <w:sz w:val="20"/>
                <w:szCs w:val="20"/>
              </w:rPr>
              <w:t>development resources and related activities are available to support all eligible countries</w:t>
            </w:r>
            <w:r>
              <w:rPr>
                <w:b w:val="0"/>
                <w:bCs w:val="0"/>
                <w:sz w:val="20"/>
                <w:szCs w:val="20"/>
              </w:rPr>
              <w:t>; and</w:t>
            </w:r>
          </w:p>
          <w:p w:rsidR="00B95A86" w:rsidRDefault="00B95A86" w:rsidP="00D52575">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line="200" w:lineRule="exact"/>
              <w:ind w:right="547"/>
              <w:rPr>
                <w:b w:val="0"/>
                <w:bCs w:val="0"/>
                <w:sz w:val="20"/>
                <w:szCs w:val="20"/>
              </w:rPr>
            </w:pPr>
            <w:r>
              <w:rPr>
                <w:b w:val="0"/>
                <w:bCs w:val="0"/>
                <w:sz w:val="20"/>
                <w:szCs w:val="20"/>
              </w:rPr>
              <w:t xml:space="preserve">Progressivity – UNDP regular development resources and related development activities </w:t>
            </w:r>
            <w:r w:rsidRPr="00365384">
              <w:rPr>
                <w:b w:val="0"/>
                <w:bCs w:val="0"/>
                <w:sz w:val="20"/>
                <w:szCs w:val="20"/>
              </w:rPr>
              <w:t>primarily</w:t>
            </w:r>
            <w:r>
              <w:rPr>
                <w:b w:val="0"/>
                <w:bCs w:val="0"/>
                <w:sz w:val="20"/>
                <w:szCs w:val="20"/>
              </w:rPr>
              <w:t xml:space="preserve"> support </w:t>
            </w:r>
            <w:r w:rsidRPr="00365384">
              <w:rPr>
                <w:b w:val="0"/>
                <w:bCs w:val="0"/>
                <w:sz w:val="20"/>
                <w:szCs w:val="20"/>
              </w:rPr>
              <w:t>low-income and least developed countries.</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In monetary terms, the </w:t>
            </w:r>
            <w:proofErr w:type="spellStart"/>
            <w:r w:rsidRPr="00F472DC">
              <w:rPr>
                <w:rFonts w:eastAsia="MS Mincho"/>
                <w:spacing w:val="0"/>
                <w:w w:val="100"/>
                <w:kern w:val="0"/>
                <w:lang w:val="en-US" w:eastAsia="ja-JP"/>
              </w:rPr>
              <w:t>earmarkings</w:t>
            </w:r>
            <w:proofErr w:type="spellEnd"/>
            <w:r w:rsidRPr="00F472DC">
              <w:rPr>
                <w:rFonts w:eastAsia="MS Mincho"/>
                <w:spacing w:val="0"/>
                <w:w w:val="100"/>
                <w:kern w:val="0"/>
                <w:lang w:val="en-US" w:eastAsia="ja-JP"/>
              </w:rPr>
              <w:t xml:space="preserve"> are tentative in nature since they are based on a targeted level of total regular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resources for the four-year programming period. The target may or may not be realized depending on the actual level of vol</w:t>
            </w:r>
            <w:r w:rsidR="00D52575">
              <w:rPr>
                <w:rFonts w:eastAsia="MS Mincho"/>
                <w:spacing w:val="0"/>
                <w:w w:val="100"/>
                <w:kern w:val="0"/>
                <w:lang w:val="en-US" w:eastAsia="ja-JP"/>
              </w:rPr>
              <w:t>untary contributions. Annex A, t</w:t>
            </w:r>
            <w:r w:rsidRPr="00F472DC">
              <w:rPr>
                <w:rFonts w:eastAsia="MS Mincho"/>
                <w:spacing w:val="0"/>
                <w:w w:val="100"/>
                <w:kern w:val="0"/>
                <w:lang w:val="en-US" w:eastAsia="ja-JP"/>
              </w:rPr>
              <w:t>able 4</w:t>
            </w:r>
            <w:r w:rsidR="00D52575">
              <w:rPr>
                <w:rFonts w:eastAsia="MS Mincho"/>
                <w:spacing w:val="0"/>
                <w:w w:val="100"/>
                <w:kern w:val="0"/>
                <w:lang w:val="en-US" w:eastAsia="ja-JP"/>
              </w:rPr>
              <w:t>a</w:t>
            </w:r>
            <w:r w:rsidRPr="00F472DC">
              <w:rPr>
                <w:rFonts w:eastAsia="MS Mincho"/>
                <w:spacing w:val="0"/>
                <w:w w:val="100"/>
                <w:kern w:val="0"/>
                <w:lang w:val="en-US" w:eastAsia="ja-JP"/>
              </w:rPr>
              <w:t xml:space="preserve"> in DP/201</w:t>
            </w:r>
            <w:r w:rsidR="00C96AD4" w:rsidRPr="00F472DC">
              <w:rPr>
                <w:rFonts w:eastAsia="MS Mincho"/>
                <w:spacing w:val="0"/>
                <w:w w:val="100"/>
                <w:kern w:val="0"/>
                <w:lang w:val="en-US" w:eastAsia="ja-JP"/>
              </w:rPr>
              <w:t xml:space="preserve">7/39 </w:t>
            </w:r>
            <w:r w:rsidRPr="00F472DC">
              <w:rPr>
                <w:rFonts w:eastAsia="MS Mincho"/>
                <w:spacing w:val="0"/>
                <w:w w:val="100"/>
                <w:kern w:val="0"/>
                <w:lang w:val="en-US" w:eastAsia="ja-JP"/>
              </w:rPr>
              <w:t>presents annualized allocations for the period 2018-2021.</w:t>
            </w:r>
          </w:p>
          <w:p w:rsidR="00B95A86" w:rsidRPr="00D67265" w:rsidRDefault="00B95A86" w:rsidP="00D67265">
            <w:pPr>
              <w:pStyle w:val="SingleTxt"/>
              <w:tabs>
                <w:tab w:val="clear" w:pos="1267"/>
                <w:tab w:val="left" w:pos="900"/>
              </w:tabs>
              <w:spacing w:line="240" w:lineRule="auto"/>
              <w:ind w:left="907"/>
              <w:jc w:val="left"/>
              <w:rPr>
                <w:b/>
                <w:bCs/>
                <w:i/>
                <w:iCs/>
                <w:sz w:val="22"/>
                <w:szCs w:val="22"/>
              </w:rPr>
            </w:pPr>
            <w:r w:rsidRPr="0029161C">
              <w:rPr>
                <w:b/>
                <w:bCs/>
                <w:i/>
                <w:iCs/>
                <w:sz w:val="22"/>
                <w:szCs w:val="22"/>
              </w:rPr>
              <w:t>Programmes – country window</w:t>
            </w:r>
          </w:p>
          <w:p w:rsidR="00B95A86" w:rsidRPr="00D67265" w:rsidRDefault="00B95A86">
            <w:pPr>
              <w:pStyle w:val="DualTxt"/>
              <w:tabs>
                <w:tab w:val="clear" w:pos="960"/>
                <w:tab w:val="clear" w:pos="1440"/>
                <w:tab w:val="clear" w:pos="1915"/>
                <w:tab w:val="left" w:pos="900"/>
                <w:tab w:val="left" w:pos="990"/>
                <w:tab w:val="left" w:pos="1260"/>
                <w:tab w:val="left" w:pos="1800"/>
                <w:tab w:val="left" w:pos="8820"/>
              </w:tabs>
              <w:ind w:left="900" w:right="540"/>
              <w:rPr>
                <w:b w:val="0"/>
                <w:bCs w:val="0"/>
                <w:i/>
                <w:iCs/>
                <w:sz w:val="20"/>
                <w:szCs w:val="20"/>
              </w:rPr>
            </w:pPr>
            <w:r w:rsidRPr="0029161C">
              <w:rPr>
                <w:b w:val="0"/>
                <w:bCs w:val="0"/>
                <w:i/>
                <w:iCs/>
                <w:sz w:val="20"/>
                <w:szCs w:val="20"/>
              </w:rPr>
              <w:t>Target for resource assignments from the core (TRAC) system</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UNDP regular resource allocations for country-level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activities are made within the framework of targets for resource assignments from the core (known as ‘TRACs’). The TRAC is a three-tiered system in which TRAC-1 and TRAC-2 resources are linked in a combined pool, while TRAC-3 resources are made available through a separate </w:t>
            </w:r>
            <w:r w:rsidR="00466CF5">
              <w:rPr>
                <w:rFonts w:eastAsia="MS Mincho"/>
                <w:spacing w:val="0"/>
                <w:w w:val="100"/>
                <w:kern w:val="0"/>
                <w:lang w:val="en-US" w:eastAsia="ja-JP"/>
              </w:rPr>
              <w:t>pool. TRAC allocations form the</w:t>
            </w:r>
            <w:r w:rsidRPr="00F472DC">
              <w:rPr>
                <w:rFonts w:eastAsia="MS Mincho"/>
                <w:spacing w:val="0"/>
                <w:w w:val="100"/>
                <w:kern w:val="0"/>
                <w:lang w:val="en-US" w:eastAsia="ja-JP"/>
              </w:rPr>
              <w:t xml:space="preserve"> financial foundation for the UNDP programmatic presence on the ground.</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‘TRAC-1’ refers to the annual level of regular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resources targeted to be available for an individual </w:t>
            </w:r>
            <w:proofErr w:type="spellStart"/>
            <w:r w:rsidRPr="00F472DC">
              <w:rPr>
                <w:rFonts w:eastAsia="MS Mincho"/>
                <w:spacing w:val="0"/>
                <w:w w:val="100"/>
                <w:kern w:val="0"/>
                <w:lang w:val="en-US" w:eastAsia="ja-JP"/>
              </w:rPr>
              <w:t>programme</w:t>
            </w:r>
            <w:proofErr w:type="spellEnd"/>
            <w:r w:rsidRPr="00F472DC">
              <w:rPr>
                <w:rFonts w:eastAsia="MS Mincho"/>
                <w:spacing w:val="0"/>
                <w:w w:val="100"/>
                <w:kern w:val="0"/>
                <w:lang w:val="en-US" w:eastAsia="ja-JP"/>
              </w:rPr>
              <w:t xml:space="preserve"> country during the programming period. They are allocated centrally, according to TRAC-1 eligibility and other criteria approved by the Executive Board. Annex A, Table </w:t>
            </w:r>
            <w:r w:rsidR="0015296A" w:rsidRPr="00F472DC">
              <w:rPr>
                <w:rFonts w:eastAsia="MS Mincho"/>
                <w:spacing w:val="0"/>
                <w:w w:val="100"/>
                <w:kern w:val="0"/>
                <w:lang w:val="en-US" w:eastAsia="ja-JP"/>
              </w:rPr>
              <w:t>4c</w:t>
            </w:r>
            <w:r w:rsidRPr="00F472DC">
              <w:rPr>
                <w:rFonts w:eastAsia="MS Mincho"/>
                <w:spacing w:val="0"/>
                <w:w w:val="100"/>
                <w:kern w:val="0"/>
                <w:lang w:val="en-US" w:eastAsia="ja-JP"/>
              </w:rPr>
              <w:t xml:space="preserve"> presents the comparative distribution of TRAC-1 resources for 2014-2017 and 2018-2021 by region.</w:t>
            </w:r>
          </w:p>
          <w:p w:rsidR="00C51948" w:rsidRPr="00F10C6C" w:rsidRDefault="00C51948" w:rsidP="00C51948">
            <w:pPr>
              <w:pStyle w:val="DualTxt"/>
              <w:tabs>
                <w:tab w:val="clear" w:pos="960"/>
                <w:tab w:val="clear" w:pos="1915"/>
                <w:tab w:val="left" w:pos="900"/>
                <w:tab w:val="left" w:pos="990"/>
                <w:tab w:val="left" w:pos="1260"/>
                <w:tab w:val="left" w:pos="1800"/>
                <w:tab w:val="left" w:pos="8820"/>
              </w:tabs>
              <w:spacing w:line="200" w:lineRule="exact"/>
              <w:ind w:left="360" w:right="547"/>
              <w:rPr>
                <w:b w:val="0"/>
                <w:bCs w:val="0"/>
                <w:snapToGrid w:val="0"/>
              </w:rPr>
            </w:pPr>
          </w:p>
          <w:p w:rsidR="00B95A86" w:rsidRPr="00D67265" w:rsidRDefault="00B95A86" w:rsidP="00D67265">
            <w:pPr>
              <w:pStyle w:val="DualTxt"/>
              <w:tabs>
                <w:tab w:val="clear" w:pos="960"/>
                <w:tab w:val="clear" w:pos="1915"/>
                <w:tab w:val="left" w:pos="900"/>
                <w:tab w:val="left" w:pos="990"/>
                <w:tab w:val="left" w:pos="1260"/>
                <w:tab w:val="left" w:pos="1800"/>
                <w:tab w:val="left" w:pos="8820"/>
              </w:tabs>
              <w:ind w:right="540"/>
              <w:rPr>
                <w:b w:val="0"/>
                <w:bCs w:val="0"/>
                <w:sz w:val="20"/>
                <w:szCs w:val="20"/>
              </w:rPr>
            </w:pPr>
            <w:r>
              <w:rPr>
                <w:b w:val="0"/>
                <w:snapToGrid w:val="0"/>
              </w:rPr>
              <w:tab/>
            </w:r>
            <w:r>
              <w:rPr>
                <w:b w:val="0"/>
                <w:snapToGrid w:val="0"/>
              </w:rPr>
              <w:tab/>
            </w:r>
            <w:r w:rsidRPr="0029161C">
              <w:rPr>
                <w:b w:val="0"/>
                <w:bCs w:val="0"/>
                <w:i/>
                <w:iCs/>
                <w:sz w:val="20"/>
                <w:szCs w:val="20"/>
              </w:rPr>
              <w:t>TRAC-1 principles and considerations</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The TRAC-1 calculation is complex, having evolved over almost two decades to replace the previous entitlement-based system of funding according to indicative planning figures. Executive Board decisions in respect of the current arrangements essentially extended the principles, practices and approaches of the preceding cycle, with </w:t>
            </w:r>
            <w:proofErr w:type="gramStart"/>
            <w:r w:rsidRPr="00F472DC">
              <w:rPr>
                <w:rFonts w:eastAsia="MS Mincho"/>
                <w:spacing w:val="0"/>
                <w:w w:val="100"/>
                <w:kern w:val="0"/>
                <w:lang w:val="en-US" w:eastAsia="ja-JP"/>
              </w:rPr>
              <w:t>a number of</w:t>
            </w:r>
            <w:proofErr w:type="gramEnd"/>
            <w:r w:rsidRPr="00F472DC">
              <w:rPr>
                <w:rFonts w:eastAsia="MS Mincho"/>
                <w:spacing w:val="0"/>
                <w:w w:val="100"/>
                <w:kern w:val="0"/>
                <w:lang w:val="en-US" w:eastAsia="ja-JP"/>
              </w:rPr>
              <w:t xml:space="preserve"> technical incremental changes.</w:t>
            </w: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lastRenderedPageBreak/>
              <w:t>The TRAC-1 distribution methodology adheres to three basic principles:</w:t>
            </w:r>
          </w:p>
          <w:p w:rsidR="00B95A86" w:rsidRDefault="00B95A86" w:rsidP="00D8558F">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40" w:line="240" w:lineRule="auto"/>
              <w:ind w:right="547"/>
              <w:rPr>
                <w:b w:val="0"/>
                <w:bCs w:val="0"/>
                <w:snapToGrid w:val="0"/>
                <w:sz w:val="20"/>
                <w:szCs w:val="20"/>
              </w:rPr>
            </w:pPr>
            <w:r>
              <w:rPr>
                <w:b w:val="0"/>
                <w:bCs w:val="0"/>
                <w:snapToGrid w:val="0"/>
                <w:sz w:val="20"/>
                <w:szCs w:val="20"/>
              </w:rPr>
              <w:t>Focus on low-income and least developed countries;</w:t>
            </w:r>
          </w:p>
          <w:p w:rsidR="00B95A86" w:rsidRDefault="00B95A86" w:rsidP="00D8558F">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40" w:line="240" w:lineRule="auto"/>
              <w:ind w:right="547"/>
              <w:rPr>
                <w:b w:val="0"/>
                <w:bCs w:val="0"/>
                <w:snapToGrid w:val="0"/>
                <w:sz w:val="20"/>
                <w:szCs w:val="20"/>
              </w:rPr>
            </w:pPr>
            <w:r w:rsidRPr="00E37E5D">
              <w:rPr>
                <w:b w:val="0"/>
                <w:bCs w:val="0"/>
                <w:snapToGrid w:val="0"/>
                <w:sz w:val="20"/>
                <w:szCs w:val="20"/>
              </w:rPr>
              <w:t>Progressivity in favour of lower-income countries within the categories of low</w:t>
            </w:r>
            <w:r>
              <w:rPr>
                <w:b w:val="0"/>
                <w:bCs w:val="0"/>
                <w:snapToGrid w:val="0"/>
                <w:sz w:val="20"/>
                <w:szCs w:val="20"/>
              </w:rPr>
              <w:t>-</w:t>
            </w:r>
            <w:r w:rsidRPr="00E37E5D">
              <w:rPr>
                <w:b w:val="0"/>
                <w:bCs w:val="0"/>
                <w:snapToGrid w:val="0"/>
                <w:sz w:val="20"/>
                <w:szCs w:val="20"/>
              </w:rPr>
              <w:t>income and middle-income countries</w:t>
            </w:r>
            <w:r>
              <w:rPr>
                <w:b w:val="0"/>
                <w:bCs w:val="0"/>
                <w:snapToGrid w:val="0"/>
                <w:sz w:val="20"/>
                <w:szCs w:val="20"/>
              </w:rPr>
              <w:t>;</w:t>
            </w:r>
            <w:r w:rsidRPr="00E37E5D">
              <w:rPr>
                <w:b w:val="0"/>
                <w:bCs w:val="0"/>
                <w:snapToGrid w:val="0"/>
                <w:sz w:val="20"/>
                <w:szCs w:val="20"/>
              </w:rPr>
              <w:t xml:space="preserve"> </w:t>
            </w:r>
            <w:r>
              <w:rPr>
                <w:b w:val="0"/>
                <w:bCs w:val="0"/>
                <w:snapToGrid w:val="0"/>
                <w:sz w:val="20"/>
                <w:szCs w:val="20"/>
              </w:rPr>
              <w:t>respectively;</w:t>
            </w:r>
            <w:r w:rsidRPr="00E37E5D">
              <w:rPr>
                <w:b w:val="0"/>
                <w:bCs w:val="0"/>
                <w:snapToGrid w:val="0"/>
                <w:sz w:val="20"/>
                <w:szCs w:val="20"/>
              </w:rPr>
              <w:t xml:space="preserve"> and</w:t>
            </w:r>
          </w:p>
          <w:p w:rsidR="00B95A86" w:rsidRDefault="00B95A86" w:rsidP="00D8558F">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right="540"/>
              <w:rPr>
                <w:b w:val="0"/>
                <w:bCs w:val="0"/>
                <w:snapToGrid w:val="0"/>
                <w:sz w:val="20"/>
                <w:szCs w:val="20"/>
              </w:rPr>
            </w:pPr>
            <w:r w:rsidRPr="00E37E5D">
              <w:rPr>
                <w:b w:val="0"/>
                <w:bCs w:val="0"/>
                <w:snapToGrid w:val="0"/>
                <w:sz w:val="20"/>
                <w:szCs w:val="20"/>
              </w:rPr>
              <w:t xml:space="preserve">A gradual move to net contributor country (NCC) status for countries that achieve higher </w:t>
            </w:r>
            <w:r>
              <w:rPr>
                <w:b w:val="0"/>
                <w:bCs w:val="0"/>
                <w:snapToGrid w:val="0"/>
                <w:sz w:val="20"/>
                <w:szCs w:val="20"/>
              </w:rPr>
              <w:t>gross national income</w:t>
            </w:r>
            <w:r w:rsidRPr="00E37E5D">
              <w:rPr>
                <w:b w:val="0"/>
                <w:bCs w:val="0"/>
                <w:snapToGrid w:val="0"/>
                <w:sz w:val="20"/>
                <w:szCs w:val="20"/>
              </w:rPr>
              <w:t xml:space="preserve"> </w:t>
            </w:r>
            <w:r>
              <w:rPr>
                <w:b w:val="0"/>
                <w:bCs w:val="0"/>
                <w:snapToGrid w:val="0"/>
                <w:sz w:val="20"/>
                <w:szCs w:val="20"/>
              </w:rPr>
              <w:t xml:space="preserve">(GNI) </w:t>
            </w:r>
            <w:r w:rsidRPr="00E37E5D">
              <w:rPr>
                <w:b w:val="0"/>
                <w:bCs w:val="0"/>
                <w:snapToGrid w:val="0"/>
                <w:sz w:val="20"/>
                <w:szCs w:val="20"/>
              </w:rPr>
              <w:t>levels.</w:t>
            </w:r>
          </w:p>
          <w:p w:rsidR="009D1580" w:rsidRDefault="009D1580"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b w:val="0"/>
                <w:bCs w:val="0"/>
                <w:snapToGrid w:val="0"/>
                <w:sz w:val="20"/>
                <w:szCs w:val="20"/>
              </w:rPr>
            </w:pPr>
          </w:p>
          <w:p w:rsidR="00F472DC" w:rsidRPr="00B710EF" w:rsidRDefault="00F472DC"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bCs w:val="0"/>
                <w:snapToGrid w:val="0"/>
                <w:sz w:val="20"/>
                <w:szCs w:val="20"/>
              </w:rPr>
            </w:pPr>
          </w:p>
          <w:p w:rsidR="009D1580" w:rsidRPr="009D1580" w:rsidRDefault="009D1580"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bCs w:val="0"/>
                <w:snapToGrid w:val="0"/>
                <w:sz w:val="20"/>
                <w:szCs w:val="20"/>
              </w:rPr>
            </w:pPr>
            <w:r w:rsidRPr="00B710EF">
              <w:rPr>
                <w:bCs w:val="0"/>
                <w:snapToGrid w:val="0"/>
                <w:sz w:val="20"/>
                <w:szCs w:val="20"/>
              </w:rPr>
              <w:t xml:space="preserve">Figure 1: </w:t>
            </w:r>
            <w:r w:rsidR="00EE7DE5" w:rsidRPr="00B710EF">
              <w:rPr>
                <w:bCs w:val="0"/>
                <w:snapToGrid w:val="0"/>
                <w:sz w:val="20"/>
                <w:szCs w:val="20"/>
              </w:rPr>
              <w:t xml:space="preserve"> TRAC 1, signature solutions and CPDs</w:t>
            </w:r>
          </w:p>
          <w:p w:rsidR="00F472DC" w:rsidRDefault="00F472DC"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noProof/>
              </w:rPr>
            </w:pPr>
          </w:p>
          <w:p w:rsidR="009D1580" w:rsidRDefault="009D1580"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noProof/>
              </w:rPr>
            </w:pPr>
          </w:p>
          <w:p w:rsidR="00EE7DE5" w:rsidRDefault="002D50DA"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noProof/>
              </w:rPr>
            </w:pPr>
            <w:r>
              <w:rPr>
                <w:noProof/>
                <w:lang w:val="en-US"/>
              </w:rPr>
              <w:drawing>
                <wp:anchor distT="0" distB="0" distL="114300" distR="114300" simplePos="0" relativeHeight="251660289" behindDoc="0" locked="0" layoutInCell="1" allowOverlap="1" wp14:anchorId="521E528E" wp14:editId="7051F204">
                  <wp:simplePos x="0" y="0"/>
                  <wp:positionH relativeFrom="column">
                    <wp:posOffset>0</wp:posOffset>
                  </wp:positionH>
                  <wp:positionV relativeFrom="paragraph">
                    <wp:posOffset>130810</wp:posOffset>
                  </wp:positionV>
                  <wp:extent cx="5952490" cy="32251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52490" cy="3225165"/>
                          </a:xfrm>
                          <a:prstGeom prst="rect">
                            <a:avLst/>
                          </a:prstGeom>
                        </pic:spPr>
                      </pic:pic>
                    </a:graphicData>
                  </a:graphic>
                  <wp14:sizeRelH relativeFrom="page">
                    <wp14:pctWidth>0</wp14:pctWidth>
                  </wp14:sizeRelH>
                  <wp14:sizeRelV relativeFrom="page">
                    <wp14:pctHeight>0</wp14:pctHeight>
                  </wp14:sizeRelV>
                </wp:anchor>
              </w:drawing>
            </w:r>
          </w:p>
          <w:p w:rsidR="00EE7DE5" w:rsidRDefault="00EE7DE5"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noProof/>
              </w:rPr>
            </w:pPr>
          </w:p>
          <w:p w:rsidR="00EE7DE5" w:rsidRDefault="00EE7DE5" w:rsidP="009D1580">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360" w:right="540"/>
              <w:rPr>
                <w:noProof/>
              </w:rPr>
            </w:pPr>
          </w:p>
          <w:p w:rsidR="00B95A86" w:rsidRPr="00F472DC" w:rsidRDefault="00B95A86" w:rsidP="00F472DC">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F472DC">
              <w:rPr>
                <w:rFonts w:eastAsia="MS Mincho"/>
                <w:spacing w:val="0"/>
                <w:w w:val="100"/>
                <w:kern w:val="0"/>
                <w:lang w:val="en-US" w:eastAsia="ja-JP"/>
              </w:rPr>
              <w:t xml:space="preserve">The following considerations are also </w:t>
            </w:r>
            <w:proofErr w:type="gramStart"/>
            <w:r w:rsidRPr="00F472DC">
              <w:rPr>
                <w:rFonts w:eastAsia="MS Mincho"/>
                <w:spacing w:val="0"/>
                <w:w w:val="100"/>
                <w:kern w:val="0"/>
                <w:lang w:val="en-US" w:eastAsia="ja-JP"/>
              </w:rPr>
              <w:t>taken into account</w:t>
            </w:r>
            <w:proofErr w:type="gramEnd"/>
            <w:r w:rsidRPr="00F472DC">
              <w:rPr>
                <w:rFonts w:eastAsia="MS Mincho"/>
                <w:spacing w:val="0"/>
                <w:w w:val="100"/>
                <w:kern w:val="0"/>
                <w:lang w:val="en-US" w:eastAsia="ja-JP"/>
              </w:rPr>
              <w:t>:</w:t>
            </w:r>
          </w:p>
          <w:p w:rsidR="00B95A86" w:rsidRPr="0007356B" w:rsidRDefault="00B95A86" w:rsidP="00BF407B">
            <w:pPr>
              <w:pStyle w:val="DualTxt"/>
              <w:numPr>
                <w:ilvl w:val="4"/>
                <w:numId w:val="1"/>
              </w:numPr>
              <w:tabs>
                <w:tab w:val="clear" w:pos="960"/>
                <w:tab w:val="clear" w:pos="1915"/>
                <w:tab w:val="clear" w:pos="2405"/>
                <w:tab w:val="left" w:pos="900"/>
                <w:tab w:val="left" w:pos="990"/>
                <w:tab w:val="left" w:pos="1260"/>
                <w:tab w:val="left" w:pos="1620"/>
                <w:tab w:val="left" w:pos="8820"/>
              </w:tabs>
              <w:spacing w:after="60" w:line="240" w:lineRule="auto"/>
              <w:ind w:right="547"/>
              <w:rPr>
                <w:b w:val="0"/>
                <w:bCs w:val="0"/>
                <w:snapToGrid w:val="0"/>
                <w:sz w:val="20"/>
                <w:szCs w:val="20"/>
              </w:rPr>
            </w:pPr>
            <w:r w:rsidRPr="0007356B">
              <w:rPr>
                <w:b w:val="0"/>
                <w:bCs w:val="0"/>
                <w:snapToGrid w:val="0"/>
                <w:sz w:val="20"/>
                <w:szCs w:val="20"/>
              </w:rPr>
              <w:t>The transparency, general acceptability, reliability, consistency and availability of the data used in the distribution model have been key factors in the continuous use of GNI per capita and population data as the main criteria on which the methodology is based;</w:t>
            </w:r>
          </w:p>
          <w:p w:rsidR="00B95A86" w:rsidRPr="0007356B" w:rsidRDefault="00B95A86" w:rsidP="00BF407B">
            <w:pPr>
              <w:pStyle w:val="DualTxt"/>
              <w:numPr>
                <w:ilvl w:val="4"/>
                <w:numId w:val="1"/>
              </w:numPr>
              <w:tabs>
                <w:tab w:val="clear" w:pos="960"/>
                <w:tab w:val="clear" w:pos="1915"/>
                <w:tab w:val="clear" w:pos="2405"/>
                <w:tab w:val="left" w:pos="900"/>
                <w:tab w:val="left" w:pos="990"/>
                <w:tab w:val="left" w:pos="1260"/>
                <w:tab w:val="left" w:pos="1620"/>
                <w:tab w:val="left" w:pos="8820"/>
              </w:tabs>
              <w:spacing w:after="60" w:line="240" w:lineRule="auto"/>
              <w:ind w:right="547"/>
              <w:rPr>
                <w:b w:val="0"/>
                <w:bCs w:val="0"/>
                <w:snapToGrid w:val="0"/>
                <w:sz w:val="20"/>
                <w:szCs w:val="20"/>
              </w:rPr>
            </w:pPr>
            <w:r w:rsidRPr="0007356B">
              <w:rPr>
                <w:b w:val="0"/>
                <w:bCs w:val="0"/>
                <w:snapToGrid w:val="0"/>
                <w:sz w:val="20"/>
                <w:szCs w:val="20"/>
              </w:rPr>
              <w:t>The universal nature of UNDP operations is reflected in special arrangements for higher-income countries. Once a certain graduating level is achieved, they can continue to participate in UNDP programmes as net contributor countries;</w:t>
            </w:r>
          </w:p>
          <w:p w:rsidR="00B95A86" w:rsidRPr="0007356B" w:rsidRDefault="00B95A86" w:rsidP="00BF407B">
            <w:pPr>
              <w:pStyle w:val="DualTxt"/>
              <w:numPr>
                <w:ilvl w:val="4"/>
                <w:numId w:val="1"/>
              </w:numPr>
              <w:tabs>
                <w:tab w:val="clear" w:pos="960"/>
                <w:tab w:val="clear" w:pos="1915"/>
                <w:tab w:val="clear" w:pos="2405"/>
                <w:tab w:val="left" w:pos="900"/>
                <w:tab w:val="left" w:pos="990"/>
                <w:tab w:val="left" w:pos="1260"/>
                <w:tab w:val="left" w:pos="1620"/>
                <w:tab w:val="left" w:pos="8820"/>
              </w:tabs>
              <w:spacing w:after="60" w:line="240" w:lineRule="auto"/>
              <w:ind w:right="547"/>
              <w:rPr>
                <w:b w:val="0"/>
                <w:bCs w:val="0"/>
                <w:snapToGrid w:val="0"/>
                <w:sz w:val="20"/>
                <w:szCs w:val="20"/>
              </w:rPr>
            </w:pPr>
            <w:r>
              <w:rPr>
                <w:b w:val="0"/>
                <w:bCs w:val="0"/>
                <w:snapToGrid w:val="0"/>
                <w:sz w:val="20"/>
                <w:szCs w:val="20"/>
              </w:rPr>
              <w:t>R</w:t>
            </w:r>
            <w:r w:rsidRPr="0007356B">
              <w:rPr>
                <w:b w:val="0"/>
                <w:bCs w:val="0"/>
                <w:snapToGrid w:val="0"/>
                <w:sz w:val="20"/>
                <w:szCs w:val="20"/>
              </w:rPr>
              <w:t xml:space="preserve">ecognition that </w:t>
            </w:r>
            <w:r>
              <w:rPr>
                <w:b w:val="0"/>
                <w:bCs w:val="0"/>
                <w:snapToGrid w:val="0"/>
                <w:sz w:val="20"/>
                <w:szCs w:val="20"/>
              </w:rPr>
              <w:t>the</w:t>
            </w:r>
            <w:r w:rsidRPr="0007356B">
              <w:rPr>
                <w:b w:val="0"/>
                <w:bCs w:val="0"/>
                <w:snapToGrid w:val="0"/>
                <w:sz w:val="20"/>
                <w:szCs w:val="20"/>
              </w:rPr>
              <w:t xml:space="preserve"> development </w:t>
            </w:r>
            <w:r>
              <w:rPr>
                <w:b w:val="0"/>
                <w:bCs w:val="0"/>
                <w:snapToGrid w:val="0"/>
                <w:sz w:val="20"/>
                <w:szCs w:val="20"/>
              </w:rPr>
              <w:t xml:space="preserve">of a country </w:t>
            </w:r>
            <w:r w:rsidRPr="0007356B">
              <w:rPr>
                <w:b w:val="0"/>
                <w:bCs w:val="0"/>
                <w:snapToGrid w:val="0"/>
                <w:sz w:val="20"/>
                <w:szCs w:val="20"/>
              </w:rPr>
              <w:t>takes place in a continuum, which makes it desirable to avoid abrupt reductions in the level of UNDP cooperation from one programme period to the next</w:t>
            </w:r>
            <w:r>
              <w:rPr>
                <w:b w:val="0"/>
                <w:bCs w:val="0"/>
                <w:snapToGrid w:val="0"/>
                <w:sz w:val="20"/>
                <w:szCs w:val="20"/>
              </w:rPr>
              <w:t>,</w:t>
            </w:r>
            <w:r w:rsidRPr="0007356B">
              <w:rPr>
                <w:b w:val="0"/>
                <w:bCs w:val="0"/>
                <w:snapToGrid w:val="0"/>
                <w:sz w:val="20"/>
                <w:szCs w:val="20"/>
              </w:rPr>
              <w:t xml:space="preserve"> is reflected in the floor/predictability principle. </w:t>
            </w:r>
            <w:r>
              <w:rPr>
                <w:b w:val="0"/>
                <w:bCs w:val="0"/>
                <w:snapToGrid w:val="0"/>
                <w:sz w:val="20"/>
                <w:szCs w:val="20"/>
              </w:rPr>
              <w:t>T</w:t>
            </w:r>
            <w:r w:rsidRPr="0007356B">
              <w:rPr>
                <w:b w:val="0"/>
                <w:bCs w:val="0"/>
                <w:snapToGrid w:val="0"/>
                <w:sz w:val="20"/>
                <w:szCs w:val="20"/>
              </w:rPr>
              <w:t xml:space="preserve">he current methodology guarantees that </w:t>
            </w:r>
            <w:r>
              <w:rPr>
                <w:b w:val="0"/>
                <w:bCs w:val="0"/>
                <w:snapToGrid w:val="0"/>
                <w:sz w:val="20"/>
                <w:szCs w:val="20"/>
              </w:rPr>
              <w:t>the</w:t>
            </w:r>
            <w:r w:rsidRPr="0007356B">
              <w:rPr>
                <w:b w:val="0"/>
                <w:bCs w:val="0"/>
                <w:snapToGrid w:val="0"/>
                <w:sz w:val="20"/>
                <w:szCs w:val="20"/>
              </w:rPr>
              <w:t xml:space="preserve"> earmarking </w:t>
            </w:r>
            <w:r>
              <w:rPr>
                <w:b w:val="0"/>
                <w:bCs w:val="0"/>
                <w:snapToGrid w:val="0"/>
                <w:sz w:val="20"/>
                <w:szCs w:val="20"/>
              </w:rPr>
              <w:t xml:space="preserve">for a country </w:t>
            </w:r>
            <w:r w:rsidRPr="0007356B">
              <w:rPr>
                <w:b w:val="0"/>
                <w:bCs w:val="0"/>
                <w:snapToGrid w:val="0"/>
                <w:sz w:val="20"/>
                <w:szCs w:val="20"/>
              </w:rPr>
              <w:t>will be at least a certain percentage of its TRAC-1 earmarking of the previous period, subject to certain conditions;</w:t>
            </w:r>
            <w:r>
              <w:rPr>
                <w:b w:val="0"/>
                <w:bCs w:val="0"/>
                <w:snapToGrid w:val="0"/>
                <w:sz w:val="20"/>
                <w:szCs w:val="20"/>
              </w:rPr>
              <w:t xml:space="preserve"> and</w:t>
            </w:r>
          </w:p>
          <w:p w:rsidR="008365FE" w:rsidRDefault="00B95A86" w:rsidP="00BF407B">
            <w:pPr>
              <w:pStyle w:val="DualTxt"/>
              <w:numPr>
                <w:ilvl w:val="4"/>
                <w:numId w:val="1"/>
              </w:numPr>
              <w:tabs>
                <w:tab w:val="clear" w:pos="960"/>
                <w:tab w:val="clear" w:pos="1915"/>
                <w:tab w:val="clear" w:pos="2405"/>
                <w:tab w:val="left" w:pos="900"/>
                <w:tab w:val="left" w:pos="990"/>
                <w:tab w:val="left" w:pos="1260"/>
                <w:tab w:val="left" w:pos="1620"/>
                <w:tab w:val="left" w:pos="8820"/>
              </w:tabs>
              <w:spacing w:line="200" w:lineRule="exact"/>
              <w:ind w:right="540"/>
              <w:rPr>
                <w:b w:val="0"/>
                <w:i/>
                <w:sz w:val="20"/>
                <w:szCs w:val="20"/>
              </w:rPr>
            </w:pPr>
            <w:r w:rsidRPr="0007356B">
              <w:rPr>
                <w:b w:val="0"/>
                <w:bCs w:val="0"/>
                <w:snapToGrid w:val="0"/>
                <w:sz w:val="20"/>
                <w:szCs w:val="20"/>
              </w:rPr>
              <w:t>The need for at least a minimum amount of working capital to provide effective</w:t>
            </w:r>
            <w:r>
              <w:rPr>
                <w:b w:val="0"/>
                <w:bCs w:val="0"/>
                <w:snapToGrid w:val="0"/>
                <w:sz w:val="20"/>
                <w:szCs w:val="20"/>
              </w:rPr>
              <w:t>,</w:t>
            </w:r>
            <w:r w:rsidRPr="0007356B">
              <w:rPr>
                <w:b w:val="0"/>
                <w:bCs w:val="0"/>
                <w:snapToGrid w:val="0"/>
                <w:sz w:val="20"/>
                <w:szCs w:val="20"/>
              </w:rPr>
              <w:t xml:space="preserve"> timely support to programme countries in their development efforts in the UNDP areas of focus and to leverage additional resources. This is reflected in the minimum TRAC-1 allocation provision according to which each non-NCC programme country is guaranteed a minimum TRAC 1 allocation.</w:t>
            </w:r>
            <w:r w:rsidR="0089533D">
              <w:rPr>
                <w:b w:val="0"/>
                <w:bCs w:val="0"/>
                <w:snapToGrid w:val="0"/>
                <w:sz w:val="20"/>
                <w:szCs w:val="20"/>
              </w:rPr>
              <w:t xml:space="preserve"> Below diagram illustrates the TRAC-1 amounts.</w:t>
            </w:r>
            <w:r w:rsidR="00F662B2" w:rsidRPr="00F662B2">
              <w:rPr>
                <w:b w:val="0"/>
                <w:bCs w:val="0"/>
                <w:snapToGrid w:val="0"/>
                <w:sz w:val="20"/>
                <w:szCs w:val="20"/>
              </w:rPr>
              <w:t xml:space="preserve"> </w:t>
            </w:r>
          </w:p>
          <w:p w:rsidR="008365FE" w:rsidRDefault="008365FE" w:rsidP="008365FE">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i/>
                <w:sz w:val="20"/>
                <w:szCs w:val="20"/>
              </w:rPr>
            </w:pPr>
          </w:p>
          <w:p w:rsidR="006865E1" w:rsidRDefault="006865E1" w:rsidP="008365FE">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i/>
                <w:sz w:val="20"/>
                <w:szCs w:val="20"/>
              </w:rPr>
            </w:pPr>
          </w:p>
          <w:p w:rsidR="006865E1" w:rsidRPr="008365FE" w:rsidRDefault="006865E1" w:rsidP="008365FE">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i/>
                <w:sz w:val="20"/>
                <w:szCs w:val="20"/>
              </w:rPr>
            </w:pPr>
          </w:p>
          <w:tbl>
            <w:tblPr>
              <w:tblStyle w:val="TableGrid"/>
              <w:tblW w:w="0" w:type="auto"/>
              <w:tblLayout w:type="fixed"/>
              <w:tblLook w:val="04A0" w:firstRow="1" w:lastRow="0" w:firstColumn="1" w:lastColumn="0" w:noHBand="0" w:noVBand="1"/>
            </w:tblPr>
            <w:tblGrid>
              <w:gridCol w:w="3121"/>
              <w:gridCol w:w="3121"/>
              <w:gridCol w:w="3122"/>
            </w:tblGrid>
            <w:tr w:rsidR="00F662B2" w:rsidRPr="00F662B2" w:rsidTr="00F662B2">
              <w:tc>
                <w:tcPr>
                  <w:tcW w:w="3121" w:type="dxa"/>
                  <w:vMerge w:val="restart"/>
                  <w:shd w:val="clear" w:color="auto" w:fill="DEEAF6" w:themeFill="accent1" w:themeFillTint="33"/>
                </w:tcPr>
                <w:p w:rsidR="00F662B2" w:rsidRPr="00F662B2" w:rsidRDefault="00F662B2" w:rsidP="00F662B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Cs w:val="0"/>
                      <w:snapToGrid w:val="0"/>
                      <w:sz w:val="20"/>
                      <w:szCs w:val="20"/>
                    </w:rPr>
                  </w:pPr>
                  <w:r w:rsidRPr="00F662B2">
                    <w:rPr>
                      <w:bCs w:val="0"/>
                      <w:snapToGrid w:val="0"/>
                      <w:sz w:val="20"/>
                      <w:szCs w:val="20"/>
                    </w:rPr>
                    <w:t>Income category / LDC status</w:t>
                  </w:r>
                </w:p>
              </w:tc>
              <w:tc>
                <w:tcPr>
                  <w:tcW w:w="6243" w:type="dxa"/>
                  <w:gridSpan w:val="2"/>
                  <w:shd w:val="clear" w:color="auto" w:fill="DEEAF6" w:themeFill="accent1" w:themeFillTint="33"/>
                </w:tcPr>
                <w:p w:rsidR="00F662B2" w:rsidRPr="00F662B2" w:rsidRDefault="00F662B2" w:rsidP="00F662B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Cs w:val="0"/>
                      <w:snapToGrid w:val="0"/>
                      <w:sz w:val="20"/>
                      <w:szCs w:val="20"/>
                    </w:rPr>
                  </w:pPr>
                  <w:r w:rsidRPr="00F662B2">
                    <w:rPr>
                      <w:bCs w:val="0"/>
                      <w:snapToGrid w:val="0"/>
                      <w:sz w:val="20"/>
                      <w:szCs w:val="20"/>
                    </w:rPr>
                    <w:t>Country office presence</w:t>
                  </w:r>
                </w:p>
              </w:tc>
            </w:tr>
            <w:tr w:rsidR="00F662B2" w:rsidRPr="00F662B2" w:rsidTr="00F662B2">
              <w:tc>
                <w:tcPr>
                  <w:tcW w:w="3121" w:type="dxa"/>
                  <w:vMerge/>
                  <w:shd w:val="clear" w:color="auto" w:fill="DEEAF6" w:themeFill="accent1" w:themeFillTint="33"/>
                </w:tcPr>
                <w:p w:rsidR="00F662B2" w:rsidRPr="00F662B2" w:rsidRDefault="00F662B2" w:rsidP="00F662B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Cs w:val="0"/>
                      <w:snapToGrid w:val="0"/>
                      <w:sz w:val="20"/>
                      <w:szCs w:val="20"/>
                    </w:rPr>
                  </w:pPr>
                </w:p>
              </w:tc>
              <w:tc>
                <w:tcPr>
                  <w:tcW w:w="3121" w:type="dxa"/>
                  <w:shd w:val="clear" w:color="auto" w:fill="DEEAF6" w:themeFill="accent1" w:themeFillTint="33"/>
                </w:tcPr>
                <w:p w:rsidR="00F662B2" w:rsidRP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Cs w:val="0"/>
                      <w:snapToGrid w:val="0"/>
                      <w:sz w:val="20"/>
                      <w:szCs w:val="20"/>
                    </w:rPr>
                  </w:pPr>
                  <w:r w:rsidRPr="00F662B2">
                    <w:rPr>
                      <w:bCs w:val="0"/>
                      <w:snapToGrid w:val="0"/>
                      <w:sz w:val="20"/>
                      <w:szCs w:val="20"/>
                    </w:rPr>
                    <w:t>Yes</w:t>
                  </w:r>
                </w:p>
              </w:tc>
              <w:tc>
                <w:tcPr>
                  <w:tcW w:w="3122" w:type="dxa"/>
                  <w:shd w:val="clear" w:color="auto" w:fill="DEEAF6" w:themeFill="accent1" w:themeFillTint="33"/>
                </w:tcPr>
                <w:p w:rsidR="00F662B2" w:rsidRP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Cs w:val="0"/>
                      <w:snapToGrid w:val="0"/>
                      <w:sz w:val="20"/>
                      <w:szCs w:val="20"/>
                    </w:rPr>
                  </w:pPr>
                  <w:r w:rsidRPr="00F662B2">
                    <w:rPr>
                      <w:bCs w:val="0"/>
                      <w:snapToGrid w:val="0"/>
                      <w:sz w:val="20"/>
                      <w:szCs w:val="20"/>
                    </w:rPr>
                    <w:t>No</w:t>
                  </w:r>
                  <w:r w:rsidR="00141082">
                    <w:rPr>
                      <w:bCs w:val="0"/>
                      <w:snapToGrid w:val="0"/>
                      <w:sz w:val="20"/>
                      <w:szCs w:val="20"/>
                    </w:rPr>
                    <w:t xml:space="preserve"> (</w:t>
                  </w:r>
                  <w:r w:rsidR="00141082" w:rsidRPr="00141082">
                    <w:rPr>
                      <w:b w:val="0"/>
                      <w:bCs w:val="0"/>
                      <w:i/>
                      <w:snapToGrid w:val="0"/>
                      <w:sz w:val="20"/>
                      <w:szCs w:val="20"/>
                    </w:rPr>
                    <w:t xml:space="preserve">applies </w:t>
                  </w:r>
                  <w:r w:rsidR="00F132C8">
                    <w:rPr>
                      <w:b w:val="0"/>
                      <w:bCs w:val="0"/>
                      <w:i/>
                      <w:snapToGrid w:val="0"/>
                      <w:sz w:val="20"/>
                      <w:szCs w:val="20"/>
                    </w:rPr>
                    <w:t>to programme countries without a CO, with</w:t>
                  </w:r>
                  <w:r w:rsidR="00141082" w:rsidRPr="00141082">
                    <w:rPr>
                      <w:b w:val="0"/>
                      <w:bCs w:val="0"/>
                      <w:i/>
                      <w:snapToGrid w:val="0"/>
                      <w:sz w:val="20"/>
                      <w:szCs w:val="20"/>
                    </w:rPr>
                    <w:t>in multi-country office contexts</w:t>
                  </w:r>
                  <w:r w:rsidR="00141082">
                    <w:rPr>
                      <w:bCs w:val="0"/>
                      <w:snapToGrid w:val="0"/>
                      <w:sz w:val="20"/>
                      <w:szCs w:val="20"/>
                    </w:rPr>
                    <w:t>)</w:t>
                  </w:r>
                </w:p>
              </w:tc>
            </w:tr>
            <w:tr w:rsidR="00F662B2" w:rsidTr="00F662B2">
              <w:tc>
                <w:tcPr>
                  <w:tcW w:w="3121" w:type="dxa"/>
                </w:tcPr>
                <w:p w:rsidR="00F662B2" w:rsidRDefault="00F662B2" w:rsidP="0089533D">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bCs w:val="0"/>
                      <w:snapToGrid w:val="0"/>
                      <w:sz w:val="20"/>
                      <w:szCs w:val="20"/>
                    </w:rPr>
                  </w:pPr>
                  <w:r>
                    <w:rPr>
                      <w:b w:val="0"/>
                      <w:bCs w:val="0"/>
                      <w:snapToGrid w:val="0"/>
                      <w:sz w:val="20"/>
                      <w:szCs w:val="20"/>
                    </w:rPr>
                    <w:t>Transitional middle-income/low-income/LDC</w:t>
                  </w:r>
                </w:p>
              </w:tc>
              <w:tc>
                <w:tcPr>
                  <w:tcW w:w="3121"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$450,000</w:t>
                  </w:r>
                </w:p>
              </w:tc>
              <w:tc>
                <w:tcPr>
                  <w:tcW w:w="3122"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$50,000</w:t>
                  </w:r>
                </w:p>
              </w:tc>
            </w:tr>
            <w:tr w:rsidR="00F662B2" w:rsidTr="00F662B2">
              <w:tc>
                <w:tcPr>
                  <w:tcW w:w="3121" w:type="dxa"/>
                </w:tcPr>
                <w:p w:rsidR="00F662B2" w:rsidRDefault="00F662B2" w:rsidP="0089533D">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bCs w:val="0"/>
                      <w:snapToGrid w:val="0"/>
                      <w:sz w:val="20"/>
                      <w:szCs w:val="20"/>
                    </w:rPr>
                  </w:pPr>
                  <w:r>
                    <w:rPr>
                      <w:b w:val="0"/>
                      <w:bCs w:val="0"/>
                      <w:snapToGrid w:val="0"/>
                      <w:sz w:val="20"/>
                      <w:szCs w:val="20"/>
                    </w:rPr>
                    <w:t xml:space="preserve">Middle-income with GNI/capita </w:t>
                  </w:r>
                  <w:r w:rsidRPr="00141082">
                    <w:rPr>
                      <w:bCs w:val="0"/>
                      <w:snapToGrid w:val="0"/>
                      <w:sz w:val="20"/>
                      <w:szCs w:val="20"/>
                      <w:u w:val="single"/>
                    </w:rPr>
                    <w:t>below</w:t>
                  </w:r>
                  <w:r>
                    <w:rPr>
                      <w:b w:val="0"/>
                      <w:bCs w:val="0"/>
                      <w:snapToGrid w:val="0"/>
                      <w:sz w:val="20"/>
                      <w:szCs w:val="20"/>
                    </w:rPr>
                    <w:t xml:space="preserve"> $6,660</w:t>
                  </w:r>
                </w:p>
              </w:tc>
              <w:tc>
                <w:tcPr>
                  <w:tcW w:w="3121"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$350,000</w:t>
                  </w:r>
                </w:p>
              </w:tc>
              <w:tc>
                <w:tcPr>
                  <w:tcW w:w="3122"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$50,000</w:t>
                  </w:r>
                </w:p>
              </w:tc>
            </w:tr>
            <w:tr w:rsidR="00F662B2" w:rsidTr="00F662B2">
              <w:tc>
                <w:tcPr>
                  <w:tcW w:w="3121" w:type="dxa"/>
                </w:tcPr>
                <w:p w:rsidR="00F662B2" w:rsidRDefault="00F662B2" w:rsidP="0089533D">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bCs w:val="0"/>
                      <w:snapToGrid w:val="0"/>
                      <w:sz w:val="20"/>
                      <w:szCs w:val="20"/>
                    </w:rPr>
                  </w:pPr>
                  <w:r>
                    <w:rPr>
                      <w:b w:val="0"/>
                      <w:bCs w:val="0"/>
                      <w:snapToGrid w:val="0"/>
                      <w:sz w:val="20"/>
                      <w:szCs w:val="20"/>
                    </w:rPr>
                    <w:t xml:space="preserve">Middle-income with GNI/capita </w:t>
                  </w:r>
                  <w:r w:rsidRPr="00141082">
                    <w:rPr>
                      <w:bCs w:val="0"/>
                      <w:snapToGrid w:val="0"/>
                      <w:sz w:val="20"/>
                      <w:szCs w:val="20"/>
                      <w:u w:val="single"/>
                    </w:rPr>
                    <w:t>above</w:t>
                  </w:r>
                  <w:r>
                    <w:rPr>
                      <w:b w:val="0"/>
                      <w:bCs w:val="0"/>
                      <w:snapToGrid w:val="0"/>
                      <w:sz w:val="20"/>
                      <w:szCs w:val="20"/>
                    </w:rPr>
                    <w:t xml:space="preserve"> $6,660</w:t>
                  </w:r>
                </w:p>
              </w:tc>
              <w:tc>
                <w:tcPr>
                  <w:tcW w:w="3121"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$150,000</w:t>
                  </w:r>
                </w:p>
              </w:tc>
              <w:tc>
                <w:tcPr>
                  <w:tcW w:w="3122" w:type="dxa"/>
                </w:tcPr>
                <w:p w:rsidR="00F662B2" w:rsidRDefault="00F662B2" w:rsidP="00141082">
                  <w:pPr>
                    <w:pStyle w:val="DualTxt"/>
                    <w:tabs>
                      <w:tab w:val="clear" w:pos="960"/>
                      <w:tab w:val="clear" w:pos="1915"/>
                      <w:tab w:val="clear" w:pos="2405"/>
                      <w:tab w:val="left" w:pos="900"/>
                      <w:tab w:val="left" w:pos="990"/>
                      <w:tab w:val="left" w:pos="1260"/>
                      <w:tab w:val="left" w:pos="1620"/>
                      <w:tab w:val="left" w:pos="8820"/>
                    </w:tabs>
                    <w:spacing w:line="200" w:lineRule="exact"/>
                    <w:ind w:right="540"/>
                    <w:jc w:val="center"/>
                    <w:rPr>
                      <w:b w:val="0"/>
                      <w:bCs w:val="0"/>
                      <w:snapToGrid w:val="0"/>
                      <w:sz w:val="20"/>
                      <w:szCs w:val="20"/>
                    </w:rPr>
                  </w:pPr>
                  <w:r>
                    <w:rPr>
                      <w:b w:val="0"/>
                      <w:bCs w:val="0"/>
                      <w:snapToGrid w:val="0"/>
                      <w:sz w:val="20"/>
                      <w:szCs w:val="20"/>
                    </w:rPr>
                    <w:t>$50,000</w:t>
                  </w:r>
                </w:p>
              </w:tc>
            </w:tr>
          </w:tbl>
          <w:p w:rsidR="0089533D" w:rsidRPr="00141082" w:rsidRDefault="0089533D" w:rsidP="0089533D">
            <w:pPr>
              <w:pStyle w:val="DualTxt"/>
              <w:tabs>
                <w:tab w:val="clear" w:pos="960"/>
                <w:tab w:val="clear" w:pos="1915"/>
                <w:tab w:val="clear" w:pos="2405"/>
                <w:tab w:val="left" w:pos="900"/>
                <w:tab w:val="left" w:pos="990"/>
                <w:tab w:val="left" w:pos="1260"/>
                <w:tab w:val="left" w:pos="1620"/>
                <w:tab w:val="left" w:pos="8820"/>
              </w:tabs>
              <w:spacing w:line="200" w:lineRule="exact"/>
              <w:ind w:right="540"/>
              <w:rPr>
                <w:b w:val="0"/>
                <w:bCs w:val="0"/>
                <w:snapToGrid w:val="0"/>
                <w:sz w:val="20"/>
                <w:szCs w:val="20"/>
              </w:rPr>
            </w:pPr>
          </w:p>
          <w:p w:rsidR="008365FE" w:rsidRPr="008C7224" w:rsidRDefault="00B95A86" w:rsidP="008C7224">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r w:rsidRPr="0029161C">
              <w:rPr>
                <w:b w:val="0"/>
                <w:bCs w:val="0"/>
                <w:i/>
                <w:iCs/>
                <w:sz w:val="20"/>
                <w:szCs w:val="20"/>
              </w:rPr>
              <w:t>TRAC-1 data</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TRAC-1 distribution model uses World Bank data on population and per capita GNI as the primary criteria. A four-year average of GNI per capita is used (decision 2012/28).</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proofErr w:type="gramStart"/>
            <w:r w:rsidRPr="008C7224">
              <w:rPr>
                <w:rFonts w:eastAsia="MS Mincho"/>
                <w:spacing w:val="0"/>
                <w:w w:val="100"/>
                <w:kern w:val="0"/>
                <w:lang w:val="en-US" w:eastAsia="ja-JP"/>
              </w:rPr>
              <w:t>On the basis of</w:t>
            </w:r>
            <w:proofErr w:type="gramEnd"/>
            <w:r w:rsidRPr="008C7224">
              <w:rPr>
                <w:rFonts w:eastAsia="MS Mincho"/>
                <w:spacing w:val="0"/>
                <w:w w:val="100"/>
                <w:kern w:val="0"/>
                <w:lang w:val="en-US" w:eastAsia="ja-JP"/>
              </w:rPr>
              <w:t xml:space="preserve"> their GNI per capita, countries are grouped into three categories: low income countries (LICs), middle income countries (MICs) and NCCs. In addition, a country may be granted least developed country (LDC) status in accordance with General Assembly resolutions.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TRAC-1 model covers LICs and MICs only. NCCs are considered outside the TRAC-1 model.</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For 2018-2021, with respect to TRAC-1 eligibility and allocations, the following categories of countries apply (decision 2012/28):</w:t>
            </w:r>
          </w:p>
          <w:p w:rsidR="00B95A86" w:rsidRPr="001E1CAF"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60" w:line="240" w:lineRule="auto"/>
              <w:ind w:right="547"/>
              <w:rPr>
                <w:b w:val="0"/>
                <w:bCs w:val="0"/>
                <w:snapToGrid w:val="0"/>
                <w:sz w:val="20"/>
                <w:szCs w:val="20"/>
              </w:rPr>
            </w:pPr>
            <w:r w:rsidRPr="001E1CAF">
              <w:rPr>
                <w:b w:val="0"/>
                <w:bCs w:val="0"/>
                <w:sz w:val="20"/>
                <w:szCs w:val="20"/>
              </w:rPr>
              <w:t>L</w:t>
            </w:r>
            <w:r>
              <w:rPr>
                <w:b w:val="0"/>
                <w:bCs w:val="0"/>
                <w:sz w:val="20"/>
                <w:szCs w:val="20"/>
              </w:rPr>
              <w:t xml:space="preserve">ICs </w:t>
            </w:r>
            <w:r w:rsidRPr="001E1CAF">
              <w:rPr>
                <w:b w:val="0"/>
                <w:bCs w:val="0"/>
                <w:sz w:val="20"/>
                <w:szCs w:val="20"/>
              </w:rPr>
              <w:t>are defined as countries with 20</w:t>
            </w:r>
            <w:r>
              <w:rPr>
                <w:b w:val="0"/>
                <w:bCs w:val="0"/>
                <w:sz w:val="20"/>
                <w:szCs w:val="20"/>
              </w:rPr>
              <w:t>12</w:t>
            </w:r>
            <w:r w:rsidRPr="001E1CAF">
              <w:rPr>
                <w:b w:val="0"/>
                <w:bCs w:val="0"/>
                <w:sz w:val="20"/>
                <w:szCs w:val="20"/>
              </w:rPr>
              <w:t>-201</w:t>
            </w:r>
            <w:r>
              <w:rPr>
                <w:b w:val="0"/>
                <w:bCs w:val="0"/>
                <w:sz w:val="20"/>
                <w:szCs w:val="20"/>
              </w:rPr>
              <w:t>5</w:t>
            </w:r>
            <w:r w:rsidRPr="001E1CAF">
              <w:rPr>
                <w:b w:val="0"/>
                <w:bCs w:val="0"/>
                <w:sz w:val="20"/>
                <w:szCs w:val="20"/>
              </w:rPr>
              <w:t xml:space="preserve"> </w:t>
            </w:r>
            <w:r>
              <w:rPr>
                <w:b w:val="0"/>
                <w:bCs w:val="0"/>
                <w:sz w:val="20"/>
                <w:szCs w:val="20"/>
              </w:rPr>
              <w:t xml:space="preserve">an </w:t>
            </w:r>
            <w:r w:rsidRPr="001E1CAF">
              <w:rPr>
                <w:b w:val="0"/>
                <w:bCs w:val="0"/>
                <w:sz w:val="20"/>
                <w:szCs w:val="20"/>
              </w:rPr>
              <w:t xml:space="preserve">average GNI per capita </w:t>
            </w:r>
            <w:r>
              <w:rPr>
                <w:b w:val="0"/>
                <w:bCs w:val="0"/>
                <w:sz w:val="20"/>
                <w:szCs w:val="20"/>
              </w:rPr>
              <w:t xml:space="preserve">of </w:t>
            </w:r>
            <w:r w:rsidRPr="001E1CAF">
              <w:rPr>
                <w:b w:val="0"/>
                <w:bCs w:val="0"/>
                <w:sz w:val="20"/>
                <w:szCs w:val="20"/>
              </w:rPr>
              <w:t>less than $1,280. These countries will be allocated 85</w:t>
            </w:r>
            <w:r>
              <w:rPr>
                <w:b w:val="0"/>
                <w:bCs w:val="0"/>
                <w:sz w:val="20"/>
                <w:szCs w:val="20"/>
              </w:rPr>
              <w:t xml:space="preserve"> to</w:t>
            </w:r>
            <w:r w:rsidRPr="001E1CAF">
              <w:rPr>
                <w:b w:val="0"/>
                <w:bCs w:val="0"/>
                <w:sz w:val="20"/>
                <w:szCs w:val="20"/>
              </w:rPr>
              <w:t xml:space="preserve"> 91</w:t>
            </w:r>
            <w:r>
              <w:rPr>
                <w:b w:val="0"/>
                <w:bCs w:val="0"/>
                <w:sz w:val="20"/>
                <w:szCs w:val="20"/>
              </w:rPr>
              <w:t xml:space="preserve"> per cent</w:t>
            </w:r>
            <w:r w:rsidRPr="001E1CAF">
              <w:rPr>
                <w:b w:val="0"/>
                <w:bCs w:val="0"/>
                <w:sz w:val="20"/>
                <w:szCs w:val="20"/>
              </w:rPr>
              <w:t xml:space="preserve"> of the TRAC</w:t>
            </w:r>
            <w:r>
              <w:rPr>
                <w:b w:val="0"/>
                <w:bCs w:val="0"/>
                <w:sz w:val="20"/>
                <w:szCs w:val="20"/>
              </w:rPr>
              <w:t>-</w:t>
            </w:r>
            <w:r w:rsidRPr="001E1CAF">
              <w:rPr>
                <w:b w:val="0"/>
                <w:bCs w:val="0"/>
                <w:sz w:val="20"/>
                <w:szCs w:val="20"/>
              </w:rPr>
              <w:t>1 resource pool.</w:t>
            </w:r>
          </w:p>
          <w:p w:rsidR="00B95A86" w:rsidRPr="001E1CAF"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60" w:line="240" w:lineRule="auto"/>
              <w:ind w:right="547"/>
              <w:rPr>
                <w:b w:val="0"/>
                <w:bCs w:val="0"/>
                <w:snapToGrid w:val="0"/>
                <w:sz w:val="20"/>
                <w:szCs w:val="20"/>
              </w:rPr>
            </w:pPr>
            <w:r>
              <w:rPr>
                <w:b w:val="0"/>
                <w:bCs w:val="0"/>
                <w:sz w:val="20"/>
                <w:szCs w:val="20"/>
              </w:rPr>
              <w:t>MIC</w:t>
            </w:r>
            <w:r w:rsidRPr="001E1CAF">
              <w:rPr>
                <w:b w:val="0"/>
                <w:bCs w:val="0"/>
                <w:sz w:val="20"/>
                <w:szCs w:val="20"/>
              </w:rPr>
              <w:t>s are defined as countries with 20</w:t>
            </w:r>
            <w:r>
              <w:rPr>
                <w:b w:val="0"/>
                <w:bCs w:val="0"/>
                <w:sz w:val="20"/>
                <w:szCs w:val="20"/>
              </w:rPr>
              <w:t>12</w:t>
            </w:r>
            <w:r w:rsidRPr="001E1CAF">
              <w:rPr>
                <w:b w:val="0"/>
                <w:bCs w:val="0"/>
                <w:sz w:val="20"/>
                <w:szCs w:val="20"/>
              </w:rPr>
              <w:t>-201</w:t>
            </w:r>
            <w:r>
              <w:rPr>
                <w:b w:val="0"/>
                <w:bCs w:val="0"/>
                <w:sz w:val="20"/>
                <w:szCs w:val="20"/>
              </w:rPr>
              <w:t>5</w:t>
            </w:r>
            <w:r w:rsidRPr="001E1CAF">
              <w:rPr>
                <w:b w:val="0"/>
                <w:bCs w:val="0"/>
                <w:sz w:val="20"/>
                <w:szCs w:val="20"/>
              </w:rPr>
              <w:t xml:space="preserve"> </w:t>
            </w:r>
            <w:r>
              <w:rPr>
                <w:b w:val="0"/>
                <w:bCs w:val="0"/>
                <w:sz w:val="20"/>
                <w:szCs w:val="20"/>
              </w:rPr>
              <w:t xml:space="preserve">an </w:t>
            </w:r>
            <w:r w:rsidRPr="001E1CAF">
              <w:rPr>
                <w:b w:val="0"/>
                <w:bCs w:val="0"/>
                <w:sz w:val="20"/>
                <w:szCs w:val="20"/>
              </w:rPr>
              <w:t xml:space="preserve">average GNI per capita </w:t>
            </w:r>
            <w:r>
              <w:rPr>
                <w:b w:val="0"/>
                <w:bCs w:val="0"/>
                <w:sz w:val="20"/>
                <w:szCs w:val="20"/>
              </w:rPr>
              <w:t xml:space="preserve">of </w:t>
            </w:r>
            <w:r w:rsidRPr="001E1CAF">
              <w:rPr>
                <w:b w:val="0"/>
                <w:bCs w:val="0"/>
                <w:sz w:val="20"/>
                <w:szCs w:val="20"/>
              </w:rPr>
              <w:t>between $1,281 and $12,475. The</w:t>
            </w:r>
            <w:r>
              <w:rPr>
                <w:b w:val="0"/>
                <w:bCs w:val="0"/>
                <w:sz w:val="20"/>
                <w:szCs w:val="20"/>
              </w:rPr>
              <w:t>y</w:t>
            </w:r>
            <w:r w:rsidRPr="001E1CAF">
              <w:rPr>
                <w:b w:val="0"/>
                <w:bCs w:val="0"/>
                <w:sz w:val="20"/>
                <w:szCs w:val="20"/>
              </w:rPr>
              <w:t xml:space="preserve"> will receive 9</w:t>
            </w:r>
            <w:r>
              <w:rPr>
                <w:b w:val="0"/>
                <w:bCs w:val="0"/>
                <w:sz w:val="20"/>
                <w:szCs w:val="20"/>
              </w:rPr>
              <w:t xml:space="preserve"> to</w:t>
            </w:r>
            <w:r w:rsidRPr="001E1CAF">
              <w:rPr>
                <w:b w:val="0"/>
                <w:bCs w:val="0"/>
                <w:sz w:val="20"/>
                <w:szCs w:val="20"/>
              </w:rPr>
              <w:t xml:space="preserve"> 15</w:t>
            </w:r>
            <w:r>
              <w:rPr>
                <w:b w:val="0"/>
                <w:bCs w:val="0"/>
                <w:sz w:val="20"/>
                <w:szCs w:val="20"/>
              </w:rPr>
              <w:t xml:space="preserve"> per cent</w:t>
            </w:r>
            <w:r w:rsidRPr="001E1CAF">
              <w:rPr>
                <w:b w:val="0"/>
                <w:bCs w:val="0"/>
                <w:sz w:val="20"/>
                <w:szCs w:val="20"/>
              </w:rPr>
              <w:t xml:space="preserve"> of the TRAC</w:t>
            </w:r>
            <w:r>
              <w:rPr>
                <w:b w:val="0"/>
                <w:bCs w:val="0"/>
                <w:sz w:val="20"/>
                <w:szCs w:val="20"/>
              </w:rPr>
              <w:t>-</w:t>
            </w:r>
            <w:r w:rsidRPr="001E1CAF">
              <w:rPr>
                <w:b w:val="0"/>
                <w:bCs w:val="0"/>
                <w:sz w:val="20"/>
                <w:szCs w:val="20"/>
              </w:rPr>
              <w:t>1 resource pool.</w:t>
            </w:r>
          </w:p>
          <w:p w:rsidR="00B95A86" w:rsidRPr="001E1CAF"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before="240" w:after="60" w:line="240" w:lineRule="auto"/>
              <w:ind w:right="547"/>
              <w:rPr>
                <w:b w:val="0"/>
                <w:bCs w:val="0"/>
                <w:snapToGrid w:val="0"/>
                <w:sz w:val="20"/>
                <w:szCs w:val="20"/>
              </w:rPr>
            </w:pPr>
            <w:r w:rsidRPr="001E1CAF">
              <w:rPr>
                <w:b w:val="0"/>
                <w:bCs w:val="0"/>
                <w:sz w:val="20"/>
                <w:szCs w:val="20"/>
              </w:rPr>
              <w:t>Transitional NCCs are defined as countries with 20</w:t>
            </w:r>
            <w:r>
              <w:rPr>
                <w:b w:val="0"/>
                <w:bCs w:val="0"/>
                <w:sz w:val="20"/>
                <w:szCs w:val="20"/>
              </w:rPr>
              <w:t>12</w:t>
            </w:r>
            <w:r w:rsidRPr="001E1CAF">
              <w:rPr>
                <w:b w:val="0"/>
                <w:bCs w:val="0"/>
                <w:sz w:val="20"/>
                <w:szCs w:val="20"/>
              </w:rPr>
              <w:t>-201</w:t>
            </w:r>
            <w:r>
              <w:rPr>
                <w:b w:val="0"/>
                <w:bCs w:val="0"/>
                <w:sz w:val="20"/>
                <w:szCs w:val="20"/>
              </w:rPr>
              <w:t>5</w:t>
            </w:r>
            <w:r w:rsidRPr="001E1CAF">
              <w:rPr>
                <w:b w:val="0"/>
                <w:bCs w:val="0"/>
                <w:sz w:val="20"/>
                <w:szCs w:val="20"/>
              </w:rPr>
              <w:t xml:space="preserve"> average GNI per capita greater than $12,475 for the first time (as compared to the </w:t>
            </w:r>
            <w:r>
              <w:rPr>
                <w:b w:val="0"/>
                <w:bCs w:val="0"/>
                <w:sz w:val="20"/>
                <w:szCs w:val="20"/>
              </w:rPr>
              <w:t>previous</w:t>
            </w:r>
            <w:r w:rsidRPr="001E1CAF">
              <w:rPr>
                <w:b w:val="0"/>
                <w:bCs w:val="0"/>
                <w:sz w:val="20"/>
                <w:szCs w:val="20"/>
              </w:rPr>
              <w:t xml:space="preserve"> </w:t>
            </w:r>
            <w:r w:rsidR="00377672">
              <w:rPr>
                <w:b w:val="0"/>
                <w:bCs w:val="0"/>
                <w:sz w:val="20"/>
                <w:szCs w:val="20"/>
              </w:rPr>
              <w:t>I</w:t>
            </w:r>
            <w:r>
              <w:rPr>
                <w:b w:val="0"/>
                <w:bCs w:val="0"/>
                <w:sz w:val="20"/>
                <w:szCs w:val="20"/>
              </w:rPr>
              <w:t xml:space="preserve">ntegrated </w:t>
            </w:r>
            <w:r w:rsidR="00377672">
              <w:rPr>
                <w:b w:val="0"/>
                <w:bCs w:val="0"/>
                <w:sz w:val="20"/>
                <w:szCs w:val="20"/>
              </w:rPr>
              <w:t>B</w:t>
            </w:r>
            <w:r>
              <w:rPr>
                <w:b w:val="0"/>
                <w:bCs w:val="0"/>
                <w:sz w:val="20"/>
                <w:szCs w:val="20"/>
              </w:rPr>
              <w:t>udget period 2014-2017</w:t>
            </w:r>
            <w:r w:rsidRPr="001E1CAF">
              <w:rPr>
                <w:b w:val="0"/>
                <w:bCs w:val="0"/>
                <w:sz w:val="20"/>
                <w:szCs w:val="20"/>
              </w:rPr>
              <w:t xml:space="preserve">). </w:t>
            </w:r>
            <w:r>
              <w:rPr>
                <w:b w:val="0"/>
                <w:bCs w:val="0"/>
                <w:sz w:val="20"/>
                <w:szCs w:val="20"/>
              </w:rPr>
              <w:t>They</w:t>
            </w:r>
            <w:r w:rsidRPr="001E1CAF">
              <w:rPr>
                <w:b w:val="0"/>
                <w:bCs w:val="0"/>
                <w:sz w:val="20"/>
                <w:szCs w:val="20"/>
              </w:rPr>
              <w:t xml:space="preserve"> will continue to receive TRAC</w:t>
            </w:r>
            <w:r>
              <w:rPr>
                <w:b w:val="0"/>
                <w:bCs w:val="0"/>
                <w:sz w:val="20"/>
                <w:szCs w:val="20"/>
              </w:rPr>
              <w:t>-</w:t>
            </w:r>
            <w:r w:rsidRPr="001E1CAF">
              <w:rPr>
                <w:b w:val="0"/>
                <w:bCs w:val="0"/>
                <w:sz w:val="20"/>
                <w:szCs w:val="20"/>
              </w:rPr>
              <w:t xml:space="preserve">1 resource allocations in the first two-years of the </w:t>
            </w:r>
            <w:r w:rsidR="00377672">
              <w:rPr>
                <w:b w:val="0"/>
                <w:bCs w:val="0"/>
                <w:sz w:val="20"/>
                <w:szCs w:val="20"/>
              </w:rPr>
              <w:t>I</w:t>
            </w:r>
            <w:r w:rsidRPr="001E1CAF">
              <w:rPr>
                <w:b w:val="0"/>
                <w:bCs w:val="0"/>
                <w:sz w:val="20"/>
                <w:szCs w:val="20"/>
              </w:rPr>
              <w:t xml:space="preserve">ntegrated </w:t>
            </w:r>
            <w:r w:rsidR="00377672">
              <w:rPr>
                <w:b w:val="0"/>
                <w:bCs w:val="0"/>
                <w:sz w:val="20"/>
                <w:szCs w:val="20"/>
              </w:rPr>
              <w:t>B</w:t>
            </w:r>
            <w:r w:rsidRPr="001E1CAF">
              <w:rPr>
                <w:b w:val="0"/>
                <w:bCs w:val="0"/>
                <w:sz w:val="20"/>
                <w:szCs w:val="20"/>
              </w:rPr>
              <w:t>udget period</w:t>
            </w:r>
            <w:r>
              <w:rPr>
                <w:b w:val="0"/>
                <w:bCs w:val="0"/>
                <w:sz w:val="20"/>
                <w:szCs w:val="20"/>
              </w:rPr>
              <w:t xml:space="preserve"> (</w:t>
            </w:r>
            <w:r w:rsidRPr="001E1CAF">
              <w:rPr>
                <w:b w:val="0"/>
                <w:bCs w:val="0"/>
                <w:sz w:val="20"/>
                <w:szCs w:val="20"/>
              </w:rPr>
              <w:t>201</w:t>
            </w:r>
            <w:r>
              <w:rPr>
                <w:b w:val="0"/>
                <w:bCs w:val="0"/>
                <w:sz w:val="20"/>
                <w:szCs w:val="20"/>
              </w:rPr>
              <w:t>8</w:t>
            </w:r>
            <w:r w:rsidRPr="001E1CAF">
              <w:rPr>
                <w:b w:val="0"/>
                <w:bCs w:val="0"/>
                <w:sz w:val="20"/>
                <w:szCs w:val="20"/>
              </w:rPr>
              <w:t>-201</w:t>
            </w:r>
            <w:r>
              <w:rPr>
                <w:b w:val="0"/>
                <w:bCs w:val="0"/>
                <w:sz w:val="20"/>
                <w:szCs w:val="20"/>
              </w:rPr>
              <w:t>9)</w:t>
            </w:r>
            <w:r w:rsidRPr="001E1CAF">
              <w:rPr>
                <w:b w:val="0"/>
                <w:bCs w:val="0"/>
                <w:sz w:val="20"/>
                <w:szCs w:val="20"/>
              </w:rPr>
              <w:t>.</w:t>
            </w:r>
          </w:p>
          <w:p w:rsidR="00B95A86" w:rsidRPr="001E1CAF"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line="200" w:lineRule="exact"/>
              <w:ind w:right="547"/>
              <w:rPr>
                <w:b w:val="0"/>
                <w:bCs w:val="0"/>
                <w:snapToGrid w:val="0"/>
                <w:sz w:val="20"/>
                <w:szCs w:val="20"/>
              </w:rPr>
            </w:pPr>
            <w:r w:rsidRPr="001E1CAF">
              <w:rPr>
                <w:b w:val="0"/>
                <w:bCs w:val="0"/>
                <w:sz w:val="20"/>
                <w:szCs w:val="20"/>
              </w:rPr>
              <w:t>NCCs are defined as countries with 20</w:t>
            </w:r>
            <w:r>
              <w:rPr>
                <w:b w:val="0"/>
                <w:bCs w:val="0"/>
                <w:sz w:val="20"/>
                <w:szCs w:val="20"/>
              </w:rPr>
              <w:t>12</w:t>
            </w:r>
            <w:r w:rsidRPr="001E1CAF">
              <w:rPr>
                <w:b w:val="0"/>
                <w:bCs w:val="0"/>
                <w:sz w:val="20"/>
                <w:szCs w:val="20"/>
              </w:rPr>
              <w:t>-201</w:t>
            </w:r>
            <w:r>
              <w:rPr>
                <w:b w:val="0"/>
                <w:bCs w:val="0"/>
                <w:sz w:val="20"/>
                <w:szCs w:val="20"/>
              </w:rPr>
              <w:t>5</w:t>
            </w:r>
            <w:r w:rsidRPr="001E1CAF">
              <w:rPr>
                <w:b w:val="0"/>
                <w:bCs w:val="0"/>
                <w:sz w:val="20"/>
                <w:szCs w:val="20"/>
              </w:rPr>
              <w:t xml:space="preserve"> average GNI per capita greater than $12,475 for the second consecutive </w:t>
            </w:r>
            <w:r w:rsidR="00377672">
              <w:rPr>
                <w:b w:val="0"/>
                <w:bCs w:val="0"/>
                <w:sz w:val="20"/>
                <w:szCs w:val="20"/>
              </w:rPr>
              <w:t>I</w:t>
            </w:r>
            <w:r>
              <w:rPr>
                <w:b w:val="0"/>
                <w:bCs w:val="0"/>
                <w:sz w:val="20"/>
                <w:szCs w:val="20"/>
              </w:rPr>
              <w:t xml:space="preserve">ntegrated </w:t>
            </w:r>
            <w:r w:rsidR="00377672">
              <w:rPr>
                <w:b w:val="0"/>
                <w:bCs w:val="0"/>
                <w:sz w:val="20"/>
                <w:szCs w:val="20"/>
              </w:rPr>
              <w:t>B</w:t>
            </w:r>
            <w:r>
              <w:rPr>
                <w:b w:val="0"/>
                <w:bCs w:val="0"/>
                <w:sz w:val="20"/>
                <w:szCs w:val="20"/>
              </w:rPr>
              <w:t>udget period</w:t>
            </w:r>
            <w:r w:rsidRPr="001E1CAF">
              <w:rPr>
                <w:b w:val="0"/>
                <w:bCs w:val="0"/>
                <w:sz w:val="20"/>
                <w:szCs w:val="20"/>
              </w:rPr>
              <w:t xml:space="preserve"> (</w:t>
            </w:r>
            <w:r>
              <w:rPr>
                <w:b w:val="0"/>
                <w:bCs w:val="0"/>
                <w:sz w:val="20"/>
                <w:szCs w:val="20"/>
              </w:rPr>
              <w:t>i.e. in 2016-2017 as well as 2018-19</w:t>
            </w:r>
            <w:r w:rsidRPr="001E1CAF">
              <w:rPr>
                <w:b w:val="0"/>
                <w:bCs w:val="0"/>
                <w:sz w:val="20"/>
                <w:szCs w:val="20"/>
              </w:rPr>
              <w:t>). These countries do not receive TRAC</w:t>
            </w:r>
            <w:r>
              <w:rPr>
                <w:b w:val="0"/>
                <w:bCs w:val="0"/>
                <w:sz w:val="20"/>
                <w:szCs w:val="20"/>
              </w:rPr>
              <w:t>-</w:t>
            </w:r>
            <w:r w:rsidRPr="001E1CAF">
              <w:rPr>
                <w:b w:val="0"/>
                <w:bCs w:val="0"/>
                <w:sz w:val="20"/>
                <w:szCs w:val="20"/>
              </w:rPr>
              <w:t>1 resources.</w:t>
            </w:r>
          </w:p>
          <w:p w:rsidR="00B95A86" w:rsidRPr="00237A45" w:rsidRDefault="00B95A86" w:rsidP="00D67265">
            <w:pPr>
              <w:tabs>
                <w:tab w:val="left" w:pos="1260"/>
              </w:tabs>
              <w:rPr>
                <w:snapToGrid w:val="0"/>
              </w:rPr>
            </w:pP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Executive Board also decided in decision 2012/28 that there would be a system of biennial updates. In this regard, a four-year approach for GNI per capita averaging will be applied, with the average GNI per capita of the years 2012-2015 applied to the first two years of the </w:t>
            </w:r>
            <w:r w:rsidR="00385016" w:rsidRPr="008C7224">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385016" w:rsidRPr="008C7224">
              <w:rPr>
                <w:rFonts w:eastAsia="MS Mincho"/>
                <w:spacing w:val="0"/>
                <w:w w:val="100"/>
                <w:kern w:val="0"/>
                <w:lang w:val="en-US" w:eastAsia="ja-JP"/>
              </w:rPr>
              <w:t>B</w:t>
            </w:r>
            <w:r w:rsidRPr="008C7224">
              <w:rPr>
                <w:rFonts w:eastAsia="MS Mincho"/>
                <w:spacing w:val="0"/>
                <w:w w:val="100"/>
                <w:kern w:val="0"/>
                <w:lang w:val="en-US" w:eastAsia="ja-JP"/>
              </w:rPr>
              <w:t xml:space="preserve">udget, 2018-2019, and the average GNI per capita of the years 2014-2017 applied to the last two years of the </w:t>
            </w:r>
            <w:r w:rsidR="00385016" w:rsidRPr="008C7224">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385016" w:rsidRPr="008C7224">
              <w:rPr>
                <w:rFonts w:eastAsia="MS Mincho"/>
                <w:spacing w:val="0"/>
                <w:w w:val="100"/>
                <w:kern w:val="0"/>
                <w:lang w:val="en-US" w:eastAsia="ja-JP"/>
              </w:rPr>
              <w:t>B</w:t>
            </w:r>
            <w:r w:rsidRPr="008C7224">
              <w:rPr>
                <w:rFonts w:eastAsia="MS Mincho"/>
                <w:spacing w:val="0"/>
                <w:w w:val="100"/>
                <w:kern w:val="0"/>
                <w:lang w:val="en-US" w:eastAsia="ja-JP"/>
              </w:rPr>
              <w:t>udget, 2020-2021.</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biennial updates will affect only two groups of countries:</w:t>
            </w:r>
          </w:p>
          <w:p w:rsidR="00B95A86" w:rsidRPr="004E54BF"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after="60" w:line="240" w:lineRule="auto"/>
              <w:ind w:right="547"/>
              <w:rPr>
                <w:b w:val="0"/>
                <w:bCs w:val="0"/>
                <w:snapToGrid w:val="0"/>
                <w:sz w:val="20"/>
                <w:szCs w:val="20"/>
              </w:rPr>
            </w:pPr>
            <w:r>
              <w:rPr>
                <w:b w:val="0"/>
                <w:bCs w:val="0"/>
                <w:sz w:val="20"/>
                <w:szCs w:val="20"/>
              </w:rPr>
              <w:t>MICs</w:t>
            </w:r>
            <w:r w:rsidRPr="004E54BF">
              <w:rPr>
                <w:b w:val="0"/>
                <w:bCs w:val="0"/>
                <w:sz w:val="20"/>
                <w:szCs w:val="20"/>
              </w:rPr>
              <w:t xml:space="preserve"> </w:t>
            </w:r>
            <w:r>
              <w:rPr>
                <w:b w:val="0"/>
                <w:bCs w:val="0"/>
                <w:sz w:val="20"/>
                <w:szCs w:val="20"/>
              </w:rPr>
              <w:t>d</w:t>
            </w:r>
            <w:r w:rsidRPr="004E54BF">
              <w:rPr>
                <w:b w:val="0"/>
                <w:bCs w:val="0"/>
                <w:sz w:val="20"/>
                <w:szCs w:val="20"/>
              </w:rPr>
              <w:t>uring 201</w:t>
            </w:r>
            <w:r>
              <w:rPr>
                <w:b w:val="0"/>
                <w:bCs w:val="0"/>
                <w:sz w:val="20"/>
                <w:szCs w:val="20"/>
              </w:rPr>
              <w:t>8</w:t>
            </w:r>
            <w:r w:rsidRPr="004E54BF">
              <w:rPr>
                <w:b w:val="0"/>
                <w:bCs w:val="0"/>
                <w:sz w:val="20"/>
                <w:szCs w:val="20"/>
              </w:rPr>
              <w:t>-201</w:t>
            </w:r>
            <w:r>
              <w:rPr>
                <w:b w:val="0"/>
                <w:bCs w:val="0"/>
                <w:sz w:val="20"/>
                <w:szCs w:val="20"/>
              </w:rPr>
              <w:t xml:space="preserve">9 </w:t>
            </w:r>
            <w:r w:rsidRPr="004E54BF">
              <w:rPr>
                <w:b w:val="0"/>
                <w:bCs w:val="0"/>
                <w:sz w:val="20"/>
                <w:szCs w:val="20"/>
              </w:rPr>
              <w:t>(countries with 20</w:t>
            </w:r>
            <w:r>
              <w:rPr>
                <w:b w:val="0"/>
                <w:bCs w:val="0"/>
                <w:sz w:val="20"/>
                <w:szCs w:val="20"/>
              </w:rPr>
              <w:t>12</w:t>
            </w:r>
            <w:r w:rsidRPr="004E54BF">
              <w:rPr>
                <w:b w:val="0"/>
                <w:bCs w:val="0"/>
                <w:sz w:val="20"/>
                <w:szCs w:val="20"/>
              </w:rPr>
              <w:t>-201</w:t>
            </w:r>
            <w:r>
              <w:rPr>
                <w:b w:val="0"/>
                <w:bCs w:val="0"/>
                <w:sz w:val="20"/>
                <w:szCs w:val="20"/>
              </w:rPr>
              <w:t>5</w:t>
            </w:r>
            <w:r w:rsidRPr="004E54BF">
              <w:rPr>
                <w:b w:val="0"/>
                <w:bCs w:val="0"/>
                <w:sz w:val="20"/>
                <w:szCs w:val="20"/>
              </w:rPr>
              <w:t xml:space="preserve"> average GNI per capita less than $12,475) that cross the net contributor country threshold at the time of the biennial update (countries with 201</w:t>
            </w:r>
            <w:r>
              <w:rPr>
                <w:b w:val="0"/>
                <w:bCs w:val="0"/>
                <w:sz w:val="20"/>
                <w:szCs w:val="20"/>
              </w:rPr>
              <w:t>4</w:t>
            </w:r>
            <w:r w:rsidRPr="004E54BF">
              <w:rPr>
                <w:b w:val="0"/>
                <w:bCs w:val="0"/>
                <w:sz w:val="20"/>
                <w:szCs w:val="20"/>
              </w:rPr>
              <w:t>-201</w:t>
            </w:r>
            <w:r>
              <w:rPr>
                <w:b w:val="0"/>
                <w:bCs w:val="0"/>
                <w:sz w:val="20"/>
                <w:szCs w:val="20"/>
              </w:rPr>
              <w:t>7</w:t>
            </w:r>
            <w:r w:rsidRPr="004E54BF">
              <w:rPr>
                <w:b w:val="0"/>
                <w:bCs w:val="0"/>
                <w:sz w:val="20"/>
                <w:szCs w:val="20"/>
              </w:rPr>
              <w:t xml:space="preserve"> average GNI per capita greater than the new NCC threshold</w:t>
            </w:r>
            <w:r>
              <w:rPr>
                <w:b w:val="0"/>
                <w:bCs w:val="0"/>
                <w:sz w:val="20"/>
                <w:szCs w:val="20"/>
              </w:rPr>
              <w:t>, namely</w:t>
            </w:r>
            <w:r w:rsidRPr="004E54BF">
              <w:rPr>
                <w:b w:val="0"/>
                <w:bCs w:val="0"/>
                <w:sz w:val="20"/>
                <w:szCs w:val="20"/>
              </w:rPr>
              <w:t xml:space="preserve"> $12,475 increased up for inflation in 201</w:t>
            </w:r>
            <w:r>
              <w:rPr>
                <w:b w:val="0"/>
                <w:bCs w:val="0"/>
                <w:sz w:val="20"/>
                <w:szCs w:val="20"/>
              </w:rPr>
              <w:t>6</w:t>
            </w:r>
            <w:r w:rsidRPr="004E54BF">
              <w:rPr>
                <w:b w:val="0"/>
                <w:bCs w:val="0"/>
                <w:sz w:val="20"/>
                <w:szCs w:val="20"/>
              </w:rPr>
              <w:t>-201</w:t>
            </w:r>
            <w:r>
              <w:rPr>
                <w:b w:val="0"/>
                <w:bCs w:val="0"/>
                <w:sz w:val="20"/>
                <w:szCs w:val="20"/>
              </w:rPr>
              <w:t>7</w:t>
            </w:r>
            <w:r w:rsidRPr="004E54BF">
              <w:rPr>
                <w:b w:val="0"/>
                <w:bCs w:val="0"/>
                <w:sz w:val="20"/>
                <w:szCs w:val="20"/>
              </w:rPr>
              <w:t xml:space="preserve">) will be considered transitional </w:t>
            </w:r>
            <w:r>
              <w:rPr>
                <w:b w:val="0"/>
                <w:bCs w:val="0"/>
                <w:sz w:val="20"/>
                <w:szCs w:val="20"/>
              </w:rPr>
              <w:t>NCCs</w:t>
            </w:r>
            <w:r w:rsidRPr="004E54BF">
              <w:rPr>
                <w:b w:val="0"/>
                <w:bCs w:val="0"/>
                <w:sz w:val="20"/>
                <w:szCs w:val="20"/>
              </w:rPr>
              <w:t xml:space="preserve"> during 20</w:t>
            </w:r>
            <w:r>
              <w:rPr>
                <w:b w:val="0"/>
                <w:bCs w:val="0"/>
                <w:sz w:val="20"/>
                <w:szCs w:val="20"/>
              </w:rPr>
              <w:t>20</w:t>
            </w:r>
            <w:r w:rsidRPr="004E54BF">
              <w:rPr>
                <w:b w:val="0"/>
                <w:bCs w:val="0"/>
                <w:sz w:val="20"/>
                <w:szCs w:val="20"/>
              </w:rPr>
              <w:t>-20</w:t>
            </w:r>
            <w:r>
              <w:rPr>
                <w:b w:val="0"/>
                <w:bCs w:val="0"/>
                <w:sz w:val="20"/>
                <w:szCs w:val="20"/>
              </w:rPr>
              <w:t xml:space="preserve">21. </w:t>
            </w:r>
            <w:r w:rsidRPr="004E54BF">
              <w:rPr>
                <w:b w:val="0"/>
                <w:bCs w:val="0"/>
                <w:sz w:val="20"/>
                <w:szCs w:val="20"/>
              </w:rPr>
              <w:t xml:space="preserve">These countries will not have their TRAC-1 allocation adjusted; if they </w:t>
            </w:r>
            <w:r>
              <w:rPr>
                <w:b w:val="0"/>
                <w:bCs w:val="0"/>
                <w:sz w:val="20"/>
                <w:szCs w:val="20"/>
              </w:rPr>
              <w:t xml:space="preserve">were to </w:t>
            </w:r>
            <w:r w:rsidRPr="004E54BF">
              <w:rPr>
                <w:b w:val="0"/>
                <w:bCs w:val="0"/>
                <w:sz w:val="20"/>
                <w:szCs w:val="20"/>
              </w:rPr>
              <w:t xml:space="preserve">remain above the </w:t>
            </w:r>
            <w:r>
              <w:rPr>
                <w:b w:val="0"/>
                <w:bCs w:val="0"/>
                <w:sz w:val="20"/>
                <w:szCs w:val="20"/>
              </w:rPr>
              <w:t>NCC</w:t>
            </w:r>
            <w:r w:rsidRPr="004E54BF">
              <w:rPr>
                <w:b w:val="0"/>
                <w:bCs w:val="0"/>
                <w:sz w:val="20"/>
                <w:szCs w:val="20"/>
              </w:rPr>
              <w:t xml:space="preserve"> threshold in 20</w:t>
            </w:r>
            <w:r>
              <w:rPr>
                <w:b w:val="0"/>
                <w:bCs w:val="0"/>
                <w:sz w:val="20"/>
                <w:szCs w:val="20"/>
              </w:rPr>
              <w:t>22</w:t>
            </w:r>
            <w:r w:rsidRPr="004E54BF">
              <w:rPr>
                <w:b w:val="0"/>
                <w:bCs w:val="0"/>
                <w:sz w:val="20"/>
                <w:szCs w:val="20"/>
              </w:rPr>
              <w:t xml:space="preserve">, they would be considered </w:t>
            </w:r>
            <w:r>
              <w:rPr>
                <w:b w:val="0"/>
                <w:bCs w:val="0"/>
                <w:sz w:val="20"/>
                <w:szCs w:val="20"/>
              </w:rPr>
              <w:t>NCCs</w:t>
            </w:r>
            <w:r w:rsidRPr="004E54BF">
              <w:rPr>
                <w:b w:val="0"/>
                <w:bCs w:val="0"/>
                <w:sz w:val="20"/>
                <w:szCs w:val="20"/>
              </w:rPr>
              <w:t xml:space="preserve"> and </w:t>
            </w:r>
            <w:r>
              <w:rPr>
                <w:b w:val="0"/>
                <w:bCs w:val="0"/>
                <w:sz w:val="20"/>
                <w:szCs w:val="20"/>
              </w:rPr>
              <w:t xml:space="preserve">would </w:t>
            </w:r>
            <w:r w:rsidRPr="004E54BF">
              <w:rPr>
                <w:b w:val="0"/>
                <w:bCs w:val="0"/>
                <w:sz w:val="20"/>
                <w:szCs w:val="20"/>
              </w:rPr>
              <w:t>be ineligible for TRAC-1 resources from 20</w:t>
            </w:r>
            <w:r>
              <w:rPr>
                <w:b w:val="0"/>
                <w:bCs w:val="0"/>
                <w:sz w:val="20"/>
                <w:szCs w:val="20"/>
              </w:rPr>
              <w:t>22</w:t>
            </w:r>
            <w:r w:rsidRPr="004E54BF">
              <w:rPr>
                <w:b w:val="0"/>
                <w:bCs w:val="0"/>
                <w:sz w:val="20"/>
                <w:szCs w:val="20"/>
              </w:rPr>
              <w:t xml:space="preserve"> onwards; and</w:t>
            </w:r>
          </w:p>
          <w:p w:rsidR="00B95A86" w:rsidRPr="00476B99" w:rsidRDefault="00B95A86" w:rsidP="00BF407B">
            <w:pPr>
              <w:pStyle w:val="DualTxt"/>
              <w:numPr>
                <w:ilvl w:val="4"/>
                <w:numId w:val="1"/>
              </w:numPr>
              <w:tabs>
                <w:tab w:val="clear" w:pos="960"/>
                <w:tab w:val="clear" w:pos="1440"/>
                <w:tab w:val="clear" w:pos="1915"/>
                <w:tab w:val="clear" w:pos="2405"/>
                <w:tab w:val="left" w:pos="900"/>
                <w:tab w:val="left" w:pos="990"/>
                <w:tab w:val="left" w:pos="1260"/>
                <w:tab w:val="left" w:pos="1620"/>
                <w:tab w:val="left" w:pos="1800"/>
                <w:tab w:val="left" w:pos="8820"/>
              </w:tabs>
              <w:spacing w:line="200" w:lineRule="exact"/>
              <w:ind w:right="540"/>
              <w:rPr>
                <w:b w:val="0"/>
                <w:bCs w:val="0"/>
                <w:snapToGrid w:val="0"/>
                <w:sz w:val="20"/>
                <w:szCs w:val="20"/>
              </w:rPr>
            </w:pPr>
            <w:r w:rsidRPr="004E54BF">
              <w:rPr>
                <w:b w:val="0"/>
                <w:bCs w:val="0"/>
                <w:sz w:val="20"/>
                <w:szCs w:val="20"/>
              </w:rPr>
              <w:lastRenderedPageBreak/>
              <w:t xml:space="preserve">Transitional </w:t>
            </w:r>
            <w:r>
              <w:rPr>
                <w:b w:val="0"/>
                <w:bCs w:val="0"/>
                <w:sz w:val="20"/>
                <w:szCs w:val="20"/>
              </w:rPr>
              <w:t>NCCs</w:t>
            </w:r>
            <w:r w:rsidRPr="004E54BF">
              <w:rPr>
                <w:b w:val="0"/>
                <w:bCs w:val="0"/>
                <w:sz w:val="20"/>
                <w:szCs w:val="20"/>
              </w:rPr>
              <w:t xml:space="preserve"> during 201</w:t>
            </w:r>
            <w:r>
              <w:rPr>
                <w:b w:val="0"/>
                <w:bCs w:val="0"/>
                <w:sz w:val="20"/>
                <w:szCs w:val="20"/>
              </w:rPr>
              <w:t>8</w:t>
            </w:r>
            <w:r w:rsidRPr="004E54BF">
              <w:rPr>
                <w:b w:val="0"/>
                <w:bCs w:val="0"/>
                <w:sz w:val="20"/>
                <w:szCs w:val="20"/>
              </w:rPr>
              <w:t>-201</w:t>
            </w:r>
            <w:r>
              <w:rPr>
                <w:b w:val="0"/>
                <w:bCs w:val="0"/>
                <w:sz w:val="20"/>
                <w:szCs w:val="20"/>
              </w:rPr>
              <w:t>9</w:t>
            </w:r>
            <w:r w:rsidRPr="004E54BF">
              <w:rPr>
                <w:b w:val="0"/>
                <w:bCs w:val="0"/>
                <w:sz w:val="20"/>
                <w:szCs w:val="20"/>
              </w:rPr>
              <w:t xml:space="preserve"> (countries with 20</w:t>
            </w:r>
            <w:r>
              <w:rPr>
                <w:b w:val="0"/>
                <w:bCs w:val="0"/>
                <w:sz w:val="20"/>
                <w:szCs w:val="20"/>
              </w:rPr>
              <w:t>12</w:t>
            </w:r>
            <w:r w:rsidRPr="004E54BF">
              <w:rPr>
                <w:b w:val="0"/>
                <w:bCs w:val="0"/>
                <w:sz w:val="20"/>
                <w:szCs w:val="20"/>
              </w:rPr>
              <w:t>-201</w:t>
            </w:r>
            <w:r>
              <w:rPr>
                <w:b w:val="0"/>
                <w:bCs w:val="0"/>
                <w:sz w:val="20"/>
                <w:szCs w:val="20"/>
              </w:rPr>
              <w:t>5</w:t>
            </w:r>
            <w:r w:rsidRPr="004E54BF">
              <w:rPr>
                <w:b w:val="0"/>
                <w:bCs w:val="0"/>
                <w:sz w:val="20"/>
                <w:szCs w:val="20"/>
              </w:rPr>
              <w:t xml:space="preserve"> average GNI per capita greater than $12,475 for the first time) will become full net contributor countries during 20</w:t>
            </w:r>
            <w:r>
              <w:rPr>
                <w:b w:val="0"/>
                <w:bCs w:val="0"/>
                <w:sz w:val="20"/>
                <w:szCs w:val="20"/>
              </w:rPr>
              <w:t>20</w:t>
            </w:r>
            <w:r w:rsidRPr="004E54BF">
              <w:rPr>
                <w:b w:val="0"/>
                <w:bCs w:val="0"/>
                <w:sz w:val="20"/>
                <w:szCs w:val="20"/>
              </w:rPr>
              <w:t>-20</w:t>
            </w:r>
            <w:r>
              <w:rPr>
                <w:b w:val="0"/>
                <w:bCs w:val="0"/>
                <w:sz w:val="20"/>
                <w:szCs w:val="20"/>
              </w:rPr>
              <w:t>21</w:t>
            </w:r>
            <w:r w:rsidRPr="004E54BF">
              <w:rPr>
                <w:b w:val="0"/>
                <w:bCs w:val="0"/>
                <w:sz w:val="20"/>
                <w:szCs w:val="20"/>
              </w:rPr>
              <w:t xml:space="preserve"> if they remain above the net contributor country threshold at the time of the biennial update; as such</w:t>
            </w:r>
            <w:r>
              <w:rPr>
                <w:b w:val="0"/>
                <w:bCs w:val="0"/>
                <w:sz w:val="20"/>
                <w:szCs w:val="20"/>
              </w:rPr>
              <w:t>,</w:t>
            </w:r>
            <w:r w:rsidRPr="004E54BF">
              <w:rPr>
                <w:b w:val="0"/>
                <w:bCs w:val="0"/>
                <w:sz w:val="20"/>
                <w:szCs w:val="20"/>
              </w:rPr>
              <w:t xml:space="preserve"> they will no longer receive TRAC-1 resources during 20</w:t>
            </w:r>
            <w:r>
              <w:rPr>
                <w:b w:val="0"/>
                <w:bCs w:val="0"/>
                <w:sz w:val="20"/>
                <w:szCs w:val="20"/>
              </w:rPr>
              <w:t>20</w:t>
            </w:r>
            <w:r w:rsidRPr="004E54BF">
              <w:rPr>
                <w:b w:val="0"/>
                <w:bCs w:val="0"/>
                <w:sz w:val="20"/>
                <w:szCs w:val="20"/>
              </w:rPr>
              <w:t>-20</w:t>
            </w:r>
            <w:r>
              <w:rPr>
                <w:b w:val="0"/>
                <w:bCs w:val="0"/>
                <w:sz w:val="20"/>
                <w:szCs w:val="20"/>
              </w:rPr>
              <w:t>21</w:t>
            </w:r>
            <w:r w:rsidRPr="004E54BF">
              <w:rPr>
                <w:b w:val="0"/>
                <w:bCs w:val="0"/>
                <w:sz w:val="20"/>
                <w:szCs w:val="20"/>
              </w:rPr>
              <w:t>.</w:t>
            </w:r>
          </w:p>
          <w:p w:rsidR="008365FE"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diagram below, summarizes the impact of the biennial updates.</w:t>
            </w:r>
          </w:p>
          <w:tbl>
            <w:tblPr>
              <w:tblStyle w:val="TableGrid"/>
              <w:tblW w:w="0" w:type="auto"/>
              <w:tblInd w:w="985" w:type="dxa"/>
              <w:tblLayout w:type="fixed"/>
              <w:tblLook w:val="04A0" w:firstRow="1" w:lastRow="0" w:firstColumn="1" w:lastColumn="0" w:noHBand="0" w:noVBand="1"/>
            </w:tblPr>
            <w:tblGrid>
              <w:gridCol w:w="1764"/>
              <w:gridCol w:w="3186"/>
              <w:gridCol w:w="3415"/>
            </w:tblGrid>
            <w:tr w:rsidR="00B95A86" w:rsidTr="00D67265">
              <w:tc>
                <w:tcPr>
                  <w:tcW w:w="1764"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LIC</w:t>
                  </w:r>
                </w:p>
              </w:tc>
              <w:tc>
                <w:tcPr>
                  <w:tcW w:w="6601" w:type="dxa"/>
                  <w:gridSpan w:val="2"/>
                </w:tcPr>
                <w:p w:rsidR="00B95A86" w:rsidRDefault="00B95A86" w:rsidP="004153AA">
                  <w:pPr>
                    <w:pStyle w:val="DualTxt"/>
                    <w:tabs>
                      <w:tab w:val="left" w:pos="900"/>
                      <w:tab w:val="left" w:pos="990"/>
                      <w:tab w:val="left" w:pos="1260"/>
                      <w:tab w:val="left" w:pos="1800"/>
                      <w:tab w:val="left" w:pos="8820"/>
                    </w:tabs>
                    <w:spacing w:line="200" w:lineRule="exact"/>
                    <w:ind w:right="540"/>
                    <w:jc w:val="center"/>
                    <w:rPr>
                      <w:b w:val="0"/>
                      <w:bCs w:val="0"/>
                      <w:snapToGrid w:val="0"/>
                      <w:sz w:val="20"/>
                      <w:szCs w:val="20"/>
                    </w:rPr>
                  </w:pPr>
                  <w:r>
                    <w:rPr>
                      <w:b w:val="0"/>
                      <w:bCs w:val="0"/>
                      <w:snapToGrid w:val="0"/>
                      <w:sz w:val="20"/>
                      <w:szCs w:val="20"/>
                    </w:rPr>
                    <w:t>Not affected</w:t>
                  </w:r>
                </w:p>
              </w:tc>
            </w:tr>
            <w:tr w:rsidR="00B95A86" w:rsidTr="00D67265">
              <w:tc>
                <w:tcPr>
                  <w:tcW w:w="1764" w:type="dxa"/>
                  <w:vMerge w:val="restart"/>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MIC</w:t>
                  </w:r>
                </w:p>
              </w:tc>
              <w:tc>
                <w:tcPr>
                  <w:tcW w:w="3186"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Below NCC threshold ($12,475) at biennial update</w:t>
                  </w:r>
                </w:p>
              </w:tc>
              <w:tc>
                <w:tcPr>
                  <w:tcW w:w="3415"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Not affected</w:t>
                  </w:r>
                </w:p>
              </w:tc>
            </w:tr>
            <w:tr w:rsidR="00B95A86" w:rsidTr="3CA481E0">
              <w:tc>
                <w:tcPr>
                  <w:tcW w:w="1764" w:type="dxa"/>
                  <w:vMerge/>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snapToGrid w:val="0"/>
                      <w:sz w:val="20"/>
                      <w:szCs w:val="20"/>
                    </w:rPr>
                  </w:pPr>
                </w:p>
              </w:tc>
              <w:tc>
                <w:tcPr>
                  <w:tcW w:w="3186"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Above NCC threshold ($12,475) at biennial update</w:t>
                  </w:r>
                </w:p>
              </w:tc>
              <w:tc>
                <w:tcPr>
                  <w:tcW w:w="3415"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Considered transitional NCC in 2020-2021; Retains TRAC-1 allocation during 2018-2021</w:t>
                  </w:r>
                </w:p>
              </w:tc>
            </w:tr>
            <w:tr w:rsidR="00B95A86" w:rsidTr="3CA481E0">
              <w:tc>
                <w:tcPr>
                  <w:tcW w:w="1764"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Transitional NCC</w:t>
                  </w:r>
                </w:p>
              </w:tc>
              <w:tc>
                <w:tcPr>
                  <w:tcW w:w="3186" w:type="dxa"/>
                </w:tcPr>
                <w:p w:rsidR="00B95A86" w:rsidRDefault="00B95A86" w:rsidP="004153AA">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Above NCC threshold ($12,475) at biennial update</w:t>
                  </w:r>
                </w:p>
              </w:tc>
              <w:tc>
                <w:tcPr>
                  <w:tcW w:w="3415" w:type="dxa"/>
                </w:tcPr>
                <w:p w:rsidR="00B95A86" w:rsidRDefault="00B95A86" w:rsidP="004153AA">
                  <w:pPr>
                    <w:pStyle w:val="DualTxt"/>
                    <w:tabs>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Considered NCC in 2020-2021; Not eligible for TRAC-1 allocation from 2020-2021</w:t>
                  </w:r>
                </w:p>
              </w:tc>
            </w:tr>
          </w:tbl>
          <w:p w:rsidR="00B95A86" w:rsidRDefault="00B95A86" w:rsidP="00B95A86">
            <w:pPr>
              <w:tabs>
                <w:tab w:val="left" w:pos="1260"/>
              </w:tabs>
            </w:pPr>
          </w:p>
          <w:p w:rsidR="00B95A86" w:rsidRPr="007D741B" w:rsidRDefault="00B95A86" w:rsidP="00B95A86">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snapToGrid w:val="0"/>
                <w:sz w:val="20"/>
                <w:szCs w:val="20"/>
              </w:rPr>
            </w:pPr>
            <w:r w:rsidRPr="0029161C">
              <w:rPr>
                <w:b w:val="0"/>
                <w:bCs w:val="0"/>
                <w:i/>
                <w:iCs/>
                <w:sz w:val="20"/>
                <w:szCs w:val="20"/>
              </w:rPr>
              <w:t>TRAC-1 calculation</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first step is to calculate average GNI per capita and population weights of individual countries in accordance with the approved weighting systems. The lower the average GNI per capita, the higher the weight assigned. A population weight is also calculated where a higher population weight is assigned to countries with higher population.</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second step is to determine the country’s basic share in the total resource pool. This is done by multiplying the GNI per capita by population weights. The country’s preliminary TRAC-1 share is equal to its basic weight (product of the GNI and population weights) divided by the sum of the basic weights of all countries.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It should be noted that the overall effect is that a country with a lower per capita GNI, higher population or LDC status receives a greater basic share of the TRAC-1 resources than a country with a higher per capita GNI, lower population or non-LDC status.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third step is to make certain that the basic TRAC-1 earmarking of the country does not fall short of the floor mandated by the Executive Board.</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floor or predictability concept ensures that a country receives at least a certain percentage of its TRAC-1 earmarking in the previous financial period. In other words, if the its basic TRAC-1 earmarking is lower than the floor amount, a floor supplement is added to the basic TRAC-1 earmarking to make up for the difference.</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TRAC-1 resource allocations are shielded from the potential impact of core programming levels falling below $700 million (decision 2013/4), which are reflected in Annex A, table 4A at the annual level of $256.4 million. [DP/2017/39 section X/paragraph X discusses alternate options for shielding].</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The fourth step is to take the highest of (a) the basic TRAC-1 calculated in the second step, or (b) the TRAC-1 floor calculated in the third step, or (c) the minimum TRAC-1 allocation, per Executive Board decision 2012/28, as the final TRAC 1 allocation.</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TRAC-2 was designed to provide the Administrator with the flexibility to allocate regular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resources to high-impact, high-leverage and high-quality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activities and to help UNDP to respond effectively to differentiated country needs (decision 2013/4). From a substantive perspective, TRAC-2 resources are considered fully fungible with TRAC-1 resources. They are allocated, on non-formula-based criteria, in line with regional TRAC-1 allocations, with the flexibility of transferring up to 10 per cent of TRAC-2 resource assignments between regions.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TRAC-2 resources are allocated in line with existing percentage allocation ranges for TRAC-1 of: 85 to 91 per cent to LICs, 9 to 15 per cent to MICs (decision 2002/10) and at least 60 per cent to LDCs (decision 95/23).</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TRAC-3 was established to provide UNDP with the capacity to respond quickly and flexibly to the development needs of countries affected by conflicts and natural disasters. More frequent and more severe </w:t>
            </w:r>
            <w:r w:rsidRPr="008C7224">
              <w:rPr>
                <w:rFonts w:eastAsia="MS Mincho"/>
                <w:spacing w:val="0"/>
                <w:w w:val="100"/>
                <w:kern w:val="0"/>
                <w:lang w:val="en-US" w:eastAsia="ja-JP"/>
              </w:rPr>
              <w:lastRenderedPageBreak/>
              <w:t>natural disasters, and the continuing challenge of conflict and armed violence in many developing countries, risk bringing significant damage to nations, lives and livelihoods.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TRAC-3 is the only core facility of UNDP for immediate action when crisis risks emerge, or when a crisis occurs. It is a demand-driven mechanism which enables the organization to quickly bring policy advice, technical expertise, and catalytic programmatic funding to bear at the country level for a comprehensive, coherent response. With efforts to refocus on assisting countries in building resilience so that they can sustain their development gains in the face of external shocks, TRAC-3 resources enable UNDP to be well positioned to analyze early warnings, advocate for and influence policies for crisis risk reduction and conflict prevention, and implement quick recovery interventions as early in the humanitarian phase as possible.</w:t>
            </w:r>
          </w:p>
          <w:p w:rsidR="008365FE" w:rsidRDefault="008365FE" w:rsidP="3CA481E0">
            <w:pPr>
              <w:pStyle w:val="DualTxt"/>
              <w:tabs>
                <w:tab w:val="clear" w:pos="960"/>
                <w:tab w:val="clear" w:pos="1440"/>
                <w:tab w:val="clear" w:pos="1915"/>
                <w:tab w:val="left" w:pos="900"/>
                <w:tab w:val="left" w:pos="990"/>
                <w:tab w:val="left" w:pos="1260"/>
                <w:tab w:val="left" w:pos="1800"/>
                <w:tab w:val="left" w:pos="8820"/>
              </w:tabs>
              <w:ind w:left="900" w:right="540"/>
              <w:rPr>
                <w:i/>
                <w:iCs/>
                <w:sz w:val="20"/>
                <w:szCs w:val="20"/>
              </w:rPr>
            </w:pPr>
          </w:p>
          <w:p w:rsidR="00B95A86" w:rsidRPr="00D650FB" w:rsidRDefault="00B95A86" w:rsidP="3CA481E0">
            <w:pPr>
              <w:pStyle w:val="DualTxt"/>
              <w:tabs>
                <w:tab w:val="clear" w:pos="960"/>
                <w:tab w:val="clear" w:pos="1440"/>
                <w:tab w:val="clear" w:pos="1915"/>
                <w:tab w:val="left" w:pos="900"/>
                <w:tab w:val="left" w:pos="990"/>
                <w:tab w:val="left" w:pos="1260"/>
                <w:tab w:val="left" w:pos="1800"/>
                <w:tab w:val="left" w:pos="8820"/>
              </w:tabs>
              <w:ind w:left="900" w:right="540"/>
              <w:rPr>
                <w:snapToGrid w:val="0"/>
              </w:rPr>
            </w:pPr>
            <w:r w:rsidRPr="0029161C">
              <w:rPr>
                <w:i/>
                <w:iCs/>
                <w:sz w:val="20"/>
                <w:szCs w:val="20"/>
              </w:rPr>
              <w:t>Other lines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of Assistance to the Palestinian People is a unique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with funding arrangements that cover programmatic activities to support a specific group of people, in contrast to traditional country or regional </w:t>
            </w:r>
            <w:proofErr w:type="spellStart"/>
            <w:r w:rsidRPr="008C7224">
              <w:rPr>
                <w:rFonts w:eastAsia="MS Mincho"/>
                <w:spacing w:val="0"/>
                <w:w w:val="100"/>
                <w:kern w:val="0"/>
                <w:lang w:val="en-US" w:eastAsia="ja-JP"/>
              </w:rPr>
              <w:t>programmes</w:t>
            </w:r>
            <w:proofErr w:type="spellEnd"/>
            <w:r w:rsidRPr="008C7224">
              <w:rPr>
                <w:rFonts w:eastAsia="MS Mincho"/>
                <w:spacing w:val="0"/>
                <w:w w:val="100"/>
                <w:kern w:val="0"/>
                <w:lang w:val="en-US" w:eastAsia="ja-JP"/>
              </w:rPr>
              <w:t>.</w:t>
            </w:r>
          </w:p>
          <w:p w:rsidR="008365FE" w:rsidRPr="008C7224" w:rsidRDefault="008365FE"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Support to the resident coordinator is aimed at country level coordination, allowing resident coordinators to respond quickly and effectively to opportunities for United Nations system collaboration and serve as catalysts for country coordination initiatives.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Regional </w:t>
            </w:r>
            <w:proofErr w:type="spellStart"/>
            <w:r w:rsidRPr="008C7224">
              <w:rPr>
                <w:rFonts w:eastAsia="MS Mincho"/>
                <w:spacing w:val="0"/>
                <w:w w:val="100"/>
                <w:kern w:val="0"/>
                <w:lang w:val="en-US" w:eastAsia="ja-JP"/>
              </w:rPr>
              <w:t>programmes</w:t>
            </w:r>
            <w:proofErr w:type="spellEnd"/>
            <w:r w:rsidRPr="008C7224">
              <w:rPr>
                <w:rFonts w:eastAsia="MS Mincho"/>
                <w:spacing w:val="0"/>
                <w:w w:val="100"/>
                <w:kern w:val="0"/>
                <w:lang w:val="en-US" w:eastAsia="ja-JP"/>
              </w:rPr>
              <w:t xml:space="preserve"> will be designed in line with the strategic plan and the results and resources framework. Further details will be formally discussed with the Executive Board at its first regular session 2018.                     </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Regional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(regional window) provides support for inter-country cooperation in all five regions in response to development priorities and challenges. These resources help countries learn from each other’s experiences, and address problems that transcend national boundaries, contributing to the achievement of national development priorities.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objectives vary in line with cross country needs and </w:t>
            </w:r>
            <w:r w:rsidR="00FE3E87" w:rsidRPr="008C7224">
              <w:rPr>
                <w:rFonts w:eastAsia="MS Mincho"/>
                <w:spacing w:val="0"/>
                <w:w w:val="100"/>
                <w:kern w:val="0"/>
                <w:lang w:val="en-US" w:eastAsia="ja-JP"/>
              </w:rPr>
              <w:t xml:space="preserve">regional </w:t>
            </w:r>
            <w:r w:rsidRPr="008C7224">
              <w:rPr>
                <w:rFonts w:eastAsia="MS Mincho"/>
                <w:spacing w:val="0"/>
                <w:w w:val="100"/>
                <w:kern w:val="0"/>
                <w:lang w:val="en-US" w:eastAsia="ja-JP"/>
              </w:rPr>
              <w:t xml:space="preserve">priorities. </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w:t>
            </w:r>
            <w:r w:rsidR="004873DF" w:rsidRPr="008C7224">
              <w:rPr>
                <w:rFonts w:eastAsia="MS Mincho"/>
                <w:spacing w:val="0"/>
                <w:w w:val="100"/>
                <w:kern w:val="0"/>
                <w:lang w:val="en-US" w:eastAsia="ja-JP"/>
              </w:rPr>
              <w:t>G</w:t>
            </w:r>
            <w:r w:rsidRPr="008C7224">
              <w:rPr>
                <w:rFonts w:eastAsia="MS Mincho"/>
                <w:spacing w:val="0"/>
                <w:w w:val="100"/>
                <w:kern w:val="0"/>
                <w:lang w:val="en-US" w:eastAsia="ja-JP"/>
              </w:rPr>
              <w:t>lobal window comprises of a</w:t>
            </w:r>
            <w:r w:rsidR="00B737E7" w:rsidRPr="008C7224">
              <w:rPr>
                <w:rFonts w:eastAsia="MS Mincho"/>
                <w:spacing w:val="0"/>
                <w:w w:val="100"/>
                <w:kern w:val="0"/>
                <w:lang w:val="en-US" w:eastAsia="ja-JP"/>
              </w:rPr>
              <w:t xml:space="preserve"> resource facility</w:t>
            </w:r>
            <w:r w:rsidRPr="008C7224">
              <w:rPr>
                <w:rFonts w:eastAsia="MS Mincho"/>
                <w:spacing w:val="0"/>
                <w:w w:val="100"/>
                <w:kern w:val="0"/>
                <w:lang w:val="en-US" w:eastAsia="ja-JP"/>
              </w:rPr>
              <w:t xml:space="preserve"> that finances the Human Development Report Office, which supports global advocacy for human development by helping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countries incorporate human development into </w:t>
            </w:r>
            <w:proofErr w:type="spellStart"/>
            <w:r w:rsidRPr="008C7224">
              <w:rPr>
                <w:rFonts w:eastAsia="MS Mincho"/>
                <w:spacing w:val="0"/>
                <w:w w:val="100"/>
                <w:kern w:val="0"/>
                <w:lang w:val="en-US" w:eastAsia="ja-JP"/>
              </w:rPr>
              <w:t>programmes</w:t>
            </w:r>
            <w:proofErr w:type="spellEnd"/>
            <w:r w:rsidRPr="008C7224">
              <w:rPr>
                <w:rFonts w:eastAsia="MS Mincho"/>
                <w:spacing w:val="0"/>
                <w:w w:val="100"/>
                <w:kern w:val="0"/>
                <w:lang w:val="en-US" w:eastAsia="ja-JP"/>
              </w:rPr>
              <w:t xml:space="preserve"> and policies.</w:t>
            </w:r>
          </w:p>
          <w:p w:rsidR="00B95A86" w:rsidRPr="00FF1157" w:rsidRDefault="00B95A86" w:rsidP="00D67265">
            <w:pPr>
              <w:pStyle w:val="DualTxt"/>
              <w:tabs>
                <w:tab w:val="clear" w:pos="960"/>
                <w:tab w:val="clear" w:pos="1915"/>
                <w:tab w:val="left" w:pos="900"/>
                <w:tab w:val="left" w:pos="990"/>
                <w:tab w:val="left" w:pos="1260"/>
                <w:tab w:val="left" w:pos="1800"/>
                <w:tab w:val="left" w:pos="8820"/>
              </w:tabs>
              <w:spacing w:line="200" w:lineRule="exact"/>
              <w:ind w:left="360" w:right="547"/>
              <w:rPr>
                <w:rFonts w:eastAsia="Calibri"/>
                <w:sz w:val="36"/>
              </w:rPr>
            </w:pPr>
          </w:p>
          <w:p w:rsidR="009F4E56" w:rsidRDefault="00CD69AD" w:rsidP="00FF1157">
            <w:pPr>
              <w:pStyle w:val="DualTxt"/>
              <w:tabs>
                <w:tab w:val="clear" w:pos="960"/>
                <w:tab w:val="clear" w:pos="1915"/>
                <w:tab w:val="left" w:pos="900"/>
                <w:tab w:val="left" w:pos="990"/>
                <w:tab w:val="left" w:pos="1260"/>
                <w:tab w:val="left" w:pos="1800"/>
                <w:tab w:val="left" w:pos="8820"/>
              </w:tabs>
              <w:spacing w:line="200" w:lineRule="exact"/>
              <w:ind w:right="547"/>
              <w:rPr>
                <w:bCs w:val="0"/>
                <w:szCs w:val="20"/>
              </w:rPr>
            </w:pPr>
            <w:proofErr w:type="spellStart"/>
            <w:r w:rsidRPr="00FF1157">
              <w:rPr>
                <w:bCs w:val="0"/>
                <w:szCs w:val="20"/>
              </w:rPr>
              <w:t>II.b</w:t>
            </w:r>
            <w:proofErr w:type="spellEnd"/>
            <w:r w:rsidRPr="00FF1157">
              <w:rPr>
                <w:bCs w:val="0"/>
                <w:szCs w:val="20"/>
              </w:rPr>
              <w:t>. Additional details on programmatic components, 2018-2021</w:t>
            </w:r>
          </w:p>
          <w:p w:rsidR="007C7C5C" w:rsidRPr="00FF1157" w:rsidRDefault="007C7C5C" w:rsidP="00FF1157">
            <w:pPr>
              <w:pStyle w:val="DualTxt"/>
              <w:tabs>
                <w:tab w:val="clear" w:pos="960"/>
                <w:tab w:val="clear" w:pos="1915"/>
                <w:tab w:val="left" w:pos="900"/>
                <w:tab w:val="left" w:pos="990"/>
                <w:tab w:val="left" w:pos="1260"/>
                <w:tab w:val="left" w:pos="1800"/>
                <w:tab w:val="left" w:pos="8820"/>
              </w:tabs>
              <w:spacing w:line="200" w:lineRule="exact"/>
              <w:ind w:left="480" w:right="547"/>
              <w:rPr>
                <w:bCs w:val="0"/>
                <w:szCs w:val="20"/>
                <w:lang w:val="en-US"/>
              </w:rPr>
            </w:pPr>
          </w:p>
          <w:p w:rsidR="00CD69AD" w:rsidRPr="008C7224" w:rsidRDefault="00CD69AD"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For 2018-2021, UNDP proposes a </w:t>
            </w:r>
            <w:proofErr w:type="gramStart"/>
            <w:r w:rsidRPr="008C7224">
              <w:rPr>
                <w:rFonts w:eastAsia="MS Mincho"/>
                <w:spacing w:val="0"/>
                <w:w w:val="100"/>
                <w:kern w:val="0"/>
                <w:lang w:val="en-US" w:eastAsia="ja-JP"/>
              </w:rPr>
              <w:t>two tiered</w:t>
            </w:r>
            <w:proofErr w:type="gramEnd"/>
            <w:r w:rsidRPr="008C7224">
              <w:rPr>
                <w:rFonts w:eastAsia="MS Mincho"/>
                <w:spacing w:val="0"/>
                <w:w w:val="100"/>
                <w:kern w:val="0"/>
                <w:lang w:val="en-US" w:eastAsia="ja-JP"/>
              </w:rPr>
              <w:t xml:space="preserve"> approach for the shielding of the </w:t>
            </w:r>
            <w:r w:rsidR="005F09E9">
              <w:rPr>
                <w:rFonts w:eastAsia="MS Mincho"/>
                <w:spacing w:val="0"/>
                <w:w w:val="100"/>
                <w:kern w:val="0"/>
                <w:lang w:val="en-US" w:eastAsia="ja-JP"/>
              </w:rPr>
              <w:t>development activities</w:t>
            </w:r>
            <w:r w:rsidRPr="008C7224">
              <w:rPr>
                <w:rFonts w:eastAsia="MS Mincho"/>
                <w:spacing w:val="0"/>
                <w:w w:val="100"/>
                <w:kern w:val="0"/>
                <w:lang w:val="en-US" w:eastAsia="ja-JP"/>
              </w:rPr>
              <w:t>. The proposed two tiers are:</w:t>
            </w:r>
          </w:p>
          <w:p w:rsidR="00CD69AD" w:rsidRPr="00FF1157" w:rsidRDefault="00CD69AD" w:rsidP="00FF1157">
            <w:pPr>
              <w:numPr>
                <w:ilvl w:val="1"/>
                <w:numId w:val="1"/>
              </w:numPr>
              <w:tabs>
                <w:tab w:val="left" w:pos="1260"/>
                <w:tab w:val="left" w:pos="1440"/>
              </w:tabs>
              <w:spacing w:after="60"/>
              <w:ind w:right="547"/>
              <w:jc w:val="both"/>
              <w:rPr>
                <w:sz w:val="20"/>
                <w:szCs w:val="20"/>
              </w:rPr>
            </w:pPr>
            <w:r w:rsidRPr="00FF1157">
              <w:rPr>
                <w:sz w:val="20"/>
                <w:szCs w:val="20"/>
              </w:rPr>
              <w:t>Tier 1: TRAC-1, TRAC-2, TRAC-3, South-South Cooperation and Human Development Report Office;</w:t>
            </w:r>
          </w:p>
          <w:p w:rsidR="00CD69AD" w:rsidRPr="00FF1157" w:rsidRDefault="00CD69AD" w:rsidP="00FF1157">
            <w:pPr>
              <w:numPr>
                <w:ilvl w:val="1"/>
                <w:numId w:val="1"/>
              </w:numPr>
              <w:tabs>
                <w:tab w:val="left" w:pos="1260"/>
                <w:tab w:val="left" w:pos="1440"/>
              </w:tabs>
              <w:spacing w:after="60"/>
              <w:ind w:right="547"/>
              <w:jc w:val="both"/>
              <w:rPr>
                <w:sz w:val="20"/>
                <w:szCs w:val="20"/>
              </w:rPr>
            </w:pPr>
            <w:r w:rsidRPr="00FF1157">
              <w:rPr>
                <w:sz w:val="20"/>
                <w:szCs w:val="20"/>
              </w:rPr>
              <w:t xml:space="preserve">Tier 2: Regional </w:t>
            </w:r>
            <w:proofErr w:type="spellStart"/>
            <w:r w:rsidRPr="00FF1157">
              <w:rPr>
                <w:sz w:val="20"/>
                <w:szCs w:val="20"/>
              </w:rPr>
              <w:t>Programme</w:t>
            </w:r>
            <w:proofErr w:type="spellEnd"/>
            <w:r w:rsidRPr="00FF1157">
              <w:rPr>
                <w:sz w:val="20"/>
                <w:szCs w:val="20"/>
              </w:rPr>
              <w:t xml:space="preserve">, Global </w:t>
            </w:r>
            <w:proofErr w:type="spellStart"/>
            <w:r w:rsidRPr="00FF1157">
              <w:rPr>
                <w:sz w:val="20"/>
                <w:szCs w:val="20"/>
              </w:rPr>
              <w:t>Programme</w:t>
            </w:r>
            <w:proofErr w:type="spellEnd"/>
            <w:r w:rsidRPr="00FF1157">
              <w:rPr>
                <w:sz w:val="20"/>
                <w:szCs w:val="20"/>
              </w:rPr>
              <w:t xml:space="preserve">, PAPP, Development Support Services, Economists’ </w:t>
            </w:r>
            <w:proofErr w:type="spellStart"/>
            <w:r w:rsidRPr="00FF1157">
              <w:rPr>
                <w:sz w:val="20"/>
                <w:szCs w:val="20"/>
              </w:rPr>
              <w:t>Programme</w:t>
            </w:r>
            <w:proofErr w:type="spellEnd"/>
            <w:r w:rsidRPr="00FF1157">
              <w:rPr>
                <w:sz w:val="20"/>
                <w:szCs w:val="20"/>
              </w:rPr>
              <w:t xml:space="preserve">, Policy Advisory Services, Gender Mainstreaming and UN Capital Development Fund. </w:t>
            </w:r>
          </w:p>
          <w:p w:rsidR="002F562B" w:rsidRPr="008C7224" w:rsidRDefault="00CD69AD"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proofErr w:type="gramStart"/>
            <w:r w:rsidRPr="008C7224">
              <w:rPr>
                <w:rFonts w:eastAsia="MS Mincho"/>
                <w:spacing w:val="0"/>
                <w:w w:val="100"/>
                <w:kern w:val="0"/>
                <w:lang w:val="en-US" w:eastAsia="ja-JP"/>
              </w:rPr>
              <w:t>In the event that</w:t>
            </w:r>
            <w:proofErr w:type="gramEnd"/>
            <w:r w:rsidRPr="008C7224">
              <w:rPr>
                <w:rFonts w:eastAsia="MS Mincho"/>
                <w:spacing w:val="0"/>
                <w:w w:val="100"/>
                <w:kern w:val="0"/>
                <w:lang w:val="en-US" w:eastAsia="ja-JP"/>
              </w:rPr>
              <w:t xml:space="preserve"> the regular resources exceed the resource planning level for 2018 – 2021 period, the lines in tier 1 would increase and the lines in tier 2 would not increase. </w:t>
            </w:r>
            <w:proofErr w:type="gramStart"/>
            <w:r w:rsidRPr="008C7224">
              <w:rPr>
                <w:rFonts w:eastAsia="MS Mincho"/>
                <w:spacing w:val="0"/>
                <w:w w:val="100"/>
                <w:kern w:val="0"/>
                <w:lang w:val="en-US" w:eastAsia="ja-JP"/>
              </w:rPr>
              <w:t>In the event that</w:t>
            </w:r>
            <w:proofErr w:type="gramEnd"/>
            <w:r w:rsidRPr="008C7224">
              <w:rPr>
                <w:rFonts w:eastAsia="MS Mincho"/>
                <w:spacing w:val="0"/>
                <w:w w:val="100"/>
                <w:kern w:val="0"/>
                <w:lang w:val="en-US" w:eastAsia="ja-JP"/>
              </w:rPr>
              <w:t xml:space="preserve"> resources reduce by 5% of the annual planned level, the lines in tier 1 would not be reduced, but the lines in tier 2 would be reduced. </w:t>
            </w:r>
            <w:proofErr w:type="gramStart"/>
            <w:r w:rsidRPr="008C7224">
              <w:rPr>
                <w:rFonts w:eastAsia="MS Mincho"/>
                <w:spacing w:val="0"/>
                <w:w w:val="100"/>
                <w:kern w:val="0"/>
                <w:lang w:val="en-US" w:eastAsia="ja-JP"/>
              </w:rPr>
              <w:t>In the event that</w:t>
            </w:r>
            <w:proofErr w:type="gramEnd"/>
            <w:r w:rsidRPr="008C7224">
              <w:rPr>
                <w:rFonts w:eastAsia="MS Mincho"/>
                <w:spacing w:val="0"/>
                <w:w w:val="100"/>
                <w:kern w:val="0"/>
                <w:lang w:val="en-US" w:eastAsia="ja-JP"/>
              </w:rPr>
              <w:t xml:space="preserve"> resources reduce by more than 5% of the planning level, both the lines in tier 1 and tier 2 would be reduced in equal proportion</w:t>
            </w:r>
            <w:r w:rsidR="002F562B" w:rsidRPr="008C7224">
              <w:rPr>
                <w:rFonts w:eastAsia="MS Mincho"/>
                <w:spacing w:val="0"/>
                <w:w w:val="100"/>
                <w:kern w:val="0"/>
                <w:lang w:val="en-US" w:eastAsia="ja-JP"/>
              </w:rPr>
              <w:t>.</w:t>
            </w:r>
          </w:p>
          <w:p w:rsidR="00CD69AD" w:rsidRPr="008C7224" w:rsidRDefault="00CD69AD"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This </w:t>
            </w:r>
            <w:proofErr w:type="gramStart"/>
            <w:r w:rsidRPr="008C7224">
              <w:rPr>
                <w:rFonts w:eastAsia="MS Mincho"/>
                <w:spacing w:val="0"/>
                <w:w w:val="100"/>
                <w:kern w:val="0"/>
                <w:lang w:val="en-US" w:eastAsia="ja-JP"/>
              </w:rPr>
              <w:t>two tiered</w:t>
            </w:r>
            <w:proofErr w:type="gramEnd"/>
            <w:r w:rsidRPr="008C7224">
              <w:rPr>
                <w:rFonts w:eastAsia="MS Mincho"/>
                <w:spacing w:val="0"/>
                <w:w w:val="100"/>
                <w:kern w:val="0"/>
                <w:lang w:val="en-US" w:eastAsia="ja-JP"/>
              </w:rPr>
              <w:t xml:space="preserve"> approach will prevent the significant reduction in the non-shielded lines, which are important in delivering a top quality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recognizing that development effectiveness plays a complementary role to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while still recognizing the primacy of TRAC-1 resources.</w:t>
            </w:r>
          </w:p>
          <w:p w:rsidR="00C97848" w:rsidRPr="008C7224" w:rsidRDefault="003C7893"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Annex A, t</w:t>
            </w:r>
            <w:r w:rsidR="00CD69AD" w:rsidRPr="008C7224">
              <w:rPr>
                <w:rFonts w:eastAsia="MS Mincho"/>
                <w:spacing w:val="0"/>
                <w:w w:val="100"/>
                <w:kern w:val="0"/>
                <w:lang w:val="en-US" w:eastAsia="ja-JP"/>
              </w:rPr>
              <w:t xml:space="preserve">able </w:t>
            </w:r>
            <w:r w:rsidR="006E5267" w:rsidRPr="008C7224">
              <w:rPr>
                <w:rFonts w:eastAsia="MS Mincho"/>
                <w:spacing w:val="0"/>
                <w:w w:val="100"/>
                <w:kern w:val="0"/>
                <w:lang w:val="en-US" w:eastAsia="ja-JP"/>
              </w:rPr>
              <w:t>4d</w:t>
            </w:r>
            <w:r w:rsidR="00CD69AD" w:rsidRPr="008C7224">
              <w:rPr>
                <w:rFonts w:eastAsia="MS Mincho"/>
                <w:spacing w:val="0"/>
                <w:w w:val="100"/>
                <w:kern w:val="0"/>
                <w:lang w:val="en-US" w:eastAsia="ja-JP"/>
              </w:rPr>
              <w:t xml:space="preserve"> summarizes all </w:t>
            </w:r>
            <w:proofErr w:type="spellStart"/>
            <w:r w:rsidR="00CD69AD" w:rsidRPr="008C7224">
              <w:rPr>
                <w:rFonts w:eastAsia="MS Mincho"/>
                <w:spacing w:val="0"/>
                <w:w w:val="100"/>
                <w:kern w:val="0"/>
                <w:lang w:val="en-US" w:eastAsia="ja-JP"/>
              </w:rPr>
              <w:t>programme</w:t>
            </w:r>
            <w:proofErr w:type="spellEnd"/>
            <w:r w:rsidR="00CD69AD" w:rsidRPr="008C7224">
              <w:rPr>
                <w:rFonts w:eastAsia="MS Mincho"/>
                <w:spacing w:val="0"/>
                <w:w w:val="100"/>
                <w:kern w:val="0"/>
                <w:lang w:val="en-US" w:eastAsia="ja-JP"/>
              </w:rPr>
              <w:t xml:space="preserve"> country movements between income status categories for the 2018-2019 period compared to 2014-2017.</w:t>
            </w:r>
          </w:p>
          <w:p w:rsidR="007C7C5C" w:rsidRDefault="007C7C5C" w:rsidP="004F6019">
            <w:pPr>
              <w:pStyle w:val="DualTxt"/>
              <w:tabs>
                <w:tab w:val="clear" w:pos="960"/>
                <w:tab w:val="clear" w:pos="1440"/>
                <w:tab w:val="clear" w:pos="1915"/>
                <w:tab w:val="left" w:pos="900"/>
                <w:tab w:val="left" w:pos="990"/>
                <w:tab w:val="left" w:pos="1260"/>
                <w:tab w:val="left" w:pos="1800"/>
                <w:tab w:val="left" w:pos="8820"/>
              </w:tabs>
              <w:spacing w:line="200" w:lineRule="exact"/>
              <w:ind w:left="900" w:right="547"/>
              <w:rPr>
                <w:i/>
                <w:iCs/>
                <w:sz w:val="22"/>
                <w:szCs w:val="22"/>
              </w:rPr>
            </w:pPr>
          </w:p>
          <w:p w:rsidR="007C7C5C" w:rsidRPr="00D67265" w:rsidRDefault="004F6019" w:rsidP="004F6019">
            <w:pPr>
              <w:pStyle w:val="DualTxt"/>
              <w:tabs>
                <w:tab w:val="clear" w:pos="960"/>
                <w:tab w:val="clear" w:pos="1440"/>
                <w:tab w:val="clear" w:pos="1915"/>
                <w:tab w:val="left" w:pos="900"/>
                <w:tab w:val="left" w:pos="990"/>
                <w:tab w:val="left" w:pos="1260"/>
                <w:tab w:val="left" w:pos="1800"/>
                <w:tab w:val="left" w:pos="8820"/>
              </w:tabs>
              <w:spacing w:line="200" w:lineRule="exact"/>
              <w:ind w:left="900" w:right="547"/>
              <w:rPr>
                <w:i/>
                <w:iCs/>
                <w:sz w:val="22"/>
                <w:szCs w:val="22"/>
              </w:rPr>
            </w:pPr>
            <w:r w:rsidRPr="00D67265">
              <w:rPr>
                <w:i/>
                <w:iCs/>
                <w:sz w:val="22"/>
                <w:szCs w:val="22"/>
              </w:rPr>
              <w:lastRenderedPageBreak/>
              <w:t>Development effectiveness activities</w:t>
            </w:r>
          </w:p>
          <w:p w:rsidR="007F00CD" w:rsidRPr="008C7224" w:rsidRDefault="004F6019"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evaluation of the Strategic Plan 2014-2017 provided several recommendations concerning UNDP’s development effectiveness activities, including pursuing integrated approaches for SDG support to Government, improving a results and learning culture, establishing the regional hubs as centers of excellence for innovation and learning, and changing the global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into a service line for supporting staff positions at global and regional levels, amongst others. These forward-looking recommendations provide a basis for better aligning UNDP’s development effectiveness activities with the service offerings of the Global Platform and Country Support Platforms.</w:t>
            </w:r>
          </w:p>
          <w:p w:rsidR="007F00CD" w:rsidRPr="008C7224" w:rsidRDefault="004F6019"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It is proposed to incorporate the </w:t>
            </w:r>
            <w:proofErr w:type="gramStart"/>
            <w:r w:rsidRPr="008C7224">
              <w:rPr>
                <w:rFonts w:eastAsia="MS Mincho"/>
                <w:spacing w:val="0"/>
                <w:w w:val="100"/>
                <w:kern w:val="0"/>
                <w:lang w:val="en-US" w:eastAsia="ja-JP"/>
              </w:rPr>
              <w:t>five distinct</w:t>
            </w:r>
            <w:proofErr w:type="gramEnd"/>
            <w:r w:rsidRPr="008C7224">
              <w:rPr>
                <w:rFonts w:eastAsia="MS Mincho"/>
                <w:spacing w:val="0"/>
                <w:w w:val="100"/>
                <w:kern w:val="0"/>
                <w:lang w:val="en-US" w:eastAsia="ja-JP"/>
              </w:rPr>
              <w:t xml:space="preserve"> development effectiveness related lines – global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policy advisory services, gender mainstreaming, development support services, and economist advisory services – into the global and country level programming component of the Integrated Budget. Currently development effectiveness activities are a mix of both functional and thematic approaches, each with varying degrees of scope and action, and each operating as somewhat discrete entities from the other. Bringing these activities within the scope of the two platforms will provide several benefits including: a better articulation of development effectiveness roles at the global, regional, and country levels, stronger integration of thematic advisory services across and between the global and country platforms, improved leveraging of advisory and programmatic partnerships between global and local levels, stronger gender mainstreaming in policy and programming, and improved approaches to  results based management, monitoring and evaluation using new approaches developed at the global level.</w:t>
            </w:r>
          </w:p>
          <w:p w:rsidR="00EA4325" w:rsidRDefault="004F6019" w:rsidP="00EA4325">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Separate from the above referred proposed consolidated development effectiveness </w:t>
            </w:r>
            <w:proofErr w:type="gramStart"/>
            <w:r w:rsidRPr="008C7224">
              <w:rPr>
                <w:rFonts w:eastAsia="MS Mincho"/>
                <w:spacing w:val="0"/>
                <w:w w:val="100"/>
                <w:kern w:val="0"/>
                <w:lang w:val="en-US" w:eastAsia="ja-JP"/>
              </w:rPr>
              <w:t>line,  two</w:t>
            </w:r>
            <w:proofErr w:type="gramEnd"/>
            <w:r w:rsidRPr="008C7224">
              <w:rPr>
                <w:rFonts w:eastAsia="MS Mincho"/>
                <w:spacing w:val="0"/>
                <w:w w:val="100"/>
                <w:kern w:val="0"/>
                <w:lang w:val="en-US" w:eastAsia="ja-JP"/>
              </w:rPr>
              <w:t xml:space="preserve"> currently existing lines will remain, as follows:</w:t>
            </w:r>
          </w:p>
          <w:p w:rsidR="004F6019" w:rsidRPr="00EA4325" w:rsidRDefault="004F6019" w:rsidP="00BF407B">
            <w:pPr>
              <w:pStyle w:val="SingleTxt"/>
              <w:numPr>
                <w:ilvl w:val="4"/>
                <w:numId w:val="1"/>
              </w:numPr>
              <w:tabs>
                <w:tab w:val="clear" w:pos="1267"/>
                <w:tab w:val="clear" w:pos="1742"/>
                <w:tab w:val="left" w:pos="1170"/>
              </w:tabs>
              <w:ind w:right="0"/>
              <w:rPr>
                <w:rFonts w:eastAsia="MS Mincho"/>
                <w:spacing w:val="0"/>
                <w:w w:val="100"/>
                <w:kern w:val="0"/>
                <w:lang w:val="en-US" w:eastAsia="ja-JP"/>
              </w:rPr>
            </w:pPr>
            <w:r w:rsidRPr="00EA4325">
              <w:t>South-South cooperation which focuses on the sharing of South-South experiences, expertise and knowledge making them an integral part of country, regional and interregional programmes, while introducing cost-effective modalities. The importance of promoting, facilitating and strengthening South-South and triangular cooperation for development globally is emphasized in the strategic plan; and</w:t>
            </w:r>
          </w:p>
          <w:p w:rsidR="00CD69AD" w:rsidRPr="008C7224" w:rsidRDefault="004F6019" w:rsidP="00BF407B">
            <w:pPr>
              <w:pStyle w:val="SingleTxt"/>
              <w:numPr>
                <w:ilvl w:val="4"/>
                <w:numId w:val="1"/>
              </w:numPr>
              <w:tabs>
                <w:tab w:val="clear" w:pos="1267"/>
                <w:tab w:val="clear" w:pos="1742"/>
                <w:tab w:val="left" w:pos="1170"/>
              </w:tabs>
              <w:ind w:right="0"/>
            </w:pPr>
            <w:r w:rsidRPr="004873DF">
              <w:t>UNCDF, which provides grants, loans and guarantees to least developed countries, complemented by strong capacity-building and upstream policy advisory services that support the design and implementation of national policies and action plans in both local development finance and inclusive finance.  Rooted in complementarity, the UNDP-UNCDF partnership aims at simplicity, coherence and effectiveness, leading to greater development impact in the least developed countries. The Executive</w:t>
            </w:r>
            <w:r w:rsidRPr="005F0563">
              <w:t xml:space="preserve"> Board, in its decision 2013/4, approved</w:t>
            </w:r>
            <w:r w:rsidRPr="008C7224">
              <w:t xml:space="preserve"> the inclusion of UNCDF in the programming arrangements</w:t>
            </w:r>
          </w:p>
          <w:p w:rsidR="00C51948" w:rsidRDefault="00C51948" w:rsidP="00D67265">
            <w:pPr>
              <w:pStyle w:val="DualTxt"/>
              <w:tabs>
                <w:tab w:val="clear" w:pos="960"/>
                <w:tab w:val="clear" w:pos="1915"/>
                <w:tab w:val="left" w:pos="900"/>
                <w:tab w:val="left" w:pos="990"/>
                <w:tab w:val="left" w:pos="1260"/>
                <w:tab w:val="left" w:pos="1800"/>
                <w:tab w:val="left" w:pos="8820"/>
              </w:tabs>
              <w:spacing w:line="200" w:lineRule="exact"/>
              <w:ind w:left="907" w:right="547"/>
              <w:rPr>
                <w:b w:val="0"/>
                <w:bCs w:val="0"/>
                <w:sz w:val="20"/>
                <w:szCs w:val="20"/>
              </w:rPr>
            </w:pPr>
          </w:p>
          <w:p w:rsidR="009F4E56" w:rsidRDefault="006838CB" w:rsidP="00FF1157">
            <w:pPr>
              <w:pStyle w:val="DualTxt"/>
              <w:tabs>
                <w:tab w:val="clear" w:pos="960"/>
                <w:tab w:val="clear" w:pos="1915"/>
                <w:tab w:val="left" w:pos="900"/>
                <w:tab w:val="left" w:pos="990"/>
                <w:tab w:val="left" w:pos="1260"/>
                <w:tab w:val="left" w:pos="1800"/>
                <w:tab w:val="left" w:pos="8820"/>
              </w:tabs>
              <w:spacing w:line="200" w:lineRule="exact"/>
              <w:ind w:left="480" w:right="547"/>
              <w:rPr>
                <w:b w:val="0"/>
                <w:bCs w:val="0"/>
                <w:sz w:val="20"/>
                <w:szCs w:val="20"/>
              </w:rPr>
            </w:pPr>
            <w:proofErr w:type="spellStart"/>
            <w:r w:rsidRPr="00D67265">
              <w:rPr>
                <w:bCs w:val="0"/>
                <w:sz w:val="22"/>
                <w:szCs w:val="20"/>
              </w:rPr>
              <w:t>I</w:t>
            </w:r>
            <w:r>
              <w:rPr>
                <w:bCs w:val="0"/>
                <w:sz w:val="22"/>
                <w:szCs w:val="20"/>
              </w:rPr>
              <w:t>I.</w:t>
            </w:r>
            <w:r w:rsidR="00361F6C">
              <w:rPr>
                <w:bCs w:val="0"/>
                <w:sz w:val="22"/>
                <w:szCs w:val="20"/>
              </w:rPr>
              <w:t>c</w:t>
            </w:r>
            <w:proofErr w:type="spellEnd"/>
            <w:r w:rsidR="00361F6C">
              <w:rPr>
                <w:bCs w:val="0"/>
                <w:sz w:val="22"/>
                <w:szCs w:val="20"/>
              </w:rPr>
              <w:t>.</w:t>
            </w:r>
            <w:r w:rsidR="009F4E56" w:rsidRPr="00D67265">
              <w:rPr>
                <w:bCs w:val="0"/>
                <w:sz w:val="22"/>
                <w:szCs w:val="20"/>
              </w:rPr>
              <w:t xml:space="preserve"> </w:t>
            </w:r>
            <w:r w:rsidR="00BF407B">
              <w:rPr>
                <w:bCs w:val="0"/>
                <w:sz w:val="22"/>
                <w:szCs w:val="20"/>
              </w:rPr>
              <w:t>Institutional component of the integrated b</w:t>
            </w:r>
            <w:r w:rsidR="009F4E56" w:rsidRPr="00D67265">
              <w:rPr>
                <w:bCs w:val="0"/>
                <w:sz w:val="22"/>
                <w:szCs w:val="20"/>
              </w:rPr>
              <w:t>udget</w:t>
            </w:r>
          </w:p>
          <w:p w:rsidR="009F4E56" w:rsidRPr="000F3F2F" w:rsidRDefault="009F4E56">
            <w:pPr>
              <w:spacing w:after="200" w:line="276" w:lineRule="auto"/>
              <w:ind w:firstLine="720"/>
              <w:rPr>
                <w:b/>
                <w:sz w:val="24"/>
                <w:lang w:val="en-GB"/>
              </w:rPr>
            </w:pPr>
            <w:r w:rsidRPr="000F3F2F">
              <w:rPr>
                <w:b/>
                <w:sz w:val="24"/>
                <w:lang w:val="en-GB"/>
              </w:rPr>
              <w:t>Position</w:t>
            </w:r>
            <w:r>
              <w:rPr>
                <w:b/>
                <w:sz w:val="24"/>
                <w:lang w:val="en-GB"/>
              </w:rPr>
              <w:t>s</w:t>
            </w:r>
          </w:p>
          <w:p w:rsidR="009F4E56" w:rsidRPr="008C7224" w:rsidRDefault="009F4E5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As </w:t>
            </w:r>
            <w:r w:rsidR="00BF407B">
              <w:rPr>
                <w:rFonts w:eastAsia="MS Mincho"/>
                <w:spacing w:val="0"/>
                <w:w w:val="100"/>
                <w:kern w:val="0"/>
                <w:lang w:val="en-US" w:eastAsia="ja-JP"/>
              </w:rPr>
              <w:t>in the 2014 - 2017 period, the integrated b</w:t>
            </w:r>
            <w:r w:rsidRPr="008C7224">
              <w:rPr>
                <w:rFonts w:eastAsia="MS Mincho"/>
                <w:spacing w:val="0"/>
                <w:w w:val="100"/>
                <w:kern w:val="0"/>
                <w:lang w:val="en-US" w:eastAsia="ja-JP"/>
              </w:rPr>
              <w:t>udget 2018-2021 incorporates a strategy for financing personnel costs with respect to positions at grade P-5 and below in a manner that more accurately reflects the results framework. P5 and lower graded positions will continue to be funded from the multiple funding sources of the requisite activities. This leads to a more strategic and efficient use of regular resources, allowing UNDP to allocate a greater share to development activities. It results in a more accurate linkage of costs to underlying funding sources.</w:t>
            </w:r>
          </w:p>
          <w:p w:rsidR="009F4E56" w:rsidRPr="008C7224" w:rsidRDefault="009F4E5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In a continuing effort to contain costs, UNDP proposes to remain within t</w:t>
            </w:r>
            <w:r w:rsidR="00BF407B">
              <w:rPr>
                <w:rFonts w:eastAsia="MS Mincho"/>
                <w:spacing w:val="0"/>
                <w:w w:val="100"/>
                <w:kern w:val="0"/>
                <w:lang w:val="en-US" w:eastAsia="ja-JP"/>
              </w:rPr>
              <w:t>he levels set in the 2014-2017 integrated b</w:t>
            </w:r>
            <w:r w:rsidRPr="008C7224">
              <w:rPr>
                <w:rFonts w:eastAsia="MS Mincho"/>
                <w:spacing w:val="0"/>
                <w:w w:val="100"/>
                <w:kern w:val="0"/>
                <w:lang w:val="en-US" w:eastAsia="ja-JP"/>
              </w:rPr>
              <w:t xml:space="preserve">udget approved number of D-1 and higher graded positions (annex A, table </w:t>
            </w:r>
            <w:r w:rsidR="00460414">
              <w:rPr>
                <w:rFonts w:eastAsia="MS Mincho"/>
                <w:spacing w:val="0"/>
                <w:w w:val="100"/>
                <w:kern w:val="0"/>
                <w:lang w:val="en-US" w:eastAsia="ja-JP"/>
              </w:rPr>
              <w:t>5d</w:t>
            </w:r>
            <w:r w:rsidRPr="008C7224">
              <w:rPr>
                <w:rFonts w:eastAsia="MS Mincho"/>
                <w:spacing w:val="0"/>
                <w:w w:val="100"/>
                <w:kern w:val="0"/>
                <w:lang w:val="en-US" w:eastAsia="ja-JP"/>
              </w:rPr>
              <w:t xml:space="preserve"> shows the </w:t>
            </w:r>
            <w:proofErr w:type="gramStart"/>
            <w:r w:rsidRPr="008C7224">
              <w:rPr>
                <w:rFonts w:eastAsia="MS Mincho"/>
                <w:spacing w:val="0"/>
                <w:w w:val="100"/>
                <w:kern w:val="0"/>
                <w:lang w:val="en-US" w:eastAsia="ja-JP"/>
              </w:rPr>
              <w:t>current status</w:t>
            </w:r>
            <w:proofErr w:type="gramEnd"/>
            <w:r w:rsidRPr="008C7224">
              <w:rPr>
                <w:rFonts w:eastAsia="MS Mincho"/>
                <w:spacing w:val="0"/>
                <w:w w:val="100"/>
                <w:kern w:val="0"/>
                <w:lang w:val="en-US" w:eastAsia="ja-JP"/>
              </w:rPr>
              <w:t xml:space="preserve"> of the number of D1 and higher graded positions). UNDP also proposes to retain the present financing approach for these regular resources-funded positions.</w:t>
            </w:r>
          </w:p>
          <w:p w:rsidR="009F4E56" w:rsidRPr="008C7224" w:rsidRDefault="009F4E5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b</w:t>
            </w:r>
            <w:r w:rsidRPr="008C7224">
              <w:rPr>
                <w:rFonts w:eastAsia="MS Mincho"/>
                <w:spacing w:val="0"/>
                <w:w w:val="100"/>
                <w:kern w:val="0"/>
                <w:lang w:val="en-US" w:eastAsia="ja-JP"/>
              </w:rPr>
              <w:t>udget, 2018-2021, includes a proposed envelope of $</w:t>
            </w:r>
            <w:r w:rsidR="0082761C">
              <w:rPr>
                <w:rFonts w:eastAsia="MS Mincho"/>
                <w:spacing w:val="0"/>
                <w:w w:val="100"/>
                <w:kern w:val="0"/>
                <w:lang w:val="en-US" w:eastAsia="ja-JP"/>
              </w:rPr>
              <w:t>856.5</w:t>
            </w:r>
            <w:r w:rsidRPr="008C7224">
              <w:rPr>
                <w:rFonts w:eastAsia="MS Mincho"/>
                <w:spacing w:val="0"/>
                <w:w w:val="100"/>
                <w:kern w:val="0"/>
                <w:lang w:val="en-US" w:eastAsia="ja-JP"/>
              </w:rPr>
              <w:t xml:space="preserve"> million in regular resources to finance the D-1 and higher grades, as well as, in combination with other resources, requisite institutional capacities at P-5 and lower grades that fulfil functions in support of the UNDP mandate. This represents a reduced financing envelope compared to $9</w:t>
            </w:r>
            <w:r w:rsidR="0082761C">
              <w:rPr>
                <w:rFonts w:eastAsia="MS Mincho"/>
                <w:spacing w:val="0"/>
                <w:w w:val="100"/>
                <w:kern w:val="0"/>
                <w:lang w:val="en-US" w:eastAsia="ja-JP"/>
              </w:rPr>
              <w:t>1</w:t>
            </w:r>
            <w:r w:rsidRPr="008C7224">
              <w:rPr>
                <w:rFonts w:eastAsia="MS Mincho"/>
                <w:spacing w:val="0"/>
                <w:w w:val="100"/>
                <w:kern w:val="0"/>
                <w:lang w:val="en-US" w:eastAsia="ja-JP"/>
              </w:rPr>
              <w:t>9.</w:t>
            </w:r>
            <w:r w:rsidR="0082761C">
              <w:rPr>
                <w:rFonts w:eastAsia="MS Mincho"/>
                <w:spacing w:val="0"/>
                <w:w w:val="100"/>
                <w:kern w:val="0"/>
                <w:lang w:val="en-US" w:eastAsia="ja-JP"/>
              </w:rPr>
              <w:t>6</w:t>
            </w:r>
            <w:r w:rsidRPr="008C7224">
              <w:rPr>
                <w:rFonts w:eastAsia="MS Mincho"/>
                <w:spacing w:val="0"/>
                <w:w w:val="100"/>
                <w:kern w:val="0"/>
                <w:lang w:val="en-US" w:eastAsia="ja-JP"/>
              </w:rPr>
              <w:t xml:space="preserve"> million in 2014-2017.</w:t>
            </w:r>
          </w:p>
          <w:p w:rsidR="008D0C18" w:rsidRDefault="008D0C18" w:rsidP="00D67265">
            <w:pPr>
              <w:pStyle w:val="DualTxt"/>
              <w:tabs>
                <w:tab w:val="clear" w:pos="960"/>
                <w:tab w:val="clear" w:pos="1915"/>
                <w:tab w:val="left" w:pos="900"/>
                <w:tab w:val="left" w:pos="990"/>
                <w:tab w:val="left" w:pos="1260"/>
                <w:tab w:val="left" w:pos="1800"/>
                <w:tab w:val="left" w:pos="8820"/>
              </w:tabs>
              <w:spacing w:line="200" w:lineRule="exact"/>
              <w:ind w:left="907" w:right="547"/>
              <w:rPr>
                <w:b w:val="0"/>
                <w:sz w:val="20"/>
                <w:szCs w:val="20"/>
              </w:rPr>
            </w:pPr>
          </w:p>
          <w:p w:rsidR="00B95A86" w:rsidRPr="00D67265" w:rsidRDefault="00135773" w:rsidP="00FF1157">
            <w:pPr>
              <w:pStyle w:val="SingleTxt"/>
              <w:tabs>
                <w:tab w:val="clear" w:pos="1267"/>
                <w:tab w:val="clear" w:pos="1742"/>
                <w:tab w:val="left" w:pos="1170"/>
              </w:tabs>
              <w:ind w:left="360" w:right="0"/>
              <w:rPr>
                <w:b/>
                <w:sz w:val="28"/>
                <w:szCs w:val="28"/>
              </w:rPr>
            </w:pPr>
            <w:r>
              <w:rPr>
                <w:b/>
                <w:sz w:val="24"/>
                <w:szCs w:val="28"/>
              </w:rPr>
              <w:t xml:space="preserve">III. </w:t>
            </w:r>
            <w:r w:rsidR="00BF407B">
              <w:rPr>
                <w:b/>
                <w:sz w:val="24"/>
                <w:szCs w:val="28"/>
              </w:rPr>
              <w:t>Government l</w:t>
            </w:r>
            <w:r w:rsidR="00FE3E87" w:rsidRPr="00FF1157">
              <w:rPr>
                <w:b/>
                <w:sz w:val="24"/>
                <w:szCs w:val="28"/>
              </w:rPr>
              <w:t xml:space="preserve">ocal office cost </w:t>
            </w:r>
            <w:r w:rsidR="00BF407B">
              <w:rPr>
                <w:b/>
                <w:sz w:val="24"/>
                <w:szCs w:val="28"/>
              </w:rPr>
              <w:t>c</w:t>
            </w:r>
            <w:r w:rsidR="00FE3E87" w:rsidRPr="00FF1157">
              <w:rPr>
                <w:b/>
                <w:sz w:val="24"/>
                <w:szCs w:val="28"/>
              </w:rPr>
              <w:t>ontributions (</w:t>
            </w:r>
            <w:r w:rsidR="00B95A86" w:rsidRPr="00FF1157">
              <w:rPr>
                <w:b/>
                <w:sz w:val="24"/>
                <w:szCs w:val="28"/>
              </w:rPr>
              <w:t>GLOC</w:t>
            </w:r>
            <w:r w:rsidR="00FE3E87" w:rsidRPr="00D67265">
              <w:rPr>
                <w:b/>
                <w:sz w:val="28"/>
                <w:szCs w:val="28"/>
              </w:rPr>
              <w:t>)</w:t>
            </w:r>
          </w:p>
          <w:p w:rsidR="00B95A86" w:rsidRPr="00D67265" w:rsidRDefault="00B95A86" w:rsidP="00D67265">
            <w:pPr>
              <w:pStyle w:val="DualTxt"/>
              <w:tabs>
                <w:tab w:val="clear" w:pos="960"/>
                <w:tab w:val="clear" w:pos="1915"/>
                <w:tab w:val="left" w:pos="900"/>
                <w:tab w:val="left" w:pos="990"/>
                <w:tab w:val="left" w:pos="1260"/>
                <w:tab w:val="left" w:pos="1800"/>
                <w:tab w:val="left" w:pos="8820"/>
              </w:tabs>
              <w:spacing w:line="200" w:lineRule="exact"/>
              <w:ind w:left="907" w:right="547"/>
              <w:rPr>
                <w:b w:val="0"/>
              </w:rPr>
            </w:pP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UNDP appreciates improvements made by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countries toward meeting their obligations </w:t>
            </w:r>
            <w:r w:rsidR="00012C8A" w:rsidRPr="008C7224">
              <w:rPr>
                <w:rFonts w:eastAsia="MS Mincho"/>
                <w:spacing w:val="0"/>
                <w:w w:val="100"/>
                <w:kern w:val="0"/>
                <w:lang w:val="en-US" w:eastAsia="ja-JP"/>
              </w:rPr>
              <w:t xml:space="preserve">in cash or in kind </w:t>
            </w:r>
            <w:r w:rsidRPr="008C7224">
              <w:rPr>
                <w:rFonts w:eastAsia="MS Mincho"/>
                <w:spacing w:val="0"/>
                <w:w w:val="100"/>
                <w:kern w:val="0"/>
                <w:lang w:val="en-US" w:eastAsia="ja-JP"/>
              </w:rPr>
              <w:t>with respect to government contributions towards local office costs. Middle-income country compliance remains at a less-than-desirable level. UNDP will maintain the option to withhold part of institutional budget resources for countries with significant deficits, with an emphasis on middle-income countries.</w:t>
            </w:r>
          </w:p>
          <w:p w:rsidR="00B95A86" w:rsidRPr="008C7224" w:rsidRDefault="00B95A86" w:rsidP="008C7224">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Waivers, granted based on respective gross national income levels, are an integral part of calculating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country obligations. Local costs of a UNDP country office (the basis for the calculation) are reduced by a waiver percentage using the gross national income level. Waivers are reviewed in line with the decision on a new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period. Table </w:t>
            </w:r>
            <w:r w:rsidR="00BE7795" w:rsidRPr="008C7224">
              <w:rPr>
                <w:rFonts w:eastAsia="MS Mincho"/>
                <w:spacing w:val="0"/>
                <w:w w:val="100"/>
                <w:kern w:val="0"/>
                <w:lang w:val="en-US" w:eastAsia="ja-JP"/>
              </w:rPr>
              <w:t>5</w:t>
            </w:r>
            <w:proofErr w:type="gramStart"/>
            <w:r w:rsidR="00BE7795" w:rsidRPr="008C7224">
              <w:rPr>
                <w:rFonts w:eastAsia="MS Mincho"/>
                <w:spacing w:val="0"/>
                <w:w w:val="100"/>
                <w:kern w:val="0"/>
                <w:lang w:val="en-US" w:eastAsia="ja-JP"/>
              </w:rPr>
              <w:t>c.ii</w:t>
            </w:r>
            <w:proofErr w:type="gramEnd"/>
            <w:r w:rsidR="00123610" w:rsidRPr="008C7224">
              <w:rPr>
                <w:rFonts w:eastAsia="MS Mincho"/>
                <w:spacing w:val="0"/>
                <w:w w:val="100"/>
                <w:kern w:val="0"/>
                <w:lang w:val="en-US" w:eastAsia="ja-JP"/>
              </w:rPr>
              <w:t xml:space="preserve"> </w:t>
            </w:r>
            <w:r w:rsidRPr="008C7224">
              <w:rPr>
                <w:rFonts w:eastAsia="MS Mincho"/>
                <w:spacing w:val="0"/>
                <w:w w:val="100"/>
                <w:kern w:val="0"/>
                <w:lang w:val="en-US" w:eastAsia="ja-JP"/>
              </w:rPr>
              <w:t xml:space="preserve">in annex A, presents the new income classifications and waivers for 2018-2019. </w:t>
            </w:r>
          </w:p>
          <w:p w:rsidR="00B95A86" w:rsidRPr="00BF407B" w:rsidRDefault="00B95A86" w:rsidP="00D67265">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gross national income per capita levels presented in the table are based on the average for 2012-2015, as endorsed in decision 2012/28. These will be updated in the biennial update at the mid-point of the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b</w:t>
            </w:r>
            <w:r w:rsidRPr="008C7224">
              <w:rPr>
                <w:rFonts w:eastAsia="MS Mincho"/>
                <w:spacing w:val="0"/>
                <w:w w:val="100"/>
                <w:kern w:val="0"/>
                <w:lang w:val="en-US" w:eastAsia="ja-JP"/>
              </w:rPr>
              <w:t xml:space="preserve">udget with the average </w:t>
            </w:r>
            <w:r w:rsidR="00C51948" w:rsidRPr="008C7224">
              <w:rPr>
                <w:rFonts w:eastAsia="MS Mincho"/>
                <w:spacing w:val="0"/>
                <w:w w:val="100"/>
                <w:kern w:val="0"/>
                <w:lang w:val="en-US" w:eastAsia="ja-JP"/>
              </w:rPr>
              <w:t>GNI</w:t>
            </w:r>
            <w:r w:rsidRPr="008C7224">
              <w:rPr>
                <w:rFonts w:eastAsia="MS Mincho"/>
                <w:spacing w:val="0"/>
                <w:w w:val="100"/>
                <w:kern w:val="0"/>
                <w:lang w:val="en-US" w:eastAsia="ja-JP"/>
              </w:rPr>
              <w:t xml:space="preserve"> per capita for 2014-2017. </w:t>
            </w:r>
          </w:p>
          <w:p w:rsidR="008365FE" w:rsidRDefault="008365FE" w:rsidP="00D67265">
            <w:pPr>
              <w:pStyle w:val="ListParagraph"/>
              <w:ind w:left="360"/>
              <w:rPr>
                <w:b/>
              </w:rPr>
            </w:pPr>
          </w:p>
          <w:p w:rsidR="00BF407B" w:rsidRDefault="00BF407B" w:rsidP="00D67265">
            <w:pPr>
              <w:pStyle w:val="ListParagraph"/>
              <w:ind w:left="360"/>
              <w:rPr>
                <w:b/>
              </w:rPr>
            </w:pPr>
          </w:p>
          <w:p w:rsidR="00967EF9" w:rsidRPr="00CD69AD" w:rsidRDefault="006838CB" w:rsidP="00D67265">
            <w:pPr>
              <w:pStyle w:val="ListParagraph"/>
              <w:ind w:left="360"/>
            </w:pPr>
            <w:r w:rsidRPr="002C3F41">
              <w:rPr>
                <w:b/>
              </w:rPr>
              <w:t xml:space="preserve">IV. </w:t>
            </w:r>
            <w:r w:rsidR="00C74770" w:rsidRPr="002C3F41">
              <w:rPr>
                <w:b/>
              </w:rPr>
              <w:t>Funding of country office presence in MICs with GNI per capita above $6,660</w:t>
            </w:r>
            <w:r w:rsidR="00DA17A1">
              <w:rPr>
                <w:b/>
              </w:rPr>
              <w:t xml:space="preserve">     </w:t>
            </w:r>
          </w:p>
          <w:p w:rsidR="00967EF9" w:rsidRDefault="00967EF9" w:rsidP="00D67265">
            <w:pPr>
              <w:ind w:left="907"/>
            </w:pPr>
          </w:p>
          <w:p w:rsidR="00C74770" w:rsidRPr="008C7224" w:rsidRDefault="00C74770" w:rsidP="00EA4325">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r</w:t>
            </w:r>
            <w:r w:rsidRPr="008C7224">
              <w:rPr>
                <w:rFonts w:eastAsia="MS Mincho"/>
                <w:spacing w:val="0"/>
                <w:w w:val="100"/>
                <w:kern w:val="0"/>
                <w:lang w:val="en-US" w:eastAsia="ja-JP"/>
              </w:rPr>
              <w:t xml:space="preserve">esources </w:t>
            </w:r>
            <w:r w:rsidR="00BF407B">
              <w:rPr>
                <w:rFonts w:eastAsia="MS Mincho"/>
                <w:spacing w:val="0"/>
                <w:w w:val="100"/>
                <w:kern w:val="0"/>
                <w:lang w:val="en-US" w:eastAsia="ja-JP"/>
              </w:rPr>
              <w:t>p</w:t>
            </w:r>
            <w:r w:rsidRPr="008C7224">
              <w:rPr>
                <w:rFonts w:eastAsia="MS Mincho"/>
                <w:spacing w:val="0"/>
                <w:w w:val="100"/>
                <w:kern w:val="0"/>
                <w:lang w:val="en-US" w:eastAsia="ja-JP"/>
              </w:rPr>
              <w:t xml:space="preserve">lan and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b</w:t>
            </w:r>
            <w:r w:rsidRPr="008C7224">
              <w:rPr>
                <w:rFonts w:eastAsia="MS Mincho"/>
                <w:spacing w:val="0"/>
                <w:w w:val="100"/>
                <w:kern w:val="0"/>
                <w:lang w:val="en-US" w:eastAsia="ja-JP"/>
              </w:rPr>
              <w:t>udget, 2018-2021, is prepared in compliance with the provisions of two key Executive Board decisions on the funding of UNDP country office presence in middle-income countries (MICs) with Gross National Income (GNI) per capita above the $6,660 threshold as follows:</w:t>
            </w:r>
          </w:p>
          <w:p w:rsidR="00C74770" w:rsidRPr="00EA4325" w:rsidRDefault="00C74770" w:rsidP="00EA4325">
            <w:pPr>
              <w:pStyle w:val="ListParagraph"/>
              <w:numPr>
                <w:ilvl w:val="1"/>
                <w:numId w:val="1"/>
              </w:numPr>
              <w:spacing w:after="160" w:line="259" w:lineRule="auto"/>
              <w:jc w:val="both"/>
              <w:rPr>
                <w:sz w:val="20"/>
                <w:szCs w:val="20"/>
              </w:rPr>
            </w:pPr>
            <w:r w:rsidRPr="00957EFF">
              <w:rPr>
                <w:rFonts w:eastAsia="Calibri"/>
                <w:color w:val="212121"/>
                <w:sz w:val="20"/>
                <w:szCs w:val="20"/>
              </w:rPr>
              <w:t xml:space="preserve">decision 2012/28 which endorsed a system of biennial updates for graduation for MICs with high levels of GNI per capita and transitional NCCs after a 2-year grace period; and </w:t>
            </w:r>
          </w:p>
          <w:p w:rsidR="00EA4325" w:rsidRPr="0052244D" w:rsidRDefault="00EA4325" w:rsidP="00EA4325">
            <w:pPr>
              <w:pStyle w:val="ListParagraph"/>
              <w:spacing w:after="160" w:line="259" w:lineRule="auto"/>
              <w:jc w:val="both"/>
              <w:rPr>
                <w:sz w:val="20"/>
                <w:szCs w:val="20"/>
              </w:rPr>
            </w:pPr>
          </w:p>
          <w:p w:rsidR="00C74770" w:rsidRPr="00FF1157" w:rsidRDefault="00C74770" w:rsidP="00EA4325">
            <w:pPr>
              <w:pStyle w:val="ListParagraph"/>
              <w:numPr>
                <w:ilvl w:val="1"/>
                <w:numId w:val="1"/>
              </w:numPr>
              <w:spacing w:after="160" w:line="259" w:lineRule="auto"/>
              <w:jc w:val="both"/>
              <w:rPr>
                <w:rFonts w:eastAsia="Calibri"/>
                <w:color w:val="212121"/>
                <w:sz w:val="20"/>
                <w:szCs w:val="20"/>
              </w:rPr>
            </w:pPr>
            <w:r w:rsidRPr="00957EFF">
              <w:rPr>
                <w:rFonts w:eastAsia="Calibri"/>
                <w:color w:val="212121"/>
                <w:sz w:val="20"/>
                <w:szCs w:val="20"/>
              </w:rPr>
              <w:t xml:space="preserve">decision 2013/30 which endorsed a differentiated approach for the use of regular resource funding of UNDP's physical presence in MICs with GNI per capita above $6,660 MICs. </w:t>
            </w:r>
          </w:p>
          <w:p w:rsidR="00967EF9" w:rsidRPr="008C7224" w:rsidRDefault="00967EF9" w:rsidP="00EA4325">
            <w:pPr>
              <w:pStyle w:val="SingleTxt"/>
              <w:numPr>
                <w:ilvl w:val="0"/>
                <w:numId w:val="1"/>
              </w:numPr>
              <w:tabs>
                <w:tab w:val="clear" w:pos="1267"/>
                <w:tab w:val="clear" w:pos="1742"/>
                <w:tab w:val="left" w:pos="1170"/>
              </w:tabs>
              <w:ind w:left="810" w:right="0" w:hanging="450"/>
              <w:rPr>
                <w:rFonts w:eastAsia="MS Mincho"/>
                <w:spacing w:val="0"/>
                <w:w w:val="100"/>
                <w:kern w:val="0"/>
                <w:lang w:val="en-US" w:eastAsia="ja-JP"/>
              </w:rPr>
            </w:pPr>
            <w:r w:rsidRPr="008C7224">
              <w:rPr>
                <w:rFonts w:eastAsia="MS Mincho"/>
                <w:spacing w:val="0"/>
                <w:w w:val="100"/>
                <w:kern w:val="0"/>
                <w:lang w:val="en-US" w:eastAsia="ja-JP"/>
              </w:rPr>
              <w:t xml:space="preserve">The overall change in </w:t>
            </w:r>
            <w:proofErr w:type="spellStart"/>
            <w:r w:rsidRPr="008C7224">
              <w:rPr>
                <w:rFonts w:eastAsia="MS Mincho"/>
                <w:spacing w:val="0"/>
                <w:w w:val="100"/>
                <w:kern w:val="0"/>
                <w:lang w:val="en-US" w:eastAsia="ja-JP"/>
              </w:rPr>
              <w:t>programme</w:t>
            </w:r>
            <w:proofErr w:type="spellEnd"/>
            <w:r w:rsidRPr="008C7224">
              <w:rPr>
                <w:rFonts w:eastAsia="MS Mincho"/>
                <w:spacing w:val="0"/>
                <w:w w:val="100"/>
                <w:kern w:val="0"/>
                <w:lang w:val="en-US" w:eastAsia="ja-JP"/>
              </w:rPr>
              <w:t xml:space="preserve"> country status across the LIC to NCC spectrum, is presented in detail in </w:t>
            </w:r>
            <w:r w:rsidR="00AA3F08" w:rsidRPr="008C7224">
              <w:rPr>
                <w:rFonts w:eastAsia="MS Mincho"/>
                <w:spacing w:val="0"/>
                <w:w w:val="100"/>
                <w:kern w:val="0"/>
                <w:lang w:val="en-US" w:eastAsia="ja-JP"/>
              </w:rPr>
              <w:t>a</w:t>
            </w:r>
            <w:r w:rsidRPr="008C7224">
              <w:rPr>
                <w:rFonts w:eastAsia="MS Mincho"/>
                <w:spacing w:val="0"/>
                <w:w w:val="100"/>
                <w:kern w:val="0"/>
                <w:lang w:val="en-US" w:eastAsia="ja-JP"/>
              </w:rPr>
              <w:t xml:space="preserve">nnex A, table </w:t>
            </w:r>
            <w:r w:rsidR="00AA3F08" w:rsidRPr="008C7224">
              <w:rPr>
                <w:rFonts w:eastAsia="MS Mincho"/>
                <w:spacing w:val="0"/>
                <w:w w:val="100"/>
                <w:kern w:val="0"/>
                <w:lang w:val="en-US" w:eastAsia="ja-JP"/>
              </w:rPr>
              <w:t>4d</w:t>
            </w:r>
            <w:r w:rsidRPr="008C7224">
              <w:rPr>
                <w:rFonts w:eastAsia="MS Mincho"/>
                <w:spacing w:val="0"/>
                <w:w w:val="100"/>
                <w:kern w:val="0"/>
                <w:lang w:val="en-US" w:eastAsia="ja-JP"/>
              </w:rPr>
              <w:t>. Highlights with respect to physical presence are as follows:</w:t>
            </w:r>
          </w:p>
          <w:p w:rsidR="00967EF9" w:rsidRDefault="00967EF9" w:rsidP="00EA4325">
            <w:pPr>
              <w:pStyle w:val="ListParagraph"/>
              <w:numPr>
                <w:ilvl w:val="1"/>
                <w:numId w:val="1"/>
              </w:numPr>
              <w:spacing w:after="160" w:line="259" w:lineRule="auto"/>
              <w:jc w:val="both"/>
              <w:rPr>
                <w:rFonts w:eastAsia="Calibri"/>
                <w:color w:val="212121"/>
                <w:sz w:val="20"/>
                <w:szCs w:val="20"/>
              </w:rPr>
            </w:pPr>
            <w:r w:rsidRPr="00D67265">
              <w:rPr>
                <w:rFonts w:eastAsia="Calibri"/>
                <w:color w:val="212121"/>
                <w:sz w:val="20"/>
                <w:szCs w:val="20"/>
              </w:rPr>
              <w:t>Chile</w:t>
            </w:r>
            <w:r w:rsidRPr="00064439">
              <w:rPr>
                <w:rFonts w:eastAsia="Calibri"/>
                <w:color w:val="212121"/>
                <w:sz w:val="20"/>
                <w:szCs w:val="20"/>
              </w:rPr>
              <w:t xml:space="preserve"> and </w:t>
            </w:r>
            <w:r w:rsidRPr="00D67265">
              <w:rPr>
                <w:rFonts w:eastAsia="Calibri"/>
                <w:color w:val="212121"/>
                <w:sz w:val="20"/>
                <w:szCs w:val="20"/>
              </w:rPr>
              <w:t>Uruguay</w:t>
            </w:r>
            <w:r w:rsidRPr="00064439">
              <w:rPr>
                <w:rFonts w:eastAsia="Calibri"/>
                <w:color w:val="212121"/>
                <w:sz w:val="20"/>
                <w:szCs w:val="20"/>
              </w:rPr>
              <w:t xml:space="preserve"> will graduate to full-fledged NCC status starting in 2018. The countries will no longer receive TRAC-1 resources.  Institutional </w:t>
            </w:r>
            <w:r w:rsidR="00BF407B">
              <w:rPr>
                <w:rFonts w:eastAsia="Calibri"/>
                <w:color w:val="212121"/>
                <w:sz w:val="20"/>
                <w:szCs w:val="20"/>
              </w:rPr>
              <w:t>b</w:t>
            </w:r>
            <w:r w:rsidRPr="00064439">
              <w:rPr>
                <w:rFonts w:eastAsia="Calibri"/>
                <w:color w:val="212121"/>
                <w:sz w:val="20"/>
                <w:szCs w:val="20"/>
              </w:rPr>
              <w:t xml:space="preserve">udget (IB) will consist of full funding of the </w:t>
            </w:r>
            <w:r w:rsidRPr="00050AF2">
              <w:rPr>
                <w:rFonts w:eastAsia="Calibri"/>
                <w:color w:val="212121"/>
                <w:sz w:val="20"/>
                <w:szCs w:val="20"/>
              </w:rPr>
              <w:t>Resident Coordinator/Resident Representative (RC/RR) position and appropriate office capacities for the RC/RR.</w:t>
            </w:r>
          </w:p>
          <w:p w:rsidR="00EA4325" w:rsidRPr="008C7224" w:rsidRDefault="00EA4325" w:rsidP="00EA4325">
            <w:pPr>
              <w:pStyle w:val="ListParagraph"/>
              <w:spacing w:after="160" w:line="259" w:lineRule="auto"/>
              <w:jc w:val="both"/>
              <w:rPr>
                <w:rFonts w:eastAsia="Calibri"/>
                <w:color w:val="212121"/>
                <w:sz w:val="20"/>
                <w:szCs w:val="20"/>
              </w:rPr>
            </w:pPr>
          </w:p>
          <w:p w:rsidR="00967EF9" w:rsidRDefault="00967EF9" w:rsidP="00EA4325">
            <w:pPr>
              <w:pStyle w:val="ListParagraph"/>
              <w:numPr>
                <w:ilvl w:val="1"/>
                <w:numId w:val="1"/>
              </w:numPr>
              <w:spacing w:after="160" w:line="259" w:lineRule="auto"/>
              <w:jc w:val="both"/>
              <w:rPr>
                <w:rFonts w:eastAsia="Calibri"/>
                <w:color w:val="212121"/>
                <w:sz w:val="20"/>
                <w:szCs w:val="20"/>
              </w:rPr>
            </w:pPr>
            <w:r w:rsidRPr="00D67265">
              <w:rPr>
                <w:rFonts w:eastAsia="Calibri"/>
                <w:color w:val="212121"/>
                <w:sz w:val="20"/>
                <w:szCs w:val="20"/>
              </w:rPr>
              <w:t xml:space="preserve">South Africa, China, Azerbaijan, Belarus, Turkmenistan, Colombia and Costa Rica </w:t>
            </w:r>
            <w:r w:rsidRPr="00064439">
              <w:rPr>
                <w:rFonts w:eastAsia="Calibri"/>
                <w:color w:val="212121"/>
                <w:sz w:val="20"/>
                <w:szCs w:val="20"/>
              </w:rPr>
              <w:t xml:space="preserve">graduated to MIC status with GNI per capita above the $6,660 threshold. The annual TRAC-1 allocation for these countries will </w:t>
            </w:r>
            <w:r w:rsidR="00012C8A">
              <w:rPr>
                <w:rFonts w:eastAsia="Calibri"/>
                <w:color w:val="212121"/>
                <w:sz w:val="20"/>
                <w:szCs w:val="20"/>
              </w:rPr>
              <w:t>be</w:t>
            </w:r>
            <w:r w:rsidRPr="00064439">
              <w:rPr>
                <w:rFonts w:eastAsia="Calibri"/>
                <w:color w:val="212121"/>
                <w:sz w:val="20"/>
                <w:szCs w:val="20"/>
              </w:rPr>
              <w:t xml:space="preserve"> $150,000, and, with respect to use of regular resources to finance UNDP’s physical presence, the </w:t>
            </w:r>
            <w:proofErr w:type="gramStart"/>
            <w:r w:rsidRPr="00064439">
              <w:rPr>
                <w:rFonts w:eastAsia="Calibri"/>
                <w:color w:val="212121"/>
                <w:sz w:val="20"/>
                <w:szCs w:val="20"/>
              </w:rPr>
              <w:t>two year</w:t>
            </w:r>
            <w:proofErr w:type="gramEnd"/>
            <w:r w:rsidRPr="00064439">
              <w:rPr>
                <w:rFonts w:eastAsia="Calibri"/>
                <w:color w:val="212121"/>
                <w:sz w:val="20"/>
                <w:szCs w:val="20"/>
              </w:rPr>
              <w:t xml:space="preserve"> grace period will commence starting 2018.</w:t>
            </w:r>
          </w:p>
          <w:p w:rsidR="00EA4325" w:rsidRPr="008C7224" w:rsidRDefault="00EA4325" w:rsidP="00EA4325">
            <w:pPr>
              <w:pStyle w:val="ListParagraph"/>
              <w:spacing w:after="160" w:line="259" w:lineRule="auto"/>
              <w:jc w:val="both"/>
              <w:rPr>
                <w:rFonts w:eastAsia="Calibri"/>
                <w:color w:val="212121"/>
                <w:sz w:val="20"/>
                <w:szCs w:val="20"/>
              </w:rPr>
            </w:pPr>
          </w:p>
          <w:p w:rsidR="00B95A86" w:rsidRPr="00BF407B" w:rsidRDefault="00967EF9" w:rsidP="00D67265">
            <w:pPr>
              <w:pStyle w:val="ListParagraph"/>
              <w:numPr>
                <w:ilvl w:val="1"/>
                <w:numId w:val="1"/>
              </w:numPr>
              <w:spacing w:after="160" w:line="259" w:lineRule="auto"/>
              <w:jc w:val="both"/>
              <w:rPr>
                <w:rFonts w:eastAsia="Calibri"/>
                <w:color w:val="212121"/>
                <w:sz w:val="20"/>
                <w:szCs w:val="20"/>
              </w:rPr>
            </w:pPr>
            <w:r w:rsidRPr="00D67265">
              <w:rPr>
                <w:rFonts w:eastAsia="Calibri"/>
                <w:color w:val="212121"/>
                <w:sz w:val="20"/>
                <w:szCs w:val="20"/>
              </w:rPr>
              <w:t>Equatorial Guinea,</w:t>
            </w:r>
            <w:r w:rsidRPr="00064439">
              <w:rPr>
                <w:rFonts w:eastAsia="Calibri"/>
                <w:color w:val="212121"/>
                <w:sz w:val="20"/>
                <w:szCs w:val="20"/>
              </w:rPr>
              <w:t xml:space="preserve"> which had the ‘NCC’ country status in 2016-2017, will revert to status ‘MIC with GNI/capita above $6,660’. It will join UNDP country office presences in </w:t>
            </w:r>
            <w:r w:rsidRPr="00D67265">
              <w:rPr>
                <w:rFonts w:eastAsia="Calibri"/>
                <w:color w:val="212121"/>
                <w:sz w:val="20"/>
                <w:szCs w:val="20"/>
              </w:rPr>
              <w:t>Botswana, Gabon, Mauritius (Africa); Argentina, Brazil,</w:t>
            </w:r>
            <w:r w:rsidR="00D73964">
              <w:rPr>
                <w:rFonts w:eastAsia="Calibri"/>
                <w:color w:val="212121"/>
                <w:sz w:val="20"/>
                <w:szCs w:val="20"/>
              </w:rPr>
              <w:t xml:space="preserve"> </w:t>
            </w:r>
            <w:r w:rsidR="00C74770" w:rsidRPr="00D67265">
              <w:rPr>
                <w:rFonts w:eastAsia="Calibri"/>
                <w:color w:val="212121"/>
                <w:sz w:val="20"/>
                <w:szCs w:val="20"/>
              </w:rPr>
              <w:t xml:space="preserve">Mexico, Panama, </w:t>
            </w:r>
            <w:r w:rsidRPr="00D67265">
              <w:rPr>
                <w:rFonts w:eastAsia="Calibri"/>
                <w:color w:val="212121"/>
                <w:sz w:val="20"/>
                <w:szCs w:val="20"/>
              </w:rPr>
              <w:t xml:space="preserve">Venezuela, (Latin America </w:t>
            </w:r>
            <w:r w:rsidR="00064439">
              <w:rPr>
                <w:rFonts w:eastAsia="Calibri"/>
                <w:color w:val="212121"/>
                <w:sz w:val="20"/>
                <w:szCs w:val="20"/>
              </w:rPr>
              <w:t>and the</w:t>
            </w:r>
            <w:r w:rsidRPr="00D67265">
              <w:rPr>
                <w:rFonts w:eastAsia="Calibri"/>
                <w:color w:val="212121"/>
                <w:sz w:val="20"/>
                <w:szCs w:val="20"/>
              </w:rPr>
              <w:t xml:space="preserve"> Caribbean); </w:t>
            </w:r>
            <w:r w:rsidR="00C74770" w:rsidRPr="00D67265">
              <w:rPr>
                <w:rFonts w:eastAsia="Calibri"/>
                <w:color w:val="212121"/>
                <w:sz w:val="20"/>
                <w:szCs w:val="20"/>
              </w:rPr>
              <w:t xml:space="preserve">Libya, </w:t>
            </w:r>
            <w:r w:rsidRPr="00D67265">
              <w:rPr>
                <w:rFonts w:eastAsia="Calibri"/>
                <w:color w:val="212121"/>
                <w:sz w:val="20"/>
                <w:szCs w:val="20"/>
              </w:rPr>
              <w:t>Lebanon (Arab states); Kazakhst</w:t>
            </w:r>
            <w:r w:rsidR="00064439" w:rsidRPr="00064439">
              <w:rPr>
                <w:rFonts w:eastAsia="Calibri"/>
                <w:color w:val="212121"/>
                <w:sz w:val="20"/>
                <w:szCs w:val="20"/>
              </w:rPr>
              <w:t xml:space="preserve">an, Montenegro, Turkey (Europe </w:t>
            </w:r>
            <w:r w:rsidR="00064439">
              <w:rPr>
                <w:rFonts w:eastAsia="Calibri"/>
                <w:color w:val="212121"/>
                <w:sz w:val="20"/>
                <w:szCs w:val="20"/>
              </w:rPr>
              <w:t>and the</w:t>
            </w:r>
            <w:r w:rsidRPr="00D67265">
              <w:rPr>
                <w:rFonts w:eastAsia="Calibri"/>
                <w:color w:val="212121"/>
                <w:sz w:val="20"/>
                <w:szCs w:val="20"/>
              </w:rPr>
              <w:t xml:space="preserve"> CIS)</w:t>
            </w:r>
            <w:r w:rsidRPr="00064439">
              <w:rPr>
                <w:rFonts w:eastAsia="Calibri"/>
                <w:color w:val="212121"/>
                <w:sz w:val="20"/>
                <w:szCs w:val="20"/>
              </w:rPr>
              <w:t xml:space="preserve">; and </w:t>
            </w:r>
            <w:r w:rsidR="00064439" w:rsidRPr="00064439">
              <w:rPr>
                <w:rFonts w:eastAsia="Calibri"/>
                <w:color w:val="212121"/>
                <w:sz w:val="20"/>
                <w:szCs w:val="20"/>
              </w:rPr>
              <w:t xml:space="preserve">Malaysia (Asia </w:t>
            </w:r>
            <w:r w:rsidR="00064439">
              <w:rPr>
                <w:rFonts w:eastAsia="Calibri"/>
                <w:color w:val="212121"/>
                <w:sz w:val="20"/>
                <w:szCs w:val="20"/>
              </w:rPr>
              <w:t>and the</w:t>
            </w:r>
            <w:r w:rsidRPr="00D67265">
              <w:rPr>
                <w:rFonts w:eastAsia="Calibri"/>
                <w:color w:val="212121"/>
                <w:sz w:val="20"/>
                <w:szCs w:val="20"/>
              </w:rPr>
              <w:t xml:space="preserve"> Pacific)</w:t>
            </w:r>
            <w:r w:rsidRPr="00064439">
              <w:rPr>
                <w:rFonts w:eastAsia="Calibri"/>
                <w:color w:val="212121"/>
                <w:sz w:val="20"/>
                <w:szCs w:val="20"/>
              </w:rPr>
              <w:t xml:space="preserve"> that receive an annual TRAC-1 </w:t>
            </w:r>
            <w:r w:rsidR="00C74770" w:rsidRPr="00064439">
              <w:rPr>
                <w:rFonts w:eastAsia="Calibri"/>
                <w:color w:val="212121"/>
                <w:sz w:val="20"/>
                <w:szCs w:val="20"/>
              </w:rPr>
              <w:t xml:space="preserve">allocation </w:t>
            </w:r>
            <w:r w:rsidRPr="00064439">
              <w:rPr>
                <w:rFonts w:eastAsia="Calibri"/>
                <w:color w:val="212121"/>
                <w:sz w:val="20"/>
                <w:szCs w:val="20"/>
              </w:rPr>
              <w:t>of $150,</w:t>
            </w:r>
            <w:r w:rsidRPr="001C6676">
              <w:rPr>
                <w:rFonts w:eastAsia="Calibri"/>
                <w:color w:val="212121"/>
                <w:sz w:val="20"/>
                <w:szCs w:val="20"/>
              </w:rPr>
              <w:t>000. The institutional budget alloc</w:t>
            </w:r>
            <w:r w:rsidR="00C74770">
              <w:rPr>
                <w:rFonts w:eastAsia="Calibri"/>
                <w:color w:val="212121"/>
                <w:sz w:val="20"/>
                <w:szCs w:val="20"/>
              </w:rPr>
              <w:t>a</w:t>
            </w:r>
            <w:r w:rsidRPr="001C6676">
              <w:rPr>
                <w:rFonts w:eastAsia="Calibri"/>
                <w:color w:val="212121"/>
                <w:sz w:val="20"/>
                <w:szCs w:val="20"/>
              </w:rPr>
              <w:t xml:space="preserve">tion from regular resources </w:t>
            </w:r>
            <w:r w:rsidR="00E67B25">
              <w:rPr>
                <w:rFonts w:eastAsia="Calibri"/>
                <w:color w:val="212121"/>
                <w:sz w:val="20"/>
                <w:szCs w:val="20"/>
              </w:rPr>
              <w:t xml:space="preserve">in these country offices </w:t>
            </w:r>
            <w:r w:rsidRPr="001C6676">
              <w:rPr>
                <w:rFonts w:eastAsia="Calibri"/>
                <w:color w:val="212121"/>
                <w:sz w:val="20"/>
                <w:szCs w:val="20"/>
              </w:rPr>
              <w:t xml:space="preserve">consists of full funding of the Resident Coordinator/Resident Representative position, including 25 per cent of requisite critical cross-cutting capacities (as per executive board decision 2013/30). The balance of 75 per cent of funding for these critical cross-cutting capacities is to be funded from respective </w:t>
            </w:r>
            <w:proofErr w:type="spellStart"/>
            <w:r w:rsidRPr="001C6676">
              <w:rPr>
                <w:rFonts w:eastAsia="Calibri"/>
                <w:color w:val="212121"/>
                <w:sz w:val="20"/>
                <w:szCs w:val="20"/>
              </w:rPr>
              <w:t>programme</w:t>
            </w:r>
            <w:proofErr w:type="spellEnd"/>
            <w:r w:rsidRPr="001C6676">
              <w:rPr>
                <w:rFonts w:eastAsia="Calibri"/>
                <w:color w:val="212121"/>
                <w:sz w:val="20"/>
                <w:szCs w:val="20"/>
              </w:rPr>
              <w:t xml:space="preserve"> country government resources.</w:t>
            </w:r>
          </w:p>
        </w:tc>
      </w:tr>
    </w:tbl>
    <w:p w:rsidR="00024B83" w:rsidRPr="00FF1157" w:rsidRDefault="00024B83" w:rsidP="00BF407B">
      <w:pPr>
        <w:pStyle w:val="ADRText"/>
        <w:ind w:left="0"/>
        <w:rPr>
          <w:sz w:val="20"/>
          <w:lang w:val="en-US"/>
        </w:rPr>
      </w:pPr>
    </w:p>
    <w:sectPr w:rsidR="00024B83" w:rsidRPr="00FF1157" w:rsidSect="0029161C">
      <w:footerReference w:type="even" r:id="rId16"/>
      <w:footerReference w:type="default" r:id="rId17"/>
      <w:headerReference w:type="first" r:id="rId18"/>
      <w:pgSz w:w="12240" w:h="15840" w:code="1"/>
      <w:pgMar w:top="907" w:right="2160" w:bottom="1267" w:left="1440" w:header="187" w:footer="720" w:gutter="0"/>
      <w:pgBorders w:offsetFrom="page">
        <w:top w:val="single" w:sz="4" w:space="0" w:color="auto"/>
        <w:left w:val="single" w:sz="4" w:space="0" w:color="auto"/>
        <w:bottom w:val="single" w:sz="4" w:space="0" w:color="auto"/>
        <w:right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799" w:rsidRDefault="00486799" w:rsidP="007458AB">
      <w:r>
        <w:separator/>
      </w:r>
    </w:p>
    <w:p w:rsidR="00486799" w:rsidRDefault="00486799"/>
  </w:endnote>
  <w:endnote w:type="continuationSeparator" w:id="0">
    <w:p w:rsidR="00486799" w:rsidRDefault="00486799" w:rsidP="007458AB">
      <w:r>
        <w:continuationSeparator/>
      </w:r>
    </w:p>
    <w:p w:rsidR="00486799" w:rsidRDefault="00486799"/>
  </w:endnote>
  <w:endnote w:type="continuationNotice" w:id="1">
    <w:p w:rsidR="00486799" w:rsidRDefault="00486799"/>
    <w:p w:rsidR="00486799" w:rsidRDefault="0048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00428"/>
      <w:docPartObj>
        <w:docPartGallery w:val="Page Numbers (Bottom of Page)"/>
        <w:docPartUnique/>
      </w:docPartObj>
    </w:sdtPr>
    <w:sdtEndPr>
      <w:rPr>
        <w:b/>
        <w:noProof/>
        <w:sz w:val="17"/>
        <w:szCs w:val="17"/>
      </w:rPr>
    </w:sdtEndPr>
    <w:sdtContent>
      <w:p w:rsidR="00077824" w:rsidRPr="004233D8" w:rsidRDefault="004233D8" w:rsidP="004233D8">
        <w:pPr>
          <w:pStyle w:val="Footer"/>
          <w:rPr>
            <w:b/>
            <w:sz w:val="17"/>
            <w:szCs w:val="17"/>
          </w:rPr>
        </w:pPr>
        <w:r w:rsidRPr="004233D8">
          <w:rPr>
            <w:b/>
            <w:sz w:val="17"/>
            <w:szCs w:val="17"/>
          </w:rPr>
          <w:fldChar w:fldCharType="begin"/>
        </w:r>
        <w:r w:rsidRPr="004233D8">
          <w:rPr>
            <w:b/>
            <w:sz w:val="17"/>
            <w:szCs w:val="17"/>
          </w:rPr>
          <w:instrText xml:space="preserve"> PAGE   \* MERGEFORMAT </w:instrText>
        </w:r>
        <w:r w:rsidRPr="004233D8">
          <w:rPr>
            <w:b/>
            <w:sz w:val="17"/>
            <w:szCs w:val="17"/>
          </w:rPr>
          <w:fldChar w:fldCharType="separate"/>
        </w:r>
        <w:r w:rsidR="00FC07BF">
          <w:rPr>
            <w:b/>
            <w:noProof/>
            <w:sz w:val="17"/>
            <w:szCs w:val="17"/>
          </w:rPr>
          <w:t>10</w:t>
        </w:r>
        <w:r w:rsidRPr="004233D8">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551089"/>
      <w:docPartObj>
        <w:docPartGallery w:val="Page Numbers (Bottom of Page)"/>
        <w:docPartUnique/>
      </w:docPartObj>
    </w:sdtPr>
    <w:sdtEndPr>
      <w:rPr>
        <w:noProof/>
      </w:rPr>
    </w:sdtEndPr>
    <w:sdtContent>
      <w:p w:rsidR="004233D8" w:rsidRDefault="004233D8">
        <w:pPr>
          <w:pStyle w:val="Footer"/>
          <w:jc w:val="right"/>
        </w:pPr>
        <w:r w:rsidRPr="004233D8">
          <w:rPr>
            <w:b/>
            <w:sz w:val="17"/>
            <w:szCs w:val="17"/>
          </w:rPr>
          <w:fldChar w:fldCharType="begin"/>
        </w:r>
        <w:r w:rsidRPr="004233D8">
          <w:rPr>
            <w:b/>
            <w:sz w:val="17"/>
            <w:szCs w:val="17"/>
          </w:rPr>
          <w:instrText xml:space="preserve"> PAGE   \* MERGEFORMAT </w:instrText>
        </w:r>
        <w:r w:rsidRPr="004233D8">
          <w:rPr>
            <w:b/>
            <w:sz w:val="17"/>
            <w:szCs w:val="17"/>
          </w:rPr>
          <w:fldChar w:fldCharType="separate"/>
        </w:r>
        <w:r w:rsidR="00FC07BF">
          <w:rPr>
            <w:b/>
            <w:noProof/>
            <w:sz w:val="17"/>
            <w:szCs w:val="17"/>
          </w:rPr>
          <w:t>11</w:t>
        </w:r>
        <w:r w:rsidRPr="004233D8">
          <w:rPr>
            <w:b/>
            <w:noProof/>
            <w:sz w:val="17"/>
            <w:szCs w:val="17"/>
          </w:rPr>
          <w:fldChar w:fldCharType="end"/>
        </w:r>
      </w:p>
    </w:sdtContent>
  </w:sdt>
  <w:p w:rsidR="00077824" w:rsidRDefault="00077824" w:rsidP="00423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799" w:rsidRDefault="00486799" w:rsidP="007458AB">
      <w:r>
        <w:separator/>
      </w:r>
    </w:p>
    <w:p w:rsidR="00486799" w:rsidRDefault="00486799"/>
  </w:footnote>
  <w:footnote w:type="continuationSeparator" w:id="0">
    <w:p w:rsidR="00486799" w:rsidRDefault="00486799" w:rsidP="007458AB">
      <w:r>
        <w:continuationSeparator/>
      </w:r>
    </w:p>
    <w:p w:rsidR="00486799" w:rsidRDefault="00486799"/>
  </w:footnote>
  <w:footnote w:type="continuationNotice" w:id="1">
    <w:p w:rsidR="00486799" w:rsidRDefault="00486799"/>
    <w:p w:rsidR="00486799" w:rsidRDefault="0048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DD6295" w:rsidRPr="00F202B1" w:rsidTr="00220336">
      <w:trPr>
        <w:trHeight w:hRule="exact" w:val="864"/>
      </w:trPr>
      <w:tc>
        <w:tcPr>
          <w:tcW w:w="4838" w:type="dxa"/>
          <w:vAlign w:val="bottom"/>
        </w:tcPr>
        <w:p w:rsidR="00DD6295" w:rsidRPr="00FC07BF" w:rsidRDefault="00DD6295" w:rsidP="00DD6295">
          <w:pPr>
            <w:pStyle w:val="Header"/>
            <w:spacing w:after="80"/>
            <w:rPr>
              <w:b/>
              <w:bCs/>
              <w:sz w:val="20"/>
              <w:szCs w:val="20"/>
              <w:lang w:val="en-US"/>
            </w:rPr>
          </w:pPr>
          <w:r w:rsidRPr="00FC07BF">
            <w:rPr>
              <w:b/>
              <w:bCs/>
              <w:sz w:val="20"/>
              <w:szCs w:val="20"/>
              <w:lang w:val="en-US"/>
            </w:rPr>
            <w:t>Annex B to DP/2017/39</w:t>
          </w:r>
        </w:p>
      </w:tc>
      <w:tc>
        <w:tcPr>
          <w:tcW w:w="5047" w:type="dxa"/>
          <w:vAlign w:val="bottom"/>
        </w:tcPr>
        <w:p w:rsidR="00DD6295" w:rsidRPr="00FC07BF" w:rsidRDefault="00DD6295" w:rsidP="00DD6295">
          <w:pPr>
            <w:pStyle w:val="Header"/>
            <w:jc w:val="right"/>
            <w:rPr>
              <w:b/>
              <w:sz w:val="20"/>
              <w:szCs w:val="20"/>
              <w:lang w:val="en-US"/>
            </w:rPr>
          </w:pPr>
          <w:r w:rsidRPr="00FC07BF">
            <w:rPr>
              <w:b/>
              <w:sz w:val="20"/>
              <w:szCs w:val="20"/>
              <w:lang w:val="en-US"/>
            </w:rPr>
            <w:t>17 October 2017</w:t>
          </w:r>
        </w:p>
      </w:tc>
    </w:tr>
  </w:tbl>
  <w:p w:rsidR="00E6386B" w:rsidRDefault="00E6386B" w:rsidP="00316980">
    <w:pP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70"/>
    <w:multiLevelType w:val="multilevel"/>
    <w:tmpl w:val="0A166D90"/>
    <w:lvl w:ilvl="0">
      <w:start w:val="1"/>
      <w:numFmt w:val="decimal"/>
      <w:pStyle w:val="normalHeader"/>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87D13"/>
    <w:multiLevelType w:val="multilevel"/>
    <w:tmpl w:val="0409001D"/>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7B14D2"/>
    <w:multiLevelType w:val="hybridMultilevel"/>
    <w:tmpl w:val="EA543752"/>
    <w:lvl w:ilvl="0" w:tplc="966E9FA2">
      <w:start w:val="1"/>
      <w:numFmt w:val="lowerLetter"/>
      <w:pStyle w:val="normalsubnumber"/>
      <w:lvlText w:val="%1."/>
      <w:lvlJc w:val="left"/>
      <w:pPr>
        <w:ind w:left="720" w:hanging="360"/>
      </w:pPr>
      <w:rPr>
        <w:rFonts w:hint="default"/>
        <w:b w:val="0"/>
        <w:color w:val="auto"/>
        <w:sz w:val="20"/>
        <w:szCs w:val="2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5C2550DC"/>
    <w:multiLevelType w:val="hybridMultilevel"/>
    <w:tmpl w:val="1640F3B4"/>
    <w:lvl w:ilvl="0" w:tplc="C79E867E">
      <w:start w:val="1"/>
      <w:numFmt w:val="bullet"/>
      <w:pStyle w:val="nornalbullet"/>
      <w:lvlText w:val=""/>
      <w:lvlJc w:val="left"/>
      <w:pPr>
        <w:ind w:left="1080" w:hanging="360"/>
      </w:pPr>
      <w:rPr>
        <w:rFonts w:ascii="Symbol" w:hAnsi="Symbol" w:hint="default"/>
        <w:b w:val="0"/>
        <w:color w:val="auto"/>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CD"/>
    <w:rsid w:val="0000079D"/>
    <w:rsid w:val="00000ABC"/>
    <w:rsid w:val="00001CE4"/>
    <w:rsid w:val="000025CE"/>
    <w:rsid w:val="00002E30"/>
    <w:rsid w:val="0000303A"/>
    <w:rsid w:val="00003259"/>
    <w:rsid w:val="00004D38"/>
    <w:rsid w:val="000060E1"/>
    <w:rsid w:val="000072E2"/>
    <w:rsid w:val="000074E3"/>
    <w:rsid w:val="00010AA7"/>
    <w:rsid w:val="00011583"/>
    <w:rsid w:val="00011CA4"/>
    <w:rsid w:val="00012C8A"/>
    <w:rsid w:val="00012F35"/>
    <w:rsid w:val="00012FD4"/>
    <w:rsid w:val="000137E0"/>
    <w:rsid w:val="00013E3B"/>
    <w:rsid w:val="000141F7"/>
    <w:rsid w:val="00014764"/>
    <w:rsid w:val="00014F69"/>
    <w:rsid w:val="0001500D"/>
    <w:rsid w:val="00015111"/>
    <w:rsid w:val="00015726"/>
    <w:rsid w:val="00016257"/>
    <w:rsid w:val="00016AB7"/>
    <w:rsid w:val="00016E45"/>
    <w:rsid w:val="00017922"/>
    <w:rsid w:val="00020047"/>
    <w:rsid w:val="00020977"/>
    <w:rsid w:val="00020F1F"/>
    <w:rsid w:val="00021695"/>
    <w:rsid w:val="0002297D"/>
    <w:rsid w:val="00022A52"/>
    <w:rsid w:val="00022CC5"/>
    <w:rsid w:val="00023BC3"/>
    <w:rsid w:val="00023DE3"/>
    <w:rsid w:val="00024B83"/>
    <w:rsid w:val="000251CA"/>
    <w:rsid w:val="000255E9"/>
    <w:rsid w:val="00026404"/>
    <w:rsid w:val="00026532"/>
    <w:rsid w:val="00026D8C"/>
    <w:rsid w:val="00027F8E"/>
    <w:rsid w:val="00030A73"/>
    <w:rsid w:val="00031376"/>
    <w:rsid w:val="00031957"/>
    <w:rsid w:val="00031A48"/>
    <w:rsid w:val="00031A9A"/>
    <w:rsid w:val="00031C30"/>
    <w:rsid w:val="00031C49"/>
    <w:rsid w:val="0003256B"/>
    <w:rsid w:val="00032940"/>
    <w:rsid w:val="00032A5E"/>
    <w:rsid w:val="00032A97"/>
    <w:rsid w:val="00034807"/>
    <w:rsid w:val="00035706"/>
    <w:rsid w:val="00037003"/>
    <w:rsid w:val="0003717B"/>
    <w:rsid w:val="00037332"/>
    <w:rsid w:val="0003792C"/>
    <w:rsid w:val="00037B43"/>
    <w:rsid w:val="00037C5A"/>
    <w:rsid w:val="0004167F"/>
    <w:rsid w:val="00041690"/>
    <w:rsid w:val="000418F4"/>
    <w:rsid w:val="00041E2F"/>
    <w:rsid w:val="0004200D"/>
    <w:rsid w:val="00042206"/>
    <w:rsid w:val="00043014"/>
    <w:rsid w:val="0004346F"/>
    <w:rsid w:val="0004426C"/>
    <w:rsid w:val="00045967"/>
    <w:rsid w:val="00045A2D"/>
    <w:rsid w:val="00045D3F"/>
    <w:rsid w:val="00046D8D"/>
    <w:rsid w:val="00046EFF"/>
    <w:rsid w:val="00047EA8"/>
    <w:rsid w:val="0005033D"/>
    <w:rsid w:val="00050AF2"/>
    <w:rsid w:val="00051359"/>
    <w:rsid w:val="00051961"/>
    <w:rsid w:val="000526AC"/>
    <w:rsid w:val="0005293F"/>
    <w:rsid w:val="000539E1"/>
    <w:rsid w:val="00054D4A"/>
    <w:rsid w:val="00054D5F"/>
    <w:rsid w:val="00054F49"/>
    <w:rsid w:val="000551E1"/>
    <w:rsid w:val="00055297"/>
    <w:rsid w:val="0005657E"/>
    <w:rsid w:val="000579AD"/>
    <w:rsid w:val="000579BE"/>
    <w:rsid w:val="00060810"/>
    <w:rsid w:val="0006085C"/>
    <w:rsid w:val="000608A3"/>
    <w:rsid w:val="00060B4C"/>
    <w:rsid w:val="00060FCF"/>
    <w:rsid w:val="00061A9E"/>
    <w:rsid w:val="000624CD"/>
    <w:rsid w:val="00062709"/>
    <w:rsid w:val="00062A7C"/>
    <w:rsid w:val="00062DE9"/>
    <w:rsid w:val="00062ED1"/>
    <w:rsid w:val="000638C7"/>
    <w:rsid w:val="00064439"/>
    <w:rsid w:val="00065319"/>
    <w:rsid w:val="00065D99"/>
    <w:rsid w:val="00066544"/>
    <w:rsid w:val="00066786"/>
    <w:rsid w:val="00066808"/>
    <w:rsid w:val="00067802"/>
    <w:rsid w:val="00070897"/>
    <w:rsid w:val="00071258"/>
    <w:rsid w:val="00071A43"/>
    <w:rsid w:val="000726A0"/>
    <w:rsid w:val="00072A6E"/>
    <w:rsid w:val="00072C99"/>
    <w:rsid w:val="000734B9"/>
    <w:rsid w:val="00073732"/>
    <w:rsid w:val="00075194"/>
    <w:rsid w:val="00075D9D"/>
    <w:rsid w:val="000763CE"/>
    <w:rsid w:val="00076BE8"/>
    <w:rsid w:val="00077079"/>
    <w:rsid w:val="000770CA"/>
    <w:rsid w:val="00077824"/>
    <w:rsid w:val="00077F4F"/>
    <w:rsid w:val="00080C7E"/>
    <w:rsid w:val="00080E3F"/>
    <w:rsid w:val="0008104F"/>
    <w:rsid w:val="00081841"/>
    <w:rsid w:val="0008207E"/>
    <w:rsid w:val="000832BF"/>
    <w:rsid w:val="00083387"/>
    <w:rsid w:val="00083562"/>
    <w:rsid w:val="00083DF6"/>
    <w:rsid w:val="000841E6"/>
    <w:rsid w:val="000848F5"/>
    <w:rsid w:val="00084B8B"/>
    <w:rsid w:val="00084D8B"/>
    <w:rsid w:val="00084F78"/>
    <w:rsid w:val="0008505E"/>
    <w:rsid w:val="0008603D"/>
    <w:rsid w:val="0008627A"/>
    <w:rsid w:val="00087646"/>
    <w:rsid w:val="00090635"/>
    <w:rsid w:val="00090CDD"/>
    <w:rsid w:val="00091990"/>
    <w:rsid w:val="00091C8E"/>
    <w:rsid w:val="00091DF5"/>
    <w:rsid w:val="00092370"/>
    <w:rsid w:val="00092A37"/>
    <w:rsid w:val="00092BD0"/>
    <w:rsid w:val="00094E72"/>
    <w:rsid w:val="0009542A"/>
    <w:rsid w:val="00095F6C"/>
    <w:rsid w:val="000963C6"/>
    <w:rsid w:val="000968F6"/>
    <w:rsid w:val="00096A5F"/>
    <w:rsid w:val="00096E4A"/>
    <w:rsid w:val="0009786D"/>
    <w:rsid w:val="000A0091"/>
    <w:rsid w:val="000A00B6"/>
    <w:rsid w:val="000A02A0"/>
    <w:rsid w:val="000A0616"/>
    <w:rsid w:val="000A0703"/>
    <w:rsid w:val="000A196A"/>
    <w:rsid w:val="000A1B99"/>
    <w:rsid w:val="000A2123"/>
    <w:rsid w:val="000A2476"/>
    <w:rsid w:val="000A25A2"/>
    <w:rsid w:val="000A37BD"/>
    <w:rsid w:val="000A3F33"/>
    <w:rsid w:val="000A48E1"/>
    <w:rsid w:val="000A4F38"/>
    <w:rsid w:val="000A5DE5"/>
    <w:rsid w:val="000A5FA0"/>
    <w:rsid w:val="000A6590"/>
    <w:rsid w:val="000A65CB"/>
    <w:rsid w:val="000A6F9E"/>
    <w:rsid w:val="000A77CC"/>
    <w:rsid w:val="000A7A26"/>
    <w:rsid w:val="000A7DC2"/>
    <w:rsid w:val="000B070A"/>
    <w:rsid w:val="000B0B0D"/>
    <w:rsid w:val="000B0B92"/>
    <w:rsid w:val="000B1CBB"/>
    <w:rsid w:val="000B2016"/>
    <w:rsid w:val="000B2654"/>
    <w:rsid w:val="000B2838"/>
    <w:rsid w:val="000B338D"/>
    <w:rsid w:val="000B36A7"/>
    <w:rsid w:val="000B3958"/>
    <w:rsid w:val="000B5187"/>
    <w:rsid w:val="000B522B"/>
    <w:rsid w:val="000B54BE"/>
    <w:rsid w:val="000B5546"/>
    <w:rsid w:val="000B5E3E"/>
    <w:rsid w:val="000B5EAA"/>
    <w:rsid w:val="000B605F"/>
    <w:rsid w:val="000B649A"/>
    <w:rsid w:val="000B73A6"/>
    <w:rsid w:val="000B73D0"/>
    <w:rsid w:val="000B7440"/>
    <w:rsid w:val="000B7544"/>
    <w:rsid w:val="000B7801"/>
    <w:rsid w:val="000B7EDF"/>
    <w:rsid w:val="000C0211"/>
    <w:rsid w:val="000C0429"/>
    <w:rsid w:val="000C0B9E"/>
    <w:rsid w:val="000C1019"/>
    <w:rsid w:val="000C2883"/>
    <w:rsid w:val="000C2906"/>
    <w:rsid w:val="000C2C94"/>
    <w:rsid w:val="000C2CC7"/>
    <w:rsid w:val="000C2F2E"/>
    <w:rsid w:val="000C38D5"/>
    <w:rsid w:val="000C3FE5"/>
    <w:rsid w:val="000C47C1"/>
    <w:rsid w:val="000C4D8B"/>
    <w:rsid w:val="000C4DA3"/>
    <w:rsid w:val="000C54DE"/>
    <w:rsid w:val="000C5788"/>
    <w:rsid w:val="000C5C63"/>
    <w:rsid w:val="000D077D"/>
    <w:rsid w:val="000D0D7F"/>
    <w:rsid w:val="000D104D"/>
    <w:rsid w:val="000D1E7C"/>
    <w:rsid w:val="000D1EE3"/>
    <w:rsid w:val="000D2FC2"/>
    <w:rsid w:val="000D33CD"/>
    <w:rsid w:val="000D40E5"/>
    <w:rsid w:val="000D4631"/>
    <w:rsid w:val="000D4F80"/>
    <w:rsid w:val="000D5726"/>
    <w:rsid w:val="000D5EDC"/>
    <w:rsid w:val="000D6292"/>
    <w:rsid w:val="000D6C30"/>
    <w:rsid w:val="000D6DB4"/>
    <w:rsid w:val="000D7635"/>
    <w:rsid w:val="000D7BA3"/>
    <w:rsid w:val="000D7D39"/>
    <w:rsid w:val="000E02D5"/>
    <w:rsid w:val="000E11C6"/>
    <w:rsid w:val="000E130C"/>
    <w:rsid w:val="000E13DD"/>
    <w:rsid w:val="000E1D3A"/>
    <w:rsid w:val="000E319B"/>
    <w:rsid w:val="000E3334"/>
    <w:rsid w:val="000E3C2E"/>
    <w:rsid w:val="000E4A91"/>
    <w:rsid w:val="000E4F24"/>
    <w:rsid w:val="000E5A08"/>
    <w:rsid w:val="000E66D2"/>
    <w:rsid w:val="000E70CF"/>
    <w:rsid w:val="000E7DFB"/>
    <w:rsid w:val="000F060D"/>
    <w:rsid w:val="000F1073"/>
    <w:rsid w:val="000F1356"/>
    <w:rsid w:val="000F13BB"/>
    <w:rsid w:val="000F1408"/>
    <w:rsid w:val="000F1424"/>
    <w:rsid w:val="000F1FAC"/>
    <w:rsid w:val="000F2CA3"/>
    <w:rsid w:val="000F3833"/>
    <w:rsid w:val="000F3DC7"/>
    <w:rsid w:val="000F3F10"/>
    <w:rsid w:val="000F3F2F"/>
    <w:rsid w:val="000F40EC"/>
    <w:rsid w:val="000F440D"/>
    <w:rsid w:val="000F4861"/>
    <w:rsid w:val="000F4D05"/>
    <w:rsid w:val="000F52BE"/>
    <w:rsid w:val="000F5549"/>
    <w:rsid w:val="000F5BB1"/>
    <w:rsid w:val="000F653E"/>
    <w:rsid w:val="000F6D4C"/>
    <w:rsid w:val="000F7084"/>
    <w:rsid w:val="000F711A"/>
    <w:rsid w:val="000F73FE"/>
    <w:rsid w:val="000F750E"/>
    <w:rsid w:val="000F75D6"/>
    <w:rsid w:val="000F7DE3"/>
    <w:rsid w:val="0010013B"/>
    <w:rsid w:val="001018D0"/>
    <w:rsid w:val="00102E01"/>
    <w:rsid w:val="00104A82"/>
    <w:rsid w:val="00104BCE"/>
    <w:rsid w:val="00104D21"/>
    <w:rsid w:val="001051C9"/>
    <w:rsid w:val="00105CB3"/>
    <w:rsid w:val="001063E7"/>
    <w:rsid w:val="00107989"/>
    <w:rsid w:val="00107A27"/>
    <w:rsid w:val="00107D61"/>
    <w:rsid w:val="00110148"/>
    <w:rsid w:val="00110696"/>
    <w:rsid w:val="001115BE"/>
    <w:rsid w:val="001118EE"/>
    <w:rsid w:val="00111A29"/>
    <w:rsid w:val="00111B84"/>
    <w:rsid w:val="00111ED5"/>
    <w:rsid w:val="001121CD"/>
    <w:rsid w:val="001121DB"/>
    <w:rsid w:val="00112442"/>
    <w:rsid w:val="001125DA"/>
    <w:rsid w:val="001126C4"/>
    <w:rsid w:val="001129A8"/>
    <w:rsid w:val="00112BC9"/>
    <w:rsid w:val="00114008"/>
    <w:rsid w:val="00114A86"/>
    <w:rsid w:val="00115212"/>
    <w:rsid w:val="001159C1"/>
    <w:rsid w:val="00116748"/>
    <w:rsid w:val="00116CF5"/>
    <w:rsid w:val="00116F98"/>
    <w:rsid w:val="001172D9"/>
    <w:rsid w:val="00117308"/>
    <w:rsid w:val="001176F9"/>
    <w:rsid w:val="0011795B"/>
    <w:rsid w:val="00117BA4"/>
    <w:rsid w:val="0012016F"/>
    <w:rsid w:val="00120631"/>
    <w:rsid w:val="00120948"/>
    <w:rsid w:val="00120B99"/>
    <w:rsid w:val="00121027"/>
    <w:rsid w:val="00121191"/>
    <w:rsid w:val="00121230"/>
    <w:rsid w:val="00121243"/>
    <w:rsid w:val="0012187D"/>
    <w:rsid w:val="00121B73"/>
    <w:rsid w:val="00122F1B"/>
    <w:rsid w:val="00122F7D"/>
    <w:rsid w:val="00123610"/>
    <w:rsid w:val="00123DA8"/>
    <w:rsid w:val="00124297"/>
    <w:rsid w:val="001249F8"/>
    <w:rsid w:val="001254C5"/>
    <w:rsid w:val="00125B3F"/>
    <w:rsid w:val="001273BE"/>
    <w:rsid w:val="00130232"/>
    <w:rsid w:val="001306DF"/>
    <w:rsid w:val="00130B57"/>
    <w:rsid w:val="00130D8A"/>
    <w:rsid w:val="00132716"/>
    <w:rsid w:val="00132831"/>
    <w:rsid w:val="001335DD"/>
    <w:rsid w:val="0013390A"/>
    <w:rsid w:val="00133CB8"/>
    <w:rsid w:val="00133DBF"/>
    <w:rsid w:val="00133FB5"/>
    <w:rsid w:val="00134138"/>
    <w:rsid w:val="001345AE"/>
    <w:rsid w:val="00134BB4"/>
    <w:rsid w:val="00134DE0"/>
    <w:rsid w:val="00135773"/>
    <w:rsid w:val="00135864"/>
    <w:rsid w:val="001359CA"/>
    <w:rsid w:val="00135E8B"/>
    <w:rsid w:val="00136924"/>
    <w:rsid w:val="0013790C"/>
    <w:rsid w:val="001379FF"/>
    <w:rsid w:val="00137CA9"/>
    <w:rsid w:val="00141082"/>
    <w:rsid w:val="0014166C"/>
    <w:rsid w:val="0014184D"/>
    <w:rsid w:val="0014184F"/>
    <w:rsid w:val="0014268C"/>
    <w:rsid w:val="00142B7D"/>
    <w:rsid w:val="00142F56"/>
    <w:rsid w:val="00143497"/>
    <w:rsid w:val="001443E0"/>
    <w:rsid w:val="00144AD4"/>
    <w:rsid w:val="00144B23"/>
    <w:rsid w:val="00146825"/>
    <w:rsid w:val="00147505"/>
    <w:rsid w:val="00150089"/>
    <w:rsid w:val="001502E6"/>
    <w:rsid w:val="00150B9F"/>
    <w:rsid w:val="00151FBC"/>
    <w:rsid w:val="0015276C"/>
    <w:rsid w:val="0015296A"/>
    <w:rsid w:val="00152AE9"/>
    <w:rsid w:val="00153DC7"/>
    <w:rsid w:val="00153EA3"/>
    <w:rsid w:val="001542AE"/>
    <w:rsid w:val="00154CD1"/>
    <w:rsid w:val="001554CB"/>
    <w:rsid w:val="0015584A"/>
    <w:rsid w:val="001565D2"/>
    <w:rsid w:val="0015754F"/>
    <w:rsid w:val="00157DA6"/>
    <w:rsid w:val="001602D0"/>
    <w:rsid w:val="00160348"/>
    <w:rsid w:val="00161363"/>
    <w:rsid w:val="00161519"/>
    <w:rsid w:val="00161A07"/>
    <w:rsid w:val="001627E5"/>
    <w:rsid w:val="00162913"/>
    <w:rsid w:val="00163207"/>
    <w:rsid w:val="0016338D"/>
    <w:rsid w:val="001636B4"/>
    <w:rsid w:val="00163A69"/>
    <w:rsid w:val="0016451B"/>
    <w:rsid w:val="00164D59"/>
    <w:rsid w:val="00164D97"/>
    <w:rsid w:val="00164FA4"/>
    <w:rsid w:val="00165448"/>
    <w:rsid w:val="00166360"/>
    <w:rsid w:val="0016645A"/>
    <w:rsid w:val="00166EE8"/>
    <w:rsid w:val="00167331"/>
    <w:rsid w:val="00167701"/>
    <w:rsid w:val="001715BB"/>
    <w:rsid w:val="00171612"/>
    <w:rsid w:val="00173B2F"/>
    <w:rsid w:val="00173B49"/>
    <w:rsid w:val="00173DAD"/>
    <w:rsid w:val="001742E1"/>
    <w:rsid w:val="001749FD"/>
    <w:rsid w:val="00174C70"/>
    <w:rsid w:val="00175281"/>
    <w:rsid w:val="00175703"/>
    <w:rsid w:val="001757B4"/>
    <w:rsid w:val="00175C86"/>
    <w:rsid w:val="00176C65"/>
    <w:rsid w:val="00176E0E"/>
    <w:rsid w:val="001774ED"/>
    <w:rsid w:val="00177E62"/>
    <w:rsid w:val="0018067D"/>
    <w:rsid w:val="0018206C"/>
    <w:rsid w:val="001829EB"/>
    <w:rsid w:val="00182E4C"/>
    <w:rsid w:val="00182FC7"/>
    <w:rsid w:val="0018418B"/>
    <w:rsid w:val="001851D6"/>
    <w:rsid w:val="00185373"/>
    <w:rsid w:val="00185F6F"/>
    <w:rsid w:val="00186634"/>
    <w:rsid w:val="001867BC"/>
    <w:rsid w:val="0018696C"/>
    <w:rsid w:val="00187C9D"/>
    <w:rsid w:val="0019085B"/>
    <w:rsid w:val="00190E21"/>
    <w:rsid w:val="001919E3"/>
    <w:rsid w:val="001922E5"/>
    <w:rsid w:val="001924F0"/>
    <w:rsid w:val="001932CC"/>
    <w:rsid w:val="00193D44"/>
    <w:rsid w:val="00194051"/>
    <w:rsid w:val="0019424D"/>
    <w:rsid w:val="00194852"/>
    <w:rsid w:val="00194CBA"/>
    <w:rsid w:val="0019509A"/>
    <w:rsid w:val="00195150"/>
    <w:rsid w:val="0019594C"/>
    <w:rsid w:val="00195EED"/>
    <w:rsid w:val="0019600F"/>
    <w:rsid w:val="001965C4"/>
    <w:rsid w:val="00196959"/>
    <w:rsid w:val="00196BA5"/>
    <w:rsid w:val="001976E6"/>
    <w:rsid w:val="00197862"/>
    <w:rsid w:val="00197955"/>
    <w:rsid w:val="00197C42"/>
    <w:rsid w:val="001A07B2"/>
    <w:rsid w:val="001A0A4E"/>
    <w:rsid w:val="001A0FFF"/>
    <w:rsid w:val="001A2534"/>
    <w:rsid w:val="001A33DD"/>
    <w:rsid w:val="001A3855"/>
    <w:rsid w:val="001A3C69"/>
    <w:rsid w:val="001A4D89"/>
    <w:rsid w:val="001A4E29"/>
    <w:rsid w:val="001A573F"/>
    <w:rsid w:val="001A5EE5"/>
    <w:rsid w:val="001A5F0A"/>
    <w:rsid w:val="001A76F0"/>
    <w:rsid w:val="001B013D"/>
    <w:rsid w:val="001B0362"/>
    <w:rsid w:val="001B03AD"/>
    <w:rsid w:val="001B1242"/>
    <w:rsid w:val="001B33AD"/>
    <w:rsid w:val="001B3499"/>
    <w:rsid w:val="001B3DC3"/>
    <w:rsid w:val="001B4127"/>
    <w:rsid w:val="001B4182"/>
    <w:rsid w:val="001B4317"/>
    <w:rsid w:val="001B455F"/>
    <w:rsid w:val="001B5994"/>
    <w:rsid w:val="001B655D"/>
    <w:rsid w:val="001B6DD9"/>
    <w:rsid w:val="001B7940"/>
    <w:rsid w:val="001B7A1A"/>
    <w:rsid w:val="001C088A"/>
    <w:rsid w:val="001C0C60"/>
    <w:rsid w:val="001C165B"/>
    <w:rsid w:val="001C265A"/>
    <w:rsid w:val="001C2719"/>
    <w:rsid w:val="001C30E4"/>
    <w:rsid w:val="001C3183"/>
    <w:rsid w:val="001C3895"/>
    <w:rsid w:val="001C39AD"/>
    <w:rsid w:val="001C412C"/>
    <w:rsid w:val="001C41EA"/>
    <w:rsid w:val="001C4384"/>
    <w:rsid w:val="001C5A83"/>
    <w:rsid w:val="001C6B9E"/>
    <w:rsid w:val="001D08D0"/>
    <w:rsid w:val="001D0943"/>
    <w:rsid w:val="001D16AD"/>
    <w:rsid w:val="001D2757"/>
    <w:rsid w:val="001D2B5A"/>
    <w:rsid w:val="001D2EB0"/>
    <w:rsid w:val="001D3C8D"/>
    <w:rsid w:val="001D4174"/>
    <w:rsid w:val="001D45E8"/>
    <w:rsid w:val="001D4BC8"/>
    <w:rsid w:val="001D4FB9"/>
    <w:rsid w:val="001D58F9"/>
    <w:rsid w:val="001D5ED9"/>
    <w:rsid w:val="001D5EE7"/>
    <w:rsid w:val="001D6891"/>
    <w:rsid w:val="001D6A25"/>
    <w:rsid w:val="001D7A62"/>
    <w:rsid w:val="001E0226"/>
    <w:rsid w:val="001E02CA"/>
    <w:rsid w:val="001E05A7"/>
    <w:rsid w:val="001E0759"/>
    <w:rsid w:val="001E2334"/>
    <w:rsid w:val="001E2BB2"/>
    <w:rsid w:val="001E2E4A"/>
    <w:rsid w:val="001E4B5E"/>
    <w:rsid w:val="001E4EA2"/>
    <w:rsid w:val="001E50D5"/>
    <w:rsid w:val="001E54C3"/>
    <w:rsid w:val="001E58DA"/>
    <w:rsid w:val="001E5AA8"/>
    <w:rsid w:val="001E6261"/>
    <w:rsid w:val="001E702A"/>
    <w:rsid w:val="001E7BD6"/>
    <w:rsid w:val="001E7D2E"/>
    <w:rsid w:val="001F0A11"/>
    <w:rsid w:val="001F1091"/>
    <w:rsid w:val="001F235C"/>
    <w:rsid w:val="001F242E"/>
    <w:rsid w:val="001F2478"/>
    <w:rsid w:val="001F27C0"/>
    <w:rsid w:val="001F2B71"/>
    <w:rsid w:val="001F2FA7"/>
    <w:rsid w:val="001F2FCB"/>
    <w:rsid w:val="001F3765"/>
    <w:rsid w:val="001F45E3"/>
    <w:rsid w:val="001F5444"/>
    <w:rsid w:val="001F5999"/>
    <w:rsid w:val="001F5C5A"/>
    <w:rsid w:val="001F6869"/>
    <w:rsid w:val="001F6B9D"/>
    <w:rsid w:val="001F7AE1"/>
    <w:rsid w:val="0020008F"/>
    <w:rsid w:val="00201BB5"/>
    <w:rsid w:val="00201CA8"/>
    <w:rsid w:val="00201FEB"/>
    <w:rsid w:val="002023D7"/>
    <w:rsid w:val="00202794"/>
    <w:rsid w:val="00202C60"/>
    <w:rsid w:val="0020312F"/>
    <w:rsid w:val="00203351"/>
    <w:rsid w:val="00204167"/>
    <w:rsid w:val="00204184"/>
    <w:rsid w:val="00204AA2"/>
    <w:rsid w:val="00204C4F"/>
    <w:rsid w:val="00204F4F"/>
    <w:rsid w:val="002051C5"/>
    <w:rsid w:val="002059B7"/>
    <w:rsid w:val="00206A4A"/>
    <w:rsid w:val="00207704"/>
    <w:rsid w:val="00210440"/>
    <w:rsid w:val="00210B07"/>
    <w:rsid w:val="00210D9D"/>
    <w:rsid w:val="00210DBF"/>
    <w:rsid w:val="002112B6"/>
    <w:rsid w:val="0021138B"/>
    <w:rsid w:val="002117CE"/>
    <w:rsid w:val="00212387"/>
    <w:rsid w:val="002130EC"/>
    <w:rsid w:val="00213622"/>
    <w:rsid w:val="00213994"/>
    <w:rsid w:val="0021498F"/>
    <w:rsid w:val="00214AEC"/>
    <w:rsid w:val="00215808"/>
    <w:rsid w:val="00215BAE"/>
    <w:rsid w:val="002161BF"/>
    <w:rsid w:val="00216829"/>
    <w:rsid w:val="00217076"/>
    <w:rsid w:val="0021727D"/>
    <w:rsid w:val="00217360"/>
    <w:rsid w:val="0021746A"/>
    <w:rsid w:val="00217A7C"/>
    <w:rsid w:val="00220865"/>
    <w:rsid w:val="00220873"/>
    <w:rsid w:val="00221096"/>
    <w:rsid w:val="002216C0"/>
    <w:rsid w:val="002219A9"/>
    <w:rsid w:val="00221B2F"/>
    <w:rsid w:val="00221D59"/>
    <w:rsid w:val="002237EF"/>
    <w:rsid w:val="00223A57"/>
    <w:rsid w:val="00224591"/>
    <w:rsid w:val="00224784"/>
    <w:rsid w:val="00224BEC"/>
    <w:rsid w:val="00225F3A"/>
    <w:rsid w:val="002268F6"/>
    <w:rsid w:val="00226FF9"/>
    <w:rsid w:val="00227499"/>
    <w:rsid w:val="00230344"/>
    <w:rsid w:val="002304D0"/>
    <w:rsid w:val="00230C00"/>
    <w:rsid w:val="002320B1"/>
    <w:rsid w:val="00232DC2"/>
    <w:rsid w:val="00232FD7"/>
    <w:rsid w:val="002330B4"/>
    <w:rsid w:val="00233D6A"/>
    <w:rsid w:val="0023481F"/>
    <w:rsid w:val="002349BB"/>
    <w:rsid w:val="00234C8B"/>
    <w:rsid w:val="00235949"/>
    <w:rsid w:val="002359F4"/>
    <w:rsid w:val="0023602F"/>
    <w:rsid w:val="0023676A"/>
    <w:rsid w:val="00240190"/>
    <w:rsid w:val="0024291B"/>
    <w:rsid w:val="0024450B"/>
    <w:rsid w:val="00244557"/>
    <w:rsid w:val="002445E7"/>
    <w:rsid w:val="00244B13"/>
    <w:rsid w:val="00244D80"/>
    <w:rsid w:val="002450AC"/>
    <w:rsid w:val="00245B17"/>
    <w:rsid w:val="00245C8C"/>
    <w:rsid w:val="00246100"/>
    <w:rsid w:val="002464CB"/>
    <w:rsid w:val="002473AA"/>
    <w:rsid w:val="002478C4"/>
    <w:rsid w:val="00247C41"/>
    <w:rsid w:val="00247F29"/>
    <w:rsid w:val="00251481"/>
    <w:rsid w:val="0025209B"/>
    <w:rsid w:val="00252D0A"/>
    <w:rsid w:val="00253B11"/>
    <w:rsid w:val="0025438B"/>
    <w:rsid w:val="002543DB"/>
    <w:rsid w:val="00254528"/>
    <w:rsid w:val="0025494E"/>
    <w:rsid w:val="00254BE5"/>
    <w:rsid w:val="00254D2C"/>
    <w:rsid w:val="00254F99"/>
    <w:rsid w:val="00255CFF"/>
    <w:rsid w:val="002578DB"/>
    <w:rsid w:val="002601A7"/>
    <w:rsid w:val="00260331"/>
    <w:rsid w:val="00260E6B"/>
    <w:rsid w:val="00261D1B"/>
    <w:rsid w:val="0026227F"/>
    <w:rsid w:val="00262524"/>
    <w:rsid w:val="002645D8"/>
    <w:rsid w:val="002649A8"/>
    <w:rsid w:val="002654D2"/>
    <w:rsid w:val="00265704"/>
    <w:rsid w:val="00266D3D"/>
    <w:rsid w:val="00267729"/>
    <w:rsid w:val="00267D84"/>
    <w:rsid w:val="0027033E"/>
    <w:rsid w:val="002712D6"/>
    <w:rsid w:val="002718A2"/>
    <w:rsid w:val="00271EF9"/>
    <w:rsid w:val="002723B9"/>
    <w:rsid w:val="00272705"/>
    <w:rsid w:val="00272A1C"/>
    <w:rsid w:val="00272F03"/>
    <w:rsid w:val="002731A8"/>
    <w:rsid w:val="00273470"/>
    <w:rsid w:val="00274355"/>
    <w:rsid w:val="002743C2"/>
    <w:rsid w:val="0027451A"/>
    <w:rsid w:val="002747C4"/>
    <w:rsid w:val="00275665"/>
    <w:rsid w:val="00275711"/>
    <w:rsid w:val="00276EB3"/>
    <w:rsid w:val="0027710B"/>
    <w:rsid w:val="002778D4"/>
    <w:rsid w:val="00277968"/>
    <w:rsid w:val="00280048"/>
    <w:rsid w:val="0028021D"/>
    <w:rsid w:val="00280CF4"/>
    <w:rsid w:val="002812F6"/>
    <w:rsid w:val="00281499"/>
    <w:rsid w:val="00281D2D"/>
    <w:rsid w:val="00282326"/>
    <w:rsid w:val="00282CAF"/>
    <w:rsid w:val="002838C2"/>
    <w:rsid w:val="002845F3"/>
    <w:rsid w:val="002856F0"/>
    <w:rsid w:val="00285FE4"/>
    <w:rsid w:val="00286457"/>
    <w:rsid w:val="0028686A"/>
    <w:rsid w:val="00286E99"/>
    <w:rsid w:val="00286F72"/>
    <w:rsid w:val="00290E94"/>
    <w:rsid w:val="00290EBE"/>
    <w:rsid w:val="00291377"/>
    <w:rsid w:val="0029161C"/>
    <w:rsid w:val="0029300B"/>
    <w:rsid w:val="00293639"/>
    <w:rsid w:val="00295179"/>
    <w:rsid w:val="00295269"/>
    <w:rsid w:val="0029528A"/>
    <w:rsid w:val="0029539F"/>
    <w:rsid w:val="002961BF"/>
    <w:rsid w:val="00296E2B"/>
    <w:rsid w:val="002974E1"/>
    <w:rsid w:val="00297E62"/>
    <w:rsid w:val="002A084B"/>
    <w:rsid w:val="002A18B0"/>
    <w:rsid w:val="002A259B"/>
    <w:rsid w:val="002A33F9"/>
    <w:rsid w:val="002A3691"/>
    <w:rsid w:val="002A3C7D"/>
    <w:rsid w:val="002A45BE"/>
    <w:rsid w:val="002A5924"/>
    <w:rsid w:val="002A6CF2"/>
    <w:rsid w:val="002A70B3"/>
    <w:rsid w:val="002A7B3E"/>
    <w:rsid w:val="002A7BBC"/>
    <w:rsid w:val="002B055E"/>
    <w:rsid w:val="002B0657"/>
    <w:rsid w:val="002B1166"/>
    <w:rsid w:val="002B1783"/>
    <w:rsid w:val="002B1C8B"/>
    <w:rsid w:val="002B203A"/>
    <w:rsid w:val="002B26F0"/>
    <w:rsid w:val="002B2B52"/>
    <w:rsid w:val="002B38C0"/>
    <w:rsid w:val="002B3D9E"/>
    <w:rsid w:val="002B3F5D"/>
    <w:rsid w:val="002B4A3C"/>
    <w:rsid w:val="002B4A48"/>
    <w:rsid w:val="002B4FED"/>
    <w:rsid w:val="002B5302"/>
    <w:rsid w:val="002B61C2"/>
    <w:rsid w:val="002B7279"/>
    <w:rsid w:val="002B76FD"/>
    <w:rsid w:val="002B7C08"/>
    <w:rsid w:val="002C05CD"/>
    <w:rsid w:val="002C2F57"/>
    <w:rsid w:val="002C3890"/>
    <w:rsid w:val="002C3F41"/>
    <w:rsid w:val="002C41D8"/>
    <w:rsid w:val="002C46BD"/>
    <w:rsid w:val="002C5918"/>
    <w:rsid w:val="002C6155"/>
    <w:rsid w:val="002C64EE"/>
    <w:rsid w:val="002C668E"/>
    <w:rsid w:val="002C7066"/>
    <w:rsid w:val="002C71AF"/>
    <w:rsid w:val="002C7318"/>
    <w:rsid w:val="002C7682"/>
    <w:rsid w:val="002C7CBB"/>
    <w:rsid w:val="002D0687"/>
    <w:rsid w:val="002D0DEB"/>
    <w:rsid w:val="002D0FF7"/>
    <w:rsid w:val="002D2488"/>
    <w:rsid w:val="002D2EC0"/>
    <w:rsid w:val="002D2F06"/>
    <w:rsid w:val="002D301C"/>
    <w:rsid w:val="002D3417"/>
    <w:rsid w:val="002D37C8"/>
    <w:rsid w:val="002D3822"/>
    <w:rsid w:val="002D3950"/>
    <w:rsid w:val="002D50DA"/>
    <w:rsid w:val="002D594D"/>
    <w:rsid w:val="002D7226"/>
    <w:rsid w:val="002D7BA7"/>
    <w:rsid w:val="002E03EB"/>
    <w:rsid w:val="002E0601"/>
    <w:rsid w:val="002E0687"/>
    <w:rsid w:val="002E0BF9"/>
    <w:rsid w:val="002E0CA0"/>
    <w:rsid w:val="002E0DDC"/>
    <w:rsid w:val="002E14A7"/>
    <w:rsid w:val="002E1763"/>
    <w:rsid w:val="002E192E"/>
    <w:rsid w:val="002E28F6"/>
    <w:rsid w:val="002E2C7C"/>
    <w:rsid w:val="002E2CF9"/>
    <w:rsid w:val="002E4360"/>
    <w:rsid w:val="002E43C0"/>
    <w:rsid w:val="002E517B"/>
    <w:rsid w:val="002E56CE"/>
    <w:rsid w:val="002E58BB"/>
    <w:rsid w:val="002E5AEF"/>
    <w:rsid w:val="002E6354"/>
    <w:rsid w:val="002E70AC"/>
    <w:rsid w:val="002E74A6"/>
    <w:rsid w:val="002E7DC2"/>
    <w:rsid w:val="002F050B"/>
    <w:rsid w:val="002F07BF"/>
    <w:rsid w:val="002F09E2"/>
    <w:rsid w:val="002F0C51"/>
    <w:rsid w:val="002F0E0F"/>
    <w:rsid w:val="002F1467"/>
    <w:rsid w:val="002F187E"/>
    <w:rsid w:val="002F1B0F"/>
    <w:rsid w:val="002F1BAF"/>
    <w:rsid w:val="002F1F55"/>
    <w:rsid w:val="002F2B0A"/>
    <w:rsid w:val="002F2C74"/>
    <w:rsid w:val="002F300E"/>
    <w:rsid w:val="002F37E9"/>
    <w:rsid w:val="002F389D"/>
    <w:rsid w:val="002F4A4E"/>
    <w:rsid w:val="002F4E38"/>
    <w:rsid w:val="002F4F39"/>
    <w:rsid w:val="002F4F74"/>
    <w:rsid w:val="002F562B"/>
    <w:rsid w:val="002F5697"/>
    <w:rsid w:val="002F5CFF"/>
    <w:rsid w:val="002F63D2"/>
    <w:rsid w:val="002F6B01"/>
    <w:rsid w:val="002F7013"/>
    <w:rsid w:val="002F7739"/>
    <w:rsid w:val="002F789A"/>
    <w:rsid w:val="002F7F29"/>
    <w:rsid w:val="00300785"/>
    <w:rsid w:val="003007BE"/>
    <w:rsid w:val="00300C00"/>
    <w:rsid w:val="00300D11"/>
    <w:rsid w:val="00302714"/>
    <w:rsid w:val="00302FED"/>
    <w:rsid w:val="00305367"/>
    <w:rsid w:val="003053AA"/>
    <w:rsid w:val="00305DB9"/>
    <w:rsid w:val="00306254"/>
    <w:rsid w:val="00306468"/>
    <w:rsid w:val="00307726"/>
    <w:rsid w:val="00310B04"/>
    <w:rsid w:val="00310CE7"/>
    <w:rsid w:val="00310EDE"/>
    <w:rsid w:val="00311BCD"/>
    <w:rsid w:val="003129DB"/>
    <w:rsid w:val="00312C02"/>
    <w:rsid w:val="00312ED4"/>
    <w:rsid w:val="003147B9"/>
    <w:rsid w:val="00314C1B"/>
    <w:rsid w:val="00315B93"/>
    <w:rsid w:val="00315D29"/>
    <w:rsid w:val="0031614D"/>
    <w:rsid w:val="003162C8"/>
    <w:rsid w:val="00316980"/>
    <w:rsid w:val="00316A11"/>
    <w:rsid w:val="003177B7"/>
    <w:rsid w:val="00317B51"/>
    <w:rsid w:val="00320255"/>
    <w:rsid w:val="00320806"/>
    <w:rsid w:val="00321043"/>
    <w:rsid w:val="00321403"/>
    <w:rsid w:val="0032162D"/>
    <w:rsid w:val="00322495"/>
    <w:rsid w:val="0032255C"/>
    <w:rsid w:val="00322672"/>
    <w:rsid w:val="003229C3"/>
    <w:rsid w:val="00324177"/>
    <w:rsid w:val="003245B5"/>
    <w:rsid w:val="003245E1"/>
    <w:rsid w:val="0032466E"/>
    <w:rsid w:val="003251DC"/>
    <w:rsid w:val="00325815"/>
    <w:rsid w:val="00326046"/>
    <w:rsid w:val="0032608D"/>
    <w:rsid w:val="003260A6"/>
    <w:rsid w:val="0032707A"/>
    <w:rsid w:val="003279EA"/>
    <w:rsid w:val="00327E0A"/>
    <w:rsid w:val="003300F9"/>
    <w:rsid w:val="003308D5"/>
    <w:rsid w:val="00330FF9"/>
    <w:rsid w:val="003312D3"/>
    <w:rsid w:val="00331947"/>
    <w:rsid w:val="003327C6"/>
    <w:rsid w:val="00333285"/>
    <w:rsid w:val="0033364A"/>
    <w:rsid w:val="003336F7"/>
    <w:rsid w:val="003345B7"/>
    <w:rsid w:val="0033469E"/>
    <w:rsid w:val="00335BF8"/>
    <w:rsid w:val="00335C29"/>
    <w:rsid w:val="00335F57"/>
    <w:rsid w:val="00336E84"/>
    <w:rsid w:val="00340162"/>
    <w:rsid w:val="00340839"/>
    <w:rsid w:val="00341ACD"/>
    <w:rsid w:val="003423B0"/>
    <w:rsid w:val="00342983"/>
    <w:rsid w:val="00342F79"/>
    <w:rsid w:val="00343345"/>
    <w:rsid w:val="003442CC"/>
    <w:rsid w:val="00345266"/>
    <w:rsid w:val="003455E4"/>
    <w:rsid w:val="00345C91"/>
    <w:rsid w:val="00345E35"/>
    <w:rsid w:val="00345ED5"/>
    <w:rsid w:val="00345F2F"/>
    <w:rsid w:val="0034669F"/>
    <w:rsid w:val="00347B19"/>
    <w:rsid w:val="00347C34"/>
    <w:rsid w:val="00347E43"/>
    <w:rsid w:val="00350617"/>
    <w:rsid w:val="00350D9A"/>
    <w:rsid w:val="00350DCF"/>
    <w:rsid w:val="00350FCD"/>
    <w:rsid w:val="00351E9D"/>
    <w:rsid w:val="0035255F"/>
    <w:rsid w:val="00352825"/>
    <w:rsid w:val="00352B3C"/>
    <w:rsid w:val="00352E93"/>
    <w:rsid w:val="00353168"/>
    <w:rsid w:val="00353FBA"/>
    <w:rsid w:val="00353FDB"/>
    <w:rsid w:val="00354B7F"/>
    <w:rsid w:val="00354D0D"/>
    <w:rsid w:val="00354E0F"/>
    <w:rsid w:val="003563FD"/>
    <w:rsid w:val="00357AC3"/>
    <w:rsid w:val="0036058F"/>
    <w:rsid w:val="0036189A"/>
    <w:rsid w:val="00361F6C"/>
    <w:rsid w:val="00362089"/>
    <w:rsid w:val="00362B8C"/>
    <w:rsid w:val="00362D1C"/>
    <w:rsid w:val="00363DFE"/>
    <w:rsid w:val="00363FDF"/>
    <w:rsid w:val="00364550"/>
    <w:rsid w:val="00364E04"/>
    <w:rsid w:val="00364F4C"/>
    <w:rsid w:val="00365095"/>
    <w:rsid w:val="00365FF2"/>
    <w:rsid w:val="0036663C"/>
    <w:rsid w:val="00366981"/>
    <w:rsid w:val="00366DDA"/>
    <w:rsid w:val="003670DD"/>
    <w:rsid w:val="003676CD"/>
    <w:rsid w:val="003678A6"/>
    <w:rsid w:val="00367D40"/>
    <w:rsid w:val="00367F9F"/>
    <w:rsid w:val="00370482"/>
    <w:rsid w:val="00370E90"/>
    <w:rsid w:val="00371A19"/>
    <w:rsid w:val="00372098"/>
    <w:rsid w:val="003722EE"/>
    <w:rsid w:val="0037253B"/>
    <w:rsid w:val="00373A40"/>
    <w:rsid w:val="00374578"/>
    <w:rsid w:val="00374AC3"/>
    <w:rsid w:val="00374B8E"/>
    <w:rsid w:val="003750C4"/>
    <w:rsid w:val="00376443"/>
    <w:rsid w:val="0037693E"/>
    <w:rsid w:val="00377672"/>
    <w:rsid w:val="00377D10"/>
    <w:rsid w:val="0038027D"/>
    <w:rsid w:val="00380841"/>
    <w:rsid w:val="003808DF"/>
    <w:rsid w:val="00380A80"/>
    <w:rsid w:val="00381A20"/>
    <w:rsid w:val="003823BA"/>
    <w:rsid w:val="003825F5"/>
    <w:rsid w:val="00382667"/>
    <w:rsid w:val="00382A8C"/>
    <w:rsid w:val="00382ADF"/>
    <w:rsid w:val="00384CE7"/>
    <w:rsid w:val="00384ECE"/>
    <w:rsid w:val="00385016"/>
    <w:rsid w:val="00385408"/>
    <w:rsid w:val="0038594E"/>
    <w:rsid w:val="003867CB"/>
    <w:rsid w:val="00386E99"/>
    <w:rsid w:val="003871C8"/>
    <w:rsid w:val="00387208"/>
    <w:rsid w:val="0039001A"/>
    <w:rsid w:val="003901C9"/>
    <w:rsid w:val="00390934"/>
    <w:rsid w:val="003913A5"/>
    <w:rsid w:val="003916E8"/>
    <w:rsid w:val="00391EAC"/>
    <w:rsid w:val="00392057"/>
    <w:rsid w:val="0039335D"/>
    <w:rsid w:val="0039348D"/>
    <w:rsid w:val="003940B0"/>
    <w:rsid w:val="00394CD9"/>
    <w:rsid w:val="00394E11"/>
    <w:rsid w:val="00395700"/>
    <w:rsid w:val="00395702"/>
    <w:rsid w:val="00396C54"/>
    <w:rsid w:val="00396CCF"/>
    <w:rsid w:val="00397313"/>
    <w:rsid w:val="00397AE6"/>
    <w:rsid w:val="00397CB7"/>
    <w:rsid w:val="00397ED1"/>
    <w:rsid w:val="003A06F3"/>
    <w:rsid w:val="003A0AA0"/>
    <w:rsid w:val="003A0CC4"/>
    <w:rsid w:val="003A12E1"/>
    <w:rsid w:val="003A21FB"/>
    <w:rsid w:val="003A29FD"/>
    <w:rsid w:val="003A2CD1"/>
    <w:rsid w:val="003A313A"/>
    <w:rsid w:val="003A33A2"/>
    <w:rsid w:val="003A3814"/>
    <w:rsid w:val="003A3ADB"/>
    <w:rsid w:val="003A5187"/>
    <w:rsid w:val="003A5196"/>
    <w:rsid w:val="003A539D"/>
    <w:rsid w:val="003A5465"/>
    <w:rsid w:val="003A5C3C"/>
    <w:rsid w:val="003A5C3D"/>
    <w:rsid w:val="003A608A"/>
    <w:rsid w:val="003A7707"/>
    <w:rsid w:val="003A7F5F"/>
    <w:rsid w:val="003B02D4"/>
    <w:rsid w:val="003B17C2"/>
    <w:rsid w:val="003B182E"/>
    <w:rsid w:val="003B22A2"/>
    <w:rsid w:val="003B254F"/>
    <w:rsid w:val="003B2B50"/>
    <w:rsid w:val="003B2C74"/>
    <w:rsid w:val="003B35B4"/>
    <w:rsid w:val="003B3C98"/>
    <w:rsid w:val="003B3EC0"/>
    <w:rsid w:val="003B4394"/>
    <w:rsid w:val="003B44A2"/>
    <w:rsid w:val="003B45A1"/>
    <w:rsid w:val="003B4797"/>
    <w:rsid w:val="003B4812"/>
    <w:rsid w:val="003B4B9B"/>
    <w:rsid w:val="003B53EF"/>
    <w:rsid w:val="003B5B9C"/>
    <w:rsid w:val="003B6496"/>
    <w:rsid w:val="003B6B9A"/>
    <w:rsid w:val="003B6CEA"/>
    <w:rsid w:val="003B7DDF"/>
    <w:rsid w:val="003B7FB4"/>
    <w:rsid w:val="003B7FBB"/>
    <w:rsid w:val="003C07CB"/>
    <w:rsid w:val="003C19FD"/>
    <w:rsid w:val="003C1E99"/>
    <w:rsid w:val="003C2873"/>
    <w:rsid w:val="003C28F1"/>
    <w:rsid w:val="003C292D"/>
    <w:rsid w:val="003C2A46"/>
    <w:rsid w:val="003C2C9E"/>
    <w:rsid w:val="003C3C53"/>
    <w:rsid w:val="003C43F5"/>
    <w:rsid w:val="003C4545"/>
    <w:rsid w:val="003C5019"/>
    <w:rsid w:val="003C5142"/>
    <w:rsid w:val="003C6011"/>
    <w:rsid w:val="003C61D8"/>
    <w:rsid w:val="003C6E2B"/>
    <w:rsid w:val="003C7893"/>
    <w:rsid w:val="003D0A2F"/>
    <w:rsid w:val="003D10AE"/>
    <w:rsid w:val="003D11B9"/>
    <w:rsid w:val="003D1869"/>
    <w:rsid w:val="003D1971"/>
    <w:rsid w:val="003D20C4"/>
    <w:rsid w:val="003D3A63"/>
    <w:rsid w:val="003D45F6"/>
    <w:rsid w:val="003D526E"/>
    <w:rsid w:val="003D6348"/>
    <w:rsid w:val="003D68B8"/>
    <w:rsid w:val="003D6D22"/>
    <w:rsid w:val="003E0063"/>
    <w:rsid w:val="003E008D"/>
    <w:rsid w:val="003E1111"/>
    <w:rsid w:val="003E1EC6"/>
    <w:rsid w:val="003E2D09"/>
    <w:rsid w:val="003E39F4"/>
    <w:rsid w:val="003E4050"/>
    <w:rsid w:val="003E43C6"/>
    <w:rsid w:val="003E478D"/>
    <w:rsid w:val="003E4D77"/>
    <w:rsid w:val="003E5947"/>
    <w:rsid w:val="003E5DDA"/>
    <w:rsid w:val="003E60D1"/>
    <w:rsid w:val="003E6766"/>
    <w:rsid w:val="003E6854"/>
    <w:rsid w:val="003E69DB"/>
    <w:rsid w:val="003E6CFE"/>
    <w:rsid w:val="003E73F4"/>
    <w:rsid w:val="003E7659"/>
    <w:rsid w:val="003E7683"/>
    <w:rsid w:val="003E775A"/>
    <w:rsid w:val="003E77F4"/>
    <w:rsid w:val="003E7BF1"/>
    <w:rsid w:val="003F0174"/>
    <w:rsid w:val="003F0778"/>
    <w:rsid w:val="003F0E4C"/>
    <w:rsid w:val="003F12B3"/>
    <w:rsid w:val="003F2173"/>
    <w:rsid w:val="003F23FE"/>
    <w:rsid w:val="003F2472"/>
    <w:rsid w:val="003F275F"/>
    <w:rsid w:val="003F29BF"/>
    <w:rsid w:val="003F2D04"/>
    <w:rsid w:val="003F2D20"/>
    <w:rsid w:val="003F47C3"/>
    <w:rsid w:val="003F4D33"/>
    <w:rsid w:val="003F53AC"/>
    <w:rsid w:val="003F6912"/>
    <w:rsid w:val="003F7138"/>
    <w:rsid w:val="003F7F24"/>
    <w:rsid w:val="00400463"/>
    <w:rsid w:val="00400884"/>
    <w:rsid w:val="00400A0B"/>
    <w:rsid w:val="004011EB"/>
    <w:rsid w:val="00401705"/>
    <w:rsid w:val="0040251E"/>
    <w:rsid w:val="00402667"/>
    <w:rsid w:val="00403522"/>
    <w:rsid w:val="00403FA9"/>
    <w:rsid w:val="004043F0"/>
    <w:rsid w:val="004045A1"/>
    <w:rsid w:val="0040523D"/>
    <w:rsid w:val="0040545B"/>
    <w:rsid w:val="004055D3"/>
    <w:rsid w:val="004073A4"/>
    <w:rsid w:val="00411AF0"/>
    <w:rsid w:val="00411B9D"/>
    <w:rsid w:val="00411D32"/>
    <w:rsid w:val="0041204A"/>
    <w:rsid w:val="004132F7"/>
    <w:rsid w:val="004136B0"/>
    <w:rsid w:val="004137E0"/>
    <w:rsid w:val="00413E3B"/>
    <w:rsid w:val="004144D5"/>
    <w:rsid w:val="004149BD"/>
    <w:rsid w:val="00414D4B"/>
    <w:rsid w:val="00414FC6"/>
    <w:rsid w:val="004153AA"/>
    <w:rsid w:val="00415AF7"/>
    <w:rsid w:val="00415CDD"/>
    <w:rsid w:val="00415CF4"/>
    <w:rsid w:val="00415E51"/>
    <w:rsid w:val="00416546"/>
    <w:rsid w:val="00416560"/>
    <w:rsid w:val="00416749"/>
    <w:rsid w:val="0041676E"/>
    <w:rsid w:val="0041689A"/>
    <w:rsid w:val="0041735F"/>
    <w:rsid w:val="00417E82"/>
    <w:rsid w:val="00420CBC"/>
    <w:rsid w:val="00420D84"/>
    <w:rsid w:val="00420DFE"/>
    <w:rsid w:val="00421C32"/>
    <w:rsid w:val="00421EA2"/>
    <w:rsid w:val="0042242E"/>
    <w:rsid w:val="00422574"/>
    <w:rsid w:val="00422FF3"/>
    <w:rsid w:val="00423378"/>
    <w:rsid w:val="004233D8"/>
    <w:rsid w:val="0042420B"/>
    <w:rsid w:val="0042472A"/>
    <w:rsid w:val="004247E2"/>
    <w:rsid w:val="004247FE"/>
    <w:rsid w:val="00424A80"/>
    <w:rsid w:val="00424B48"/>
    <w:rsid w:val="00424BC8"/>
    <w:rsid w:val="0042545D"/>
    <w:rsid w:val="00425E35"/>
    <w:rsid w:val="00426797"/>
    <w:rsid w:val="00426A7D"/>
    <w:rsid w:val="00426F4D"/>
    <w:rsid w:val="00426FC1"/>
    <w:rsid w:val="004278C3"/>
    <w:rsid w:val="0043152F"/>
    <w:rsid w:val="00431D64"/>
    <w:rsid w:val="00432664"/>
    <w:rsid w:val="00432685"/>
    <w:rsid w:val="004327F2"/>
    <w:rsid w:val="00432D38"/>
    <w:rsid w:val="0043307B"/>
    <w:rsid w:val="00433481"/>
    <w:rsid w:val="00433763"/>
    <w:rsid w:val="004339C8"/>
    <w:rsid w:val="00433E9A"/>
    <w:rsid w:val="00433F1D"/>
    <w:rsid w:val="00434024"/>
    <w:rsid w:val="00434287"/>
    <w:rsid w:val="004342CF"/>
    <w:rsid w:val="004342D1"/>
    <w:rsid w:val="0043480E"/>
    <w:rsid w:val="00434A37"/>
    <w:rsid w:val="00434E22"/>
    <w:rsid w:val="004359BF"/>
    <w:rsid w:val="00435DC8"/>
    <w:rsid w:val="00436043"/>
    <w:rsid w:val="0043780E"/>
    <w:rsid w:val="00437E92"/>
    <w:rsid w:val="0044031E"/>
    <w:rsid w:val="00440D88"/>
    <w:rsid w:val="0044154A"/>
    <w:rsid w:val="0044168D"/>
    <w:rsid w:val="004418DE"/>
    <w:rsid w:val="00441AF6"/>
    <w:rsid w:val="00441BE7"/>
    <w:rsid w:val="00442145"/>
    <w:rsid w:val="004425CB"/>
    <w:rsid w:val="0044268C"/>
    <w:rsid w:val="0044285E"/>
    <w:rsid w:val="004429CA"/>
    <w:rsid w:val="00442C57"/>
    <w:rsid w:val="0044421D"/>
    <w:rsid w:val="004462EB"/>
    <w:rsid w:val="004466F6"/>
    <w:rsid w:val="004474C4"/>
    <w:rsid w:val="0044756A"/>
    <w:rsid w:val="004475F9"/>
    <w:rsid w:val="00447833"/>
    <w:rsid w:val="0044797D"/>
    <w:rsid w:val="0045066D"/>
    <w:rsid w:val="004507E0"/>
    <w:rsid w:val="00450835"/>
    <w:rsid w:val="00452334"/>
    <w:rsid w:val="0045299E"/>
    <w:rsid w:val="00452D00"/>
    <w:rsid w:val="00452F3F"/>
    <w:rsid w:val="004533B7"/>
    <w:rsid w:val="004536D7"/>
    <w:rsid w:val="004549D2"/>
    <w:rsid w:val="00454FE5"/>
    <w:rsid w:val="00456021"/>
    <w:rsid w:val="00456AD0"/>
    <w:rsid w:val="004576CE"/>
    <w:rsid w:val="0045770F"/>
    <w:rsid w:val="00457835"/>
    <w:rsid w:val="00460414"/>
    <w:rsid w:val="00460ADA"/>
    <w:rsid w:val="00460DB4"/>
    <w:rsid w:val="004614AF"/>
    <w:rsid w:val="00461A84"/>
    <w:rsid w:val="00461D21"/>
    <w:rsid w:val="0046243B"/>
    <w:rsid w:val="0046246D"/>
    <w:rsid w:val="004627B4"/>
    <w:rsid w:val="00463DD7"/>
    <w:rsid w:val="00463FEB"/>
    <w:rsid w:val="004643D3"/>
    <w:rsid w:val="00464BCF"/>
    <w:rsid w:val="00465263"/>
    <w:rsid w:val="0046642C"/>
    <w:rsid w:val="00466553"/>
    <w:rsid w:val="00466CF5"/>
    <w:rsid w:val="00467800"/>
    <w:rsid w:val="00467FEF"/>
    <w:rsid w:val="00470069"/>
    <w:rsid w:val="00470454"/>
    <w:rsid w:val="004713F7"/>
    <w:rsid w:val="0047197D"/>
    <w:rsid w:val="0047203D"/>
    <w:rsid w:val="00472E55"/>
    <w:rsid w:val="00473098"/>
    <w:rsid w:val="00474833"/>
    <w:rsid w:val="00474A84"/>
    <w:rsid w:val="00474B0A"/>
    <w:rsid w:val="00474DCE"/>
    <w:rsid w:val="00475344"/>
    <w:rsid w:val="00475911"/>
    <w:rsid w:val="00475934"/>
    <w:rsid w:val="00475D10"/>
    <w:rsid w:val="00475EE3"/>
    <w:rsid w:val="00476FE0"/>
    <w:rsid w:val="00477118"/>
    <w:rsid w:val="00477924"/>
    <w:rsid w:val="00477FAD"/>
    <w:rsid w:val="004818B1"/>
    <w:rsid w:val="00481CCB"/>
    <w:rsid w:val="00482DCD"/>
    <w:rsid w:val="00483D8B"/>
    <w:rsid w:val="00484045"/>
    <w:rsid w:val="004845F4"/>
    <w:rsid w:val="00485072"/>
    <w:rsid w:val="00485664"/>
    <w:rsid w:val="00485B29"/>
    <w:rsid w:val="00486799"/>
    <w:rsid w:val="004873DF"/>
    <w:rsid w:val="004901B2"/>
    <w:rsid w:val="00491377"/>
    <w:rsid w:val="00493A84"/>
    <w:rsid w:val="00493E6B"/>
    <w:rsid w:val="00494E4A"/>
    <w:rsid w:val="00494FB4"/>
    <w:rsid w:val="00495450"/>
    <w:rsid w:val="00495941"/>
    <w:rsid w:val="00495C2D"/>
    <w:rsid w:val="00497A28"/>
    <w:rsid w:val="00497EF1"/>
    <w:rsid w:val="004A0348"/>
    <w:rsid w:val="004A0E05"/>
    <w:rsid w:val="004A1001"/>
    <w:rsid w:val="004A12AB"/>
    <w:rsid w:val="004A1C26"/>
    <w:rsid w:val="004A1EED"/>
    <w:rsid w:val="004A313A"/>
    <w:rsid w:val="004A36FC"/>
    <w:rsid w:val="004A40A9"/>
    <w:rsid w:val="004A55D3"/>
    <w:rsid w:val="004A65AD"/>
    <w:rsid w:val="004A74AA"/>
    <w:rsid w:val="004A75F0"/>
    <w:rsid w:val="004A7A04"/>
    <w:rsid w:val="004A7B96"/>
    <w:rsid w:val="004B00BB"/>
    <w:rsid w:val="004B0A31"/>
    <w:rsid w:val="004B0F0C"/>
    <w:rsid w:val="004B0F60"/>
    <w:rsid w:val="004B0F8B"/>
    <w:rsid w:val="004B10FF"/>
    <w:rsid w:val="004B1750"/>
    <w:rsid w:val="004B1FE9"/>
    <w:rsid w:val="004B2934"/>
    <w:rsid w:val="004B34F2"/>
    <w:rsid w:val="004B3ADD"/>
    <w:rsid w:val="004B4C83"/>
    <w:rsid w:val="004B5978"/>
    <w:rsid w:val="004B6123"/>
    <w:rsid w:val="004B7498"/>
    <w:rsid w:val="004B7B8B"/>
    <w:rsid w:val="004B7E76"/>
    <w:rsid w:val="004C06E0"/>
    <w:rsid w:val="004C1A18"/>
    <w:rsid w:val="004C2945"/>
    <w:rsid w:val="004C29F0"/>
    <w:rsid w:val="004C3C02"/>
    <w:rsid w:val="004C3DE6"/>
    <w:rsid w:val="004C447C"/>
    <w:rsid w:val="004C4897"/>
    <w:rsid w:val="004C4AD0"/>
    <w:rsid w:val="004C4B2C"/>
    <w:rsid w:val="004C5D04"/>
    <w:rsid w:val="004C61EC"/>
    <w:rsid w:val="004C62DA"/>
    <w:rsid w:val="004C6BAF"/>
    <w:rsid w:val="004C7146"/>
    <w:rsid w:val="004C7A94"/>
    <w:rsid w:val="004D0096"/>
    <w:rsid w:val="004D0308"/>
    <w:rsid w:val="004D04B8"/>
    <w:rsid w:val="004D07B1"/>
    <w:rsid w:val="004D14D8"/>
    <w:rsid w:val="004D364A"/>
    <w:rsid w:val="004D49BC"/>
    <w:rsid w:val="004D4A74"/>
    <w:rsid w:val="004D50CE"/>
    <w:rsid w:val="004D58D6"/>
    <w:rsid w:val="004D64FC"/>
    <w:rsid w:val="004D6621"/>
    <w:rsid w:val="004D669A"/>
    <w:rsid w:val="004D6CCC"/>
    <w:rsid w:val="004D6EAA"/>
    <w:rsid w:val="004D6F50"/>
    <w:rsid w:val="004D7253"/>
    <w:rsid w:val="004D726D"/>
    <w:rsid w:val="004D794C"/>
    <w:rsid w:val="004E0211"/>
    <w:rsid w:val="004E0538"/>
    <w:rsid w:val="004E0DC9"/>
    <w:rsid w:val="004E1818"/>
    <w:rsid w:val="004E31B3"/>
    <w:rsid w:val="004E3CA6"/>
    <w:rsid w:val="004E3DFE"/>
    <w:rsid w:val="004E3ED9"/>
    <w:rsid w:val="004E429A"/>
    <w:rsid w:val="004E4574"/>
    <w:rsid w:val="004E48CF"/>
    <w:rsid w:val="004E4B08"/>
    <w:rsid w:val="004E51B6"/>
    <w:rsid w:val="004E525E"/>
    <w:rsid w:val="004E5844"/>
    <w:rsid w:val="004E584B"/>
    <w:rsid w:val="004E5A6E"/>
    <w:rsid w:val="004E5B4A"/>
    <w:rsid w:val="004E6239"/>
    <w:rsid w:val="004E6381"/>
    <w:rsid w:val="004E654D"/>
    <w:rsid w:val="004E68C0"/>
    <w:rsid w:val="004E72C0"/>
    <w:rsid w:val="004E7303"/>
    <w:rsid w:val="004E74E9"/>
    <w:rsid w:val="004E793F"/>
    <w:rsid w:val="004F0041"/>
    <w:rsid w:val="004F0286"/>
    <w:rsid w:val="004F02A3"/>
    <w:rsid w:val="004F14D5"/>
    <w:rsid w:val="004F1E80"/>
    <w:rsid w:val="004F28B2"/>
    <w:rsid w:val="004F2E53"/>
    <w:rsid w:val="004F3010"/>
    <w:rsid w:val="004F3323"/>
    <w:rsid w:val="004F3C54"/>
    <w:rsid w:val="004F4125"/>
    <w:rsid w:val="004F4D1D"/>
    <w:rsid w:val="004F4F3E"/>
    <w:rsid w:val="004F55E6"/>
    <w:rsid w:val="004F6019"/>
    <w:rsid w:val="004F6C95"/>
    <w:rsid w:val="004F6E34"/>
    <w:rsid w:val="004F76FA"/>
    <w:rsid w:val="004F7E51"/>
    <w:rsid w:val="005002E2"/>
    <w:rsid w:val="0050078C"/>
    <w:rsid w:val="00500BC1"/>
    <w:rsid w:val="0050148A"/>
    <w:rsid w:val="00501B75"/>
    <w:rsid w:val="00501E93"/>
    <w:rsid w:val="00502210"/>
    <w:rsid w:val="005022C2"/>
    <w:rsid w:val="005023BA"/>
    <w:rsid w:val="005025F2"/>
    <w:rsid w:val="00502D35"/>
    <w:rsid w:val="00503AF2"/>
    <w:rsid w:val="00503BC0"/>
    <w:rsid w:val="005048E7"/>
    <w:rsid w:val="00504ED3"/>
    <w:rsid w:val="00504FEC"/>
    <w:rsid w:val="00506616"/>
    <w:rsid w:val="00506E06"/>
    <w:rsid w:val="00506F67"/>
    <w:rsid w:val="005073D8"/>
    <w:rsid w:val="005075C8"/>
    <w:rsid w:val="00507851"/>
    <w:rsid w:val="00507E1E"/>
    <w:rsid w:val="00510047"/>
    <w:rsid w:val="00511066"/>
    <w:rsid w:val="00511A7B"/>
    <w:rsid w:val="00512D45"/>
    <w:rsid w:val="00513B22"/>
    <w:rsid w:val="00513D67"/>
    <w:rsid w:val="00513E65"/>
    <w:rsid w:val="00513FDC"/>
    <w:rsid w:val="005152E5"/>
    <w:rsid w:val="005152FA"/>
    <w:rsid w:val="0051588A"/>
    <w:rsid w:val="00515B24"/>
    <w:rsid w:val="00515D6B"/>
    <w:rsid w:val="005169C2"/>
    <w:rsid w:val="00516BD3"/>
    <w:rsid w:val="0051794E"/>
    <w:rsid w:val="00517DF3"/>
    <w:rsid w:val="0052005B"/>
    <w:rsid w:val="00520A06"/>
    <w:rsid w:val="00521A9B"/>
    <w:rsid w:val="00522203"/>
    <w:rsid w:val="00522567"/>
    <w:rsid w:val="00522CA6"/>
    <w:rsid w:val="00522E7C"/>
    <w:rsid w:val="0052359C"/>
    <w:rsid w:val="00523938"/>
    <w:rsid w:val="00524C71"/>
    <w:rsid w:val="00524ECD"/>
    <w:rsid w:val="00527C00"/>
    <w:rsid w:val="00527DB6"/>
    <w:rsid w:val="005302EE"/>
    <w:rsid w:val="00530AB3"/>
    <w:rsid w:val="00530E81"/>
    <w:rsid w:val="005320BA"/>
    <w:rsid w:val="0053236C"/>
    <w:rsid w:val="00532444"/>
    <w:rsid w:val="00533B94"/>
    <w:rsid w:val="00533FA1"/>
    <w:rsid w:val="0053405A"/>
    <w:rsid w:val="00534A07"/>
    <w:rsid w:val="00534A9B"/>
    <w:rsid w:val="00536719"/>
    <w:rsid w:val="00536E2B"/>
    <w:rsid w:val="005373D4"/>
    <w:rsid w:val="00537816"/>
    <w:rsid w:val="00537D5D"/>
    <w:rsid w:val="00537E3A"/>
    <w:rsid w:val="00540020"/>
    <w:rsid w:val="00540433"/>
    <w:rsid w:val="00541EE7"/>
    <w:rsid w:val="0054219D"/>
    <w:rsid w:val="00542689"/>
    <w:rsid w:val="005429E5"/>
    <w:rsid w:val="00543026"/>
    <w:rsid w:val="00543259"/>
    <w:rsid w:val="00543288"/>
    <w:rsid w:val="00543410"/>
    <w:rsid w:val="00543C9D"/>
    <w:rsid w:val="00544144"/>
    <w:rsid w:val="0054470A"/>
    <w:rsid w:val="005449BD"/>
    <w:rsid w:val="00545C29"/>
    <w:rsid w:val="00545C56"/>
    <w:rsid w:val="00546023"/>
    <w:rsid w:val="005465E1"/>
    <w:rsid w:val="005471F9"/>
    <w:rsid w:val="005509D7"/>
    <w:rsid w:val="005518D3"/>
    <w:rsid w:val="00551F87"/>
    <w:rsid w:val="00553265"/>
    <w:rsid w:val="005537FB"/>
    <w:rsid w:val="00553F08"/>
    <w:rsid w:val="005545F5"/>
    <w:rsid w:val="0055489F"/>
    <w:rsid w:val="00554B29"/>
    <w:rsid w:val="00554B64"/>
    <w:rsid w:val="00554FDE"/>
    <w:rsid w:val="00555472"/>
    <w:rsid w:val="0055637A"/>
    <w:rsid w:val="00556C92"/>
    <w:rsid w:val="005571D0"/>
    <w:rsid w:val="005573E7"/>
    <w:rsid w:val="00557EDA"/>
    <w:rsid w:val="00560914"/>
    <w:rsid w:val="00560BAE"/>
    <w:rsid w:val="00561E11"/>
    <w:rsid w:val="00561E9E"/>
    <w:rsid w:val="00562254"/>
    <w:rsid w:val="0056237E"/>
    <w:rsid w:val="005623BF"/>
    <w:rsid w:val="005638FD"/>
    <w:rsid w:val="0056391A"/>
    <w:rsid w:val="00564D1D"/>
    <w:rsid w:val="00565038"/>
    <w:rsid w:val="00565313"/>
    <w:rsid w:val="00565777"/>
    <w:rsid w:val="005665B5"/>
    <w:rsid w:val="00566678"/>
    <w:rsid w:val="00566AB9"/>
    <w:rsid w:val="00566D63"/>
    <w:rsid w:val="00566FF0"/>
    <w:rsid w:val="0056739A"/>
    <w:rsid w:val="005701C6"/>
    <w:rsid w:val="005705E8"/>
    <w:rsid w:val="00572792"/>
    <w:rsid w:val="00573466"/>
    <w:rsid w:val="005738EF"/>
    <w:rsid w:val="00573B92"/>
    <w:rsid w:val="00573F87"/>
    <w:rsid w:val="005742DB"/>
    <w:rsid w:val="00574455"/>
    <w:rsid w:val="0057570D"/>
    <w:rsid w:val="005761A8"/>
    <w:rsid w:val="0057640F"/>
    <w:rsid w:val="00576890"/>
    <w:rsid w:val="005768CB"/>
    <w:rsid w:val="00576931"/>
    <w:rsid w:val="00576F24"/>
    <w:rsid w:val="00577BA4"/>
    <w:rsid w:val="0058052A"/>
    <w:rsid w:val="00580841"/>
    <w:rsid w:val="00580BB9"/>
    <w:rsid w:val="00580E31"/>
    <w:rsid w:val="00581152"/>
    <w:rsid w:val="00581421"/>
    <w:rsid w:val="0058157E"/>
    <w:rsid w:val="00582489"/>
    <w:rsid w:val="00582775"/>
    <w:rsid w:val="00583901"/>
    <w:rsid w:val="00583953"/>
    <w:rsid w:val="00583E47"/>
    <w:rsid w:val="005842B3"/>
    <w:rsid w:val="005845FD"/>
    <w:rsid w:val="00584D88"/>
    <w:rsid w:val="00585671"/>
    <w:rsid w:val="005865A5"/>
    <w:rsid w:val="0058683F"/>
    <w:rsid w:val="0058688F"/>
    <w:rsid w:val="00586A58"/>
    <w:rsid w:val="00586AE8"/>
    <w:rsid w:val="00586DB3"/>
    <w:rsid w:val="005877DC"/>
    <w:rsid w:val="00587B35"/>
    <w:rsid w:val="005901C4"/>
    <w:rsid w:val="00590587"/>
    <w:rsid w:val="00590864"/>
    <w:rsid w:val="005908A6"/>
    <w:rsid w:val="005912DD"/>
    <w:rsid w:val="005924BD"/>
    <w:rsid w:val="00592DD9"/>
    <w:rsid w:val="0059332F"/>
    <w:rsid w:val="00593A53"/>
    <w:rsid w:val="00593C7E"/>
    <w:rsid w:val="0059413D"/>
    <w:rsid w:val="00594566"/>
    <w:rsid w:val="005945DF"/>
    <w:rsid w:val="0059486A"/>
    <w:rsid w:val="005949A4"/>
    <w:rsid w:val="005957E6"/>
    <w:rsid w:val="005959A7"/>
    <w:rsid w:val="005971B4"/>
    <w:rsid w:val="005A0132"/>
    <w:rsid w:val="005A060D"/>
    <w:rsid w:val="005A075D"/>
    <w:rsid w:val="005A1197"/>
    <w:rsid w:val="005A1840"/>
    <w:rsid w:val="005A1FA9"/>
    <w:rsid w:val="005A230C"/>
    <w:rsid w:val="005A2BA9"/>
    <w:rsid w:val="005A34D1"/>
    <w:rsid w:val="005A43B1"/>
    <w:rsid w:val="005A4E5F"/>
    <w:rsid w:val="005A5225"/>
    <w:rsid w:val="005A5260"/>
    <w:rsid w:val="005A531A"/>
    <w:rsid w:val="005A5510"/>
    <w:rsid w:val="005A5E70"/>
    <w:rsid w:val="005A63B5"/>
    <w:rsid w:val="005A6CE8"/>
    <w:rsid w:val="005A6D93"/>
    <w:rsid w:val="005A6EE5"/>
    <w:rsid w:val="005A70A5"/>
    <w:rsid w:val="005A7147"/>
    <w:rsid w:val="005A7635"/>
    <w:rsid w:val="005A7CB7"/>
    <w:rsid w:val="005A7D20"/>
    <w:rsid w:val="005A7E55"/>
    <w:rsid w:val="005B02F9"/>
    <w:rsid w:val="005B0724"/>
    <w:rsid w:val="005B093B"/>
    <w:rsid w:val="005B0A67"/>
    <w:rsid w:val="005B1082"/>
    <w:rsid w:val="005B20CD"/>
    <w:rsid w:val="005B26D7"/>
    <w:rsid w:val="005B3672"/>
    <w:rsid w:val="005B3BD5"/>
    <w:rsid w:val="005B3E3C"/>
    <w:rsid w:val="005B4573"/>
    <w:rsid w:val="005B4C7A"/>
    <w:rsid w:val="005B572C"/>
    <w:rsid w:val="005B615D"/>
    <w:rsid w:val="005B628D"/>
    <w:rsid w:val="005B71E1"/>
    <w:rsid w:val="005C02FF"/>
    <w:rsid w:val="005C04C8"/>
    <w:rsid w:val="005C05EB"/>
    <w:rsid w:val="005C12CD"/>
    <w:rsid w:val="005C19EC"/>
    <w:rsid w:val="005C21FE"/>
    <w:rsid w:val="005C2B6A"/>
    <w:rsid w:val="005C38B7"/>
    <w:rsid w:val="005C3E7D"/>
    <w:rsid w:val="005C3FD5"/>
    <w:rsid w:val="005C4952"/>
    <w:rsid w:val="005C4B43"/>
    <w:rsid w:val="005C5A11"/>
    <w:rsid w:val="005C63F6"/>
    <w:rsid w:val="005C653F"/>
    <w:rsid w:val="005C65A3"/>
    <w:rsid w:val="005C75C1"/>
    <w:rsid w:val="005C7B1D"/>
    <w:rsid w:val="005C7CDF"/>
    <w:rsid w:val="005D0049"/>
    <w:rsid w:val="005D18F9"/>
    <w:rsid w:val="005D193A"/>
    <w:rsid w:val="005D1E63"/>
    <w:rsid w:val="005D2271"/>
    <w:rsid w:val="005D2423"/>
    <w:rsid w:val="005D2B6E"/>
    <w:rsid w:val="005D2C26"/>
    <w:rsid w:val="005D2E44"/>
    <w:rsid w:val="005D3648"/>
    <w:rsid w:val="005D3ABE"/>
    <w:rsid w:val="005D4370"/>
    <w:rsid w:val="005D5BC2"/>
    <w:rsid w:val="005D5C58"/>
    <w:rsid w:val="005D6109"/>
    <w:rsid w:val="005D6A37"/>
    <w:rsid w:val="005D6E41"/>
    <w:rsid w:val="005D714B"/>
    <w:rsid w:val="005D775A"/>
    <w:rsid w:val="005D7C36"/>
    <w:rsid w:val="005D7E0C"/>
    <w:rsid w:val="005E050D"/>
    <w:rsid w:val="005E17F9"/>
    <w:rsid w:val="005E180A"/>
    <w:rsid w:val="005E1888"/>
    <w:rsid w:val="005E211A"/>
    <w:rsid w:val="005E22D2"/>
    <w:rsid w:val="005E2BCE"/>
    <w:rsid w:val="005E2EA4"/>
    <w:rsid w:val="005E3618"/>
    <w:rsid w:val="005E40C0"/>
    <w:rsid w:val="005E4374"/>
    <w:rsid w:val="005E43BB"/>
    <w:rsid w:val="005E5199"/>
    <w:rsid w:val="005E5502"/>
    <w:rsid w:val="005E7234"/>
    <w:rsid w:val="005F0563"/>
    <w:rsid w:val="005F070E"/>
    <w:rsid w:val="005F09E9"/>
    <w:rsid w:val="005F0BF9"/>
    <w:rsid w:val="005F14A2"/>
    <w:rsid w:val="005F16AA"/>
    <w:rsid w:val="005F16B0"/>
    <w:rsid w:val="005F1AF5"/>
    <w:rsid w:val="005F2C7B"/>
    <w:rsid w:val="005F3858"/>
    <w:rsid w:val="005F3D03"/>
    <w:rsid w:val="005F3FBA"/>
    <w:rsid w:val="005F4932"/>
    <w:rsid w:val="005F552F"/>
    <w:rsid w:val="005F5F42"/>
    <w:rsid w:val="005F655A"/>
    <w:rsid w:val="005F6D75"/>
    <w:rsid w:val="005F7422"/>
    <w:rsid w:val="005F7DE4"/>
    <w:rsid w:val="00600660"/>
    <w:rsid w:val="00600AB8"/>
    <w:rsid w:val="00600B6C"/>
    <w:rsid w:val="00601233"/>
    <w:rsid w:val="006018FF"/>
    <w:rsid w:val="00602149"/>
    <w:rsid w:val="00602424"/>
    <w:rsid w:val="006027C1"/>
    <w:rsid w:val="00602B57"/>
    <w:rsid w:val="00602C99"/>
    <w:rsid w:val="0060379D"/>
    <w:rsid w:val="0060502C"/>
    <w:rsid w:val="00605820"/>
    <w:rsid w:val="0060597B"/>
    <w:rsid w:val="00606974"/>
    <w:rsid w:val="0060699A"/>
    <w:rsid w:val="00606E12"/>
    <w:rsid w:val="00606F49"/>
    <w:rsid w:val="00607091"/>
    <w:rsid w:val="00607C92"/>
    <w:rsid w:val="00610020"/>
    <w:rsid w:val="0061069F"/>
    <w:rsid w:val="00610D54"/>
    <w:rsid w:val="006113F7"/>
    <w:rsid w:val="00611733"/>
    <w:rsid w:val="00612D8F"/>
    <w:rsid w:val="006131C1"/>
    <w:rsid w:val="006133A3"/>
    <w:rsid w:val="00613AF3"/>
    <w:rsid w:val="00613D48"/>
    <w:rsid w:val="00613F5E"/>
    <w:rsid w:val="006141A7"/>
    <w:rsid w:val="00615BFD"/>
    <w:rsid w:val="00616379"/>
    <w:rsid w:val="00616987"/>
    <w:rsid w:val="00616C46"/>
    <w:rsid w:val="00617829"/>
    <w:rsid w:val="00620497"/>
    <w:rsid w:val="00620E72"/>
    <w:rsid w:val="00621929"/>
    <w:rsid w:val="006220C2"/>
    <w:rsid w:val="00622D15"/>
    <w:rsid w:val="00622E99"/>
    <w:rsid w:val="0062357E"/>
    <w:rsid w:val="00623DE2"/>
    <w:rsid w:val="00624AA7"/>
    <w:rsid w:val="00624FED"/>
    <w:rsid w:val="00625990"/>
    <w:rsid w:val="00625B99"/>
    <w:rsid w:val="006268DF"/>
    <w:rsid w:val="00626A36"/>
    <w:rsid w:val="00626E07"/>
    <w:rsid w:val="00626ED1"/>
    <w:rsid w:val="006275DE"/>
    <w:rsid w:val="00627E79"/>
    <w:rsid w:val="00630E0F"/>
    <w:rsid w:val="00630FD3"/>
    <w:rsid w:val="00631107"/>
    <w:rsid w:val="00631741"/>
    <w:rsid w:val="00631D4F"/>
    <w:rsid w:val="00632F40"/>
    <w:rsid w:val="00633242"/>
    <w:rsid w:val="006333A9"/>
    <w:rsid w:val="00633B54"/>
    <w:rsid w:val="00633D48"/>
    <w:rsid w:val="00633E87"/>
    <w:rsid w:val="0063422A"/>
    <w:rsid w:val="00635368"/>
    <w:rsid w:val="00635DE6"/>
    <w:rsid w:val="00635F30"/>
    <w:rsid w:val="00636144"/>
    <w:rsid w:val="006365BD"/>
    <w:rsid w:val="006368A7"/>
    <w:rsid w:val="00636953"/>
    <w:rsid w:val="00636CD0"/>
    <w:rsid w:val="00636EAC"/>
    <w:rsid w:val="00640230"/>
    <w:rsid w:val="00640957"/>
    <w:rsid w:val="00640B3E"/>
    <w:rsid w:val="00640F49"/>
    <w:rsid w:val="00641407"/>
    <w:rsid w:val="00641B5C"/>
    <w:rsid w:val="00641C66"/>
    <w:rsid w:val="006420EA"/>
    <w:rsid w:val="00642459"/>
    <w:rsid w:val="00642E40"/>
    <w:rsid w:val="00643045"/>
    <w:rsid w:val="0064315A"/>
    <w:rsid w:val="006438DB"/>
    <w:rsid w:val="00644168"/>
    <w:rsid w:val="0064417F"/>
    <w:rsid w:val="00645A6D"/>
    <w:rsid w:val="00645D39"/>
    <w:rsid w:val="00645E1E"/>
    <w:rsid w:val="00645E61"/>
    <w:rsid w:val="00646460"/>
    <w:rsid w:val="006469D4"/>
    <w:rsid w:val="00646CF2"/>
    <w:rsid w:val="006471AB"/>
    <w:rsid w:val="00647640"/>
    <w:rsid w:val="00647779"/>
    <w:rsid w:val="00647985"/>
    <w:rsid w:val="006503F9"/>
    <w:rsid w:val="00650A59"/>
    <w:rsid w:val="00650D30"/>
    <w:rsid w:val="00651778"/>
    <w:rsid w:val="00652019"/>
    <w:rsid w:val="0065245C"/>
    <w:rsid w:val="0065287C"/>
    <w:rsid w:val="0065318A"/>
    <w:rsid w:val="006533B3"/>
    <w:rsid w:val="0065347E"/>
    <w:rsid w:val="00653838"/>
    <w:rsid w:val="00653ABA"/>
    <w:rsid w:val="00653DFD"/>
    <w:rsid w:val="00653FC2"/>
    <w:rsid w:val="0065439D"/>
    <w:rsid w:val="0065440A"/>
    <w:rsid w:val="00654461"/>
    <w:rsid w:val="0065540C"/>
    <w:rsid w:val="0065620F"/>
    <w:rsid w:val="0065670A"/>
    <w:rsid w:val="00656CB1"/>
    <w:rsid w:val="00660F90"/>
    <w:rsid w:val="006617AF"/>
    <w:rsid w:val="0066187A"/>
    <w:rsid w:val="00661CCF"/>
    <w:rsid w:val="00661CF7"/>
    <w:rsid w:val="00661F93"/>
    <w:rsid w:val="006628B6"/>
    <w:rsid w:val="0066291B"/>
    <w:rsid w:val="00662EAF"/>
    <w:rsid w:val="00662EF8"/>
    <w:rsid w:val="00663E8C"/>
    <w:rsid w:val="00664A0C"/>
    <w:rsid w:val="00665D2C"/>
    <w:rsid w:val="006667DF"/>
    <w:rsid w:val="0066757B"/>
    <w:rsid w:val="00670894"/>
    <w:rsid w:val="006709F2"/>
    <w:rsid w:val="006711ED"/>
    <w:rsid w:val="00671607"/>
    <w:rsid w:val="00671EB5"/>
    <w:rsid w:val="00673864"/>
    <w:rsid w:val="00673CC4"/>
    <w:rsid w:val="0067516C"/>
    <w:rsid w:val="00675273"/>
    <w:rsid w:val="00675275"/>
    <w:rsid w:val="0067532F"/>
    <w:rsid w:val="00675AB2"/>
    <w:rsid w:val="00675D1D"/>
    <w:rsid w:val="006763A0"/>
    <w:rsid w:val="00676686"/>
    <w:rsid w:val="00676752"/>
    <w:rsid w:val="00676778"/>
    <w:rsid w:val="00676A47"/>
    <w:rsid w:val="00676BB5"/>
    <w:rsid w:val="00676BFC"/>
    <w:rsid w:val="00677156"/>
    <w:rsid w:val="006773C6"/>
    <w:rsid w:val="0067774D"/>
    <w:rsid w:val="0067776D"/>
    <w:rsid w:val="00681642"/>
    <w:rsid w:val="0068218D"/>
    <w:rsid w:val="00682C13"/>
    <w:rsid w:val="0068316E"/>
    <w:rsid w:val="006838CB"/>
    <w:rsid w:val="00683CBD"/>
    <w:rsid w:val="006845AE"/>
    <w:rsid w:val="00684F01"/>
    <w:rsid w:val="00685B6E"/>
    <w:rsid w:val="00685BDD"/>
    <w:rsid w:val="00686110"/>
    <w:rsid w:val="006865E1"/>
    <w:rsid w:val="00687322"/>
    <w:rsid w:val="00690757"/>
    <w:rsid w:val="00691346"/>
    <w:rsid w:val="006918B9"/>
    <w:rsid w:val="00691B2B"/>
    <w:rsid w:val="00691C0F"/>
    <w:rsid w:val="0069220D"/>
    <w:rsid w:val="006925EE"/>
    <w:rsid w:val="00692D30"/>
    <w:rsid w:val="00692EAF"/>
    <w:rsid w:val="006935D5"/>
    <w:rsid w:val="00693B28"/>
    <w:rsid w:val="00694964"/>
    <w:rsid w:val="00694A66"/>
    <w:rsid w:val="00695EFE"/>
    <w:rsid w:val="00695F53"/>
    <w:rsid w:val="00696246"/>
    <w:rsid w:val="00696A23"/>
    <w:rsid w:val="00696AF5"/>
    <w:rsid w:val="00697BA9"/>
    <w:rsid w:val="006A009B"/>
    <w:rsid w:val="006A14A3"/>
    <w:rsid w:val="006A1C05"/>
    <w:rsid w:val="006A1E02"/>
    <w:rsid w:val="006A212A"/>
    <w:rsid w:val="006A2713"/>
    <w:rsid w:val="006A3881"/>
    <w:rsid w:val="006A3C7D"/>
    <w:rsid w:val="006A4710"/>
    <w:rsid w:val="006A48A5"/>
    <w:rsid w:val="006A4A0E"/>
    <w:rsid w:val="006A4A3E"/>
    <w:rsid w:val="006A54C8"/>
    <w:rsid w:val="006A66A6"/>
    <w:rsid w:val="006A6D89"/>
    <w:rsid w:val="006A71BD"/>
    <w:rsid w:val="006A73C2"/>
    <w:rsid w:val="006A7581"/>
    <w:rsid w:val="006B0364"/>
    <w:rsid w:val="006B06E9"/>
    <w:rsid w:val="006B1913"/>
    <w:rsid w:val="006B2296"/>
    <w:rsid w:val="006B278C"/>
    <w:rsid w:val="006B345B"/>
    <w:rsid w:val="006B347C"/>
    <w:rsid w:val="006B398B"/>
    <w:rsid w:val="006B479B"/>
    <w:rsid w:val="006B4830"/>
    <w:rsid w:val="006B4D21"/>
    <w:rsid w:val="006B6A2F"/>
    <w:rsid w:val="006B6C5E"/>
    <w:rsid w:val="006B739E"/>
    <w:rsid w:val="006B7D7A"/>
    <w:rsid w:val="006C0998"/>
    <w:rsid w:val="006C13B4"/>
    <w:rsid w:val="006C1A00"/>
    <w:rsid w:val="006C28BA"/>
    <w:rsid w:val="006C2A9E"/>
    <w:rsid w:val="006C34D5"/>
    <w:rsid w:val="006C36FE"/>
    <w:rsid w:val="006C3FDF"/>
    <w:rsid w:val="006C549E"/>
    <w:rsid w:val="006C5F03"/>
    <w:rsid w:val="006C636D"/>
    <w:rsid w:val="006C64FA"/>
    <w:rsid w:val="006C6895"/>
    <w:rsid w:val="006C72C7"/>
    <w:rsid w:val="006C75DD"/>
    <w:rsid w:val="006C7F88"/>
    <w:rsid w:val="006D0023"/>
    <w:rsid w:val="006D1435"/>
    <w:rsid w:val="006D170A"/>
    <w:rsid w:val="006D181F"/>
    <w:rsid w:val="006D1B1D"/>
    <w:rsid w:val="006D1C86"/>
    <w:rsid w:val="006D207B"/>
    <w:rsid w:val="006D233B"/>
    <w:rsid w:val="006D301D"/>
    <w:rsid w:val="006D3B6F"/>
    <w:rsid w:val="006D3CB5"/>
    <w:rsid w:val="006D3F87"/>
    <w:rsid w:val="006D47D5"/>
    <w:rsid w:val="006D4C06"/>
    <w:rsid w:val="006D5BD4"/>
    <w:rsid w:val="006D6974"/>
    <w:rsid w:val="006D6B45"/>
    <w:rsid w:val="006D6D61"/>
    <w:rsid w:val="006D70AE"/>
    <w:rsid w:val="006D7C74"/>
    <w:rsid w:val="006E0FA8"/>
    <w:rsid w:val="006E152C"/>
    <w:rsid w:val="006E1958"/>
    <w:rsid w:val="006E263C"/>
    <w:rsid w:val="006E27D5"/>
    <w:rsid w:val="006E30ED"/>
    <w:rsid w:val="006E3142"/>
    <w:rsid w:val="006E3A27"/>
    <w:rsid w:val="006E3CF6"/>
    <w:rsid w:val="006E5224"/>
    <w:rsid w:val="006E5267"/>
    <w:rsid w:val="006E5351"/>
    <w:rsid w:val="006E57CC"/>
    <w:rsid w:val="006E61C2"/>
    <w:rsid w:val="006E651B"/>
    <w:rsid w:val="006E69A6"/>
    <w:rsid w:val="006E69BD"/>
    <w:rsid w:val="006E6C20"/>
    <w:rsid w:val="006E6C9B"/>
    <w:rsid w:val="006F0FC2"/>
    <w:rsid w:val="006F1CA6"/>
    <w:rsid w:val="006F2178"/>
    <w:rsid w:val="006F2E71"/>
    <w:rsid w:val="006F30F0"/>
    <w:rsid w:val="006F342E"/>
    <w:rsid w:val="006F3810"/>
    <w:rsid w:val="006F40C6"/>
    <w:rsid w:val="006F434E"/>
    <w:rsid w:val="006F545C"/>
    <w:rsid w:val="006F63E2"/>
    <w:rsid w:val="006F6BB4"/>
    <w:rsid w:val="006F7B7A"/>
    <w:rsid w:val="00701340"/>
    <w:rsid w:val="0070159B"/>
    <w:rsid w:val="00701703"/>
    <w:rsid w:val="0070392D"/>
    <w:rsid w:val="00703963"/>
    <w:rsid w:val="007042FE"/>
    <w:rsid w:val="0070488C"/>
    <w:rsid w:val="00705C35"/>
    <w:rsid w:val="00706133"/>
    <w:rsid w:val="007066F7"/>
    <w:rsid w:val="00706FAE"/>
    <w:rsid w:val="00707043"/>
    <w:rsid w:val="007077CB"/>
    <w:rsid w:val="007103AB"/>
    <w:rsid w:val="0071078A"/>
    <w:rsid w:val="00711248"/>
    <w:rsid w:val="00711BE4"/>
    <w:rsid w:val="007123DF"/>
    <w:rsid w:val="00712BD2"/>
    <w:rsid w:val="00712C08"/>
    <w:rsid w:val="00716782"/>
    <w:rsid w:val="007171F7"/>
    <w:rsid w:val="00720F51"/>
    <w:rsid w:val="0072123E"/>
    <w:rsid w:val="00721370"/>
    <w:rsid w:val="007215F8"/>
    <w:rsid w:val="007217C5"/>
    <w:rsid w:val="0072279F"/>
    <w:rsid w:val="00722B53"/>
    <w:rsid w:val="00723364"/>
    <w:rsid w:val="0072348F"/>
    <w:rsid w:val="0072541A"/>
    <w:rsid w:val="0072573C"/>
    <w:rsid w:val="00725E32"/>
    <w:rsid w:val="00725FB0"/>
    <w:rsid w:val="0072616F"/>
    <w:rsid w:val="00726EA3"/>
    <w:rsid w:val="00727622"/>
    <w:rsid w:val="0072764D"/>
    <w:rsid w:val="0072772E"/>
    <w:rsid w:val="0072794D"/>
    <w:rsid w:val="00727BAA"/>
    <w:rsid w:val="00730B76"/>
    <w:rsid w:val="00731318"/>
    <w:rsid w:val="00731546"/>
    <w:rsid w:val="00731D11"/>
    <w:rsid w:val="00731DBF"/>
    <w:rsid w:val="00731E19"/>
    <w:rsid w:val="007324DD"/>
    <w:rsid w:val="007327C3"/>
    <w:rsid w:val="00733020"/>
    <w:rsid w:val="007333DD"/>
    <w:rsid w:val="007349C3"/>
    <w:rsid w:val="00734B33"/>
    <w:rsid w:val="0073559B"/>
    <w:rsid w:val="00736D45"/>
    <w:rsid w:val="00740064"/>
    <w:rsid w:val="00740770"/>
    <w:rsid w:val="00741032"/>
    <w:rsid w:val="00741291"/>
    <w:rsid w:val="007414D2"/>
    <w:rsid w:val="00741C91"/>
    <w:rsid w:val="00743711"/>
    <w:rsid w:val="00744A19"/>
    <w:rsid w:val="00745043"/>
    <w:rsid w:val="00745732"/>
    <w:rsid w:val="007458AB"/>
    <w:rsid w:val="00746505"/>
    <w:rsid w:val="00746BEF"/>
    <w:rsid w:val="0074790D"/>
    <w:rsid w:val="00747A33"/>
    <w:rsid w:val="00747A78"/>
    <w:rsid w:val="007501CD"/>
    <w:rsid w:val="00750EC6"/>
    <w:rsid w:val="0075101B"/>
    <w:rsid w:val="00751178"/>
    <w:rsid w:val="00751D88"/>
    <w:rsid w:val="00752019"/>
    <w:rsid w:val="007525EA"/>
    <w:rsid w:val="00753336"/>
    <w:rsid w:val="0075396C"/>
    <w:rsid w:val="00753EEA"/>
    <w:rsid w:val="007541F6"/>
    <w:rsid w:val="0075477B"/>
    <w:rsid w:val="00754847"/>
    <w:rsid w:val="00754A8F"/>
    <w:rsid w:val="00754C98"/>
    <w:rsid w:val="00754CFD"/>
    <w:rsid w:val="00754D52"/>
    <w:rsid w:val="00754EEB"/>
    <w:rsid w:val="00755D1F"/>
    <w:rsid w:val="00756621"/>
    <w:rsid w:val="007567BC"/>
    <w:rsid w:val="007567E8"/>
    <w:rsid w:val="00756B22"/>
    <w:rsid w:val="007571ED"/>
    <w:rsid w:val="0075722D"/>
    <w:rsid w:val="00757B9F"/>
    <w:rsid w:val="00757FBB"/>
    <w:rsid w:val="00761214"/>
    <w:rsid w:val="0076150D"/>
    <w:rsid w:val="007617B3"/>
    <w:rsid w:val="00761AE2"/>
    <w:rsid w:val="007622DB"/>
    <w:rsid w:val="00762E75"/>
    <w:rsid w:val="0076663B"/>
    <w:rsid w:val="00766D3E"/>
    <w:rsid w:val="00766D92"/>
    <w:rsid w:val="00766E16"/>
    <w:rsid w:val="00767239"/>
    <w:rsid w:val="0076753D"/>
    <w:rsid w:val="00767AE6"/>
    <w:rsid w:val="0077025C"/>
    <w:rsid w:val="00770CD9"/>
    <w:rsid w:val="00771E71"/>
    <w:rsid w:val="007723CD"/>
    <w:rsid w:val="00772AE5"/>
    <w:rsid w:val="00772B9F"/>
    <w:rsid w:val="00772D3A"/>
    <w:rsid w:val="007741FA"/>
    <w:rsid w:val="007746B2"/>
    <w:rsid w:val="00774A45"/>
    <w:rsid w:val="00774B44"/>
    <w:rsid w:val="00774E63"/>
    <w:rsid w:val="00775183"/>
    <w:rsid w:val="0077594F"/>
    <w:rsid w:val="007775D6"/>
    <w:rsid w:val="00777C28"/>
    <w:rsid w:val="00780064"/>
    <w:rsid w:val="00780346"/>
    <w:rsid w:val="00781CD8"/>
    <w:rsid w:val="00781FDA"/>
    <w:rsid w:val="00781FDE"/>
    <w:rsid w:val="00782339"/>
    <w:rsid w:val="00782906"/>
    <w:rsid w:val="00782D91"/>
    <w:rsid w:val="00783660"/>
    <w:rsid w:val="0078390C"/>
    <w:rsid w:val="0078527C"/>
    <w:rsid w:val="0078637C"/>
    <w:rsid w:val="0078662B"/>
    <w:rsid w:val="00786A00"/>
    <w:rsid w:val="00786A08"/>
    <w:rsid w:val="00786E65"/>
    <w:rsid w:val="00787128"/>
    <w:rsid w:val="0078724F"/>
    <w:rsid w:val="007873BD"/>
    <w:rsid w:val="00787933"/>
    <w:rsid w:val="0079042C"/>
    <w:rsid w:val="007908A2"/>
    <w:rsid w:val="00790F77"/>
    <w:rsid w:val="00792651"/>
    <w:rsid w:val="00793118"/>
    <w:rsid w:val="00793541"/>
    <w:rsid w:val="00794029"/>
    <w:rsid w:val="007942EF"/>
    <w:rsid w:val="00794726"/>
    <w:rsid w:val="00795B99"/>
    <w:rsid w:val="00796135"/>
    <w:rsid w:val="007961F4"/>
    <w:rsid w:val="00797B8F"/>
    <w:rsid w:val="007A0067"/>
    <w:rsid w:val="007A00E4"/>
    <w:rsid w:val="007A0325"/>
    <w:rsid w:val="007A062E"/>
    <w:rsid w:val="007A1301"/>
    <w:rsid w:val="007A2B8E"/>
    <w:rsid w:val="007A31C7"/>
    <w:rsid w:val="007A3A36"/>
    <w:rsid w:val="007A3DDB"/>
    <w:rsid w:val="007A5101"/>
    <w:rsid w:val="007A513E"/>
    <w:rsid w:val="007A59BA"/>
    <w:rsid w:val="007A6087"/>
    <w:rsid w:val="007A6ECB"/>
    <w:rsid w:val="007A7556"/>
    <w:rsid w:val="007B0A17"/>
    <w:rsid w:val="007B1B6F"/>
    <w:rsid w:val="007B1CCB"/>
    <w:rsid w:val="007B2718"/>
    <w:rsid w:val="007B278D"/>
    <w:rsid w:val="007B3D7E"/>
    <w:rsid w:val="007B3DC9"/>
    <w:rsid w:val="007B3F9E"/>
    <w:rsid w:val="007B548A"/>
    <w:rsid w:val="007B59AB"/>
    <w:rsid w:val="007B6401"/>
    <w:rsid w:val="007B6EF7"/>
    <w:rsid w:val="007B6FF2"/>
    <w:rsid w:val="007B71C8"/>
    <w:rsid w:val="007B7373"/>
    <w:rsid w:val="007B73E7"/>
    <w:rsid w:val="007B7CC9"/>
    <w:rsid w:val="007C0E8B"/>
    <w:rsid w:val="007C18CD"/>
    <w:rsid w:val="007C1DB7"/>
    <w:rsid w:val="007C1E9E"/>
    <w:rsid w:val="007C227D"/>
    <w:rsid w:val="007C2C09"/>
    <w:rsid w:val="007C36F8"/>
    <w:rsid w:val="007C46F9"/>
    <w:rsid w:val="007C48F0"/>
    <w:rsid w:val="007C4C60"/>
    <w:rsid w:val="007C53DC"/>
    <w:rsid w:val="007C559D"/>
    <w:rsid w:val="007C5AFA"/>
    <w:rsid w:val="007C6595"/>
    <w:rsid w:val="007C6F81"/>
    <w:rsid w:val="007C727F"/>
    <w:rsid w:val="007C7326"/>
    <w:rsid w:val="007C7C5C"/>
    <w:rsid w:val="007C7EE0"/>
    <w:rsid w:val="007D1307"/>
    <w:rsid w:val="007D166D"/>
    <w:rsid w:val="007D2C8F"/>
    <w:rsid w:val="007D366E"/>
    <w:rsid w:val="007D3F05"/>
    <w:rsid w:val="007D3F0E"/>
    <w:rsid w:val="007D455A"/>
    <w:rsid w:val="007D4A3C"/>
    <w:rsid w:val="007D5BB8"/>
    <w:rsid w:val="007D60E1"/>
    <w:rsid w:val="007D6433"/>
    <w:rsid w:val="007D6B2D"/>
    <w:rsid w:val="007D7426"/>
    <w:rsid w:val="007D7B33"/>
    <w:rsid w:val="007E023A"/>
    <w:rsid w:val="007E036B"/>
    <w:rsid w:val="007E0924"/>
    <w:rsid w:val="007E0D83"/>
    <w:rsid w:val="007E1BC7"/>
    <w:rsid w:val="007E3C38"/>
    <w:rsid w:val="007E4867"/>
    <w:rsid w:val="007E4A07"/>
    <w:rsid w:val="007E4A37"/>
    <w:rsid w:val="007E625E"/>
    <w:rsid w:val="007E67F3"/>
    <w:rsid w:val="007E693C"/>
    <w:rsid w:val="007F0001"/>
    <w:rsid w:val="007F00CD"/>
    <w:rsid w:val="007F019B"/>
    <w:rsid w:val="007F1212"/>
    <w:rsid w:val="007F1A65"/>
    <w:rsid w:val="007F1E9A"/>
    <w:rsid w:val="007F233F"/>
    <w:rsid w:val="007F2A69"/>
    <w:rsid w:val="007F36A6"/>
    <w:rsid w:val="007F38D4"/>
    <w:rsid w:val="007F3A34"/>
    <w:rsid w:val="007F4208"/>
    <w:rsid w:val="007F46B1"/>
    <w:rsid w:val="007F5452"/>
    <w:rsid w:val="007F5858"/>
    <w:rsid w:val="007F5B3D"/>
    <w:rsid w:val="007F64BA"/>
    <w:rsid w:val="007F703D"/>
    <w:rsid w:val="007F77BF"/>
    <w:rsid w:val="00800332"/>
    <w:rsid w:val="00800823"/>
    <w:rsid w:val="00800924"/>
    <w:rsid w:val="00800DC6"/>
    <w:rsid w:val="00800E83"/>
    <w:rsid w:val="00801003"/>
    <w:rsid w:val="00801A4C"/>
    <w:rsid w:val="00802980"/>
    <w:rsid w:val="00802E25"/>
    <w:rsid w:val="00802E34"/>
    <w:rsid w:val="0080399B"/>
    <w:rsid w:val="00803EE9"/>
    <w:rsid w:val="008049E7"/>
    <w:rsid w:val="00804A5B"/>
    <w:rsid w:val="00804E30"/>
    <w:rsid w:val="00805163"/>
    <w:rsid w:val="008051C5"/>
    <w:rsid w:val="008052B1"/>
    <w:rsid w:val="00805A16"/>
    <w:rsid w:val="00805DA2"/>
    <w:rsid w:val="00806166"/>
    <w:rsid w:val="008062D0"/>
    <w:rsid w:val="008062F5"/>
    <w:rsid w:val="00806778"/>
    <w:rsid w:val="00806BE6"/>
    <w:rsid w:val="00806CE9"/>
    <w:rsid w:val="00807AB3"/>
    <w:rsid w:val="00810009"/>
    <w:rsid w:val="00810553"/>
    <w:rsid w:val="00811019"/>
    <w:rsid w:val="008110FB"/>
    <w:rsid w:val="00811536"/>
    <w:rsid w:val="0081156A"/>
    <w:rsid w:val="00812975"/>
    <w:rsid w:val="008129F7"/>
    <w:rsid w:val="00812C3C"/>
    <w:rsid w:val="00813031"/>
    <w:rsid w:val="008131B5"/>
    <w:rsid w:val="008131C3"/>
    <w:rsid w:val="00813A0F"/>
    <w:rsid w:val="00813ADD"/>
    <w:rsid w:val="008148BF"/>
    <w:rsid w:val="00814D1A"/>
    <w:rsid w:val="00815859"/>
    <w:rsid w:val="0081668C"/>
    <w:rsid w:val="00817B12"/>
    <w:rsid w:val="00817D2E"/>
    <w:rsid w:val="00820EAF"/>
    <w:rsid w:val="00821270"/>
    <w:rsid w:val="00823252"/>
    <w:rsid w:val="008235BF"/>
    <w:rsid w:val="00823E28"/>
    <w:rsid w:val="00824140"/>
    <w:rsid w:val="00824727"/>
    <w:rsid w:val="00825968"/>
    <w:rsid w:val="00825C4A"/>
    <w:rsid w:val="008266B4"/>
    <w:rsid w:val="00826B15"/>
    <w:rsid w:val="00826D26"/>
    <w:rsid w:val="00827563"/>
    <w:rsid w:val="0082761C"/>
    <w:rsid w:val="00827B58"/>
    <w:rsid w:val="0083035C"/>
    <w:rsid w:val="00830465"/>
    <w:rsid w:val="0083051A"/>
    <w:rsid w:val="00832022"/>
    <w:rsid w:val="00832699"/>
    <w:rsid w:val="0083281C"/>
    <w:rsid w:val="00832CD4"/>
    <w:rsid w:val="00833497"/>
    <w:rsid w:val="008339AF"/>
    <w:rsid w:val="00834476"/>
    <w:rsid w:val="00835296"/>
    <w:rsid w:val="0083542D"/>
    <w:rsid w:val="00835BB7"/>
    <w:rsid w:val="00835DE6"/>
    <w:rsid w:val="008365FE"/>
    <w:rsid w:val="00836CD1"/>
    <w:rsid w:val="00837688"/>
    <w:rsid w:val="00840577"/>
    <w:rsid w:val="0084190E"/>
    <w:rsid w:val="008431E7"/>
    <w:rsid w:val="00843655"/>
    <w:rsid w:val="00843696"/>
    <w:rsid w:val="00843B5F"/>
    <w:rsid w:val="00843ECE"/>
    <w:rsid w:val="0084402E"/>
    <w:rsid w:val="00844148"/>
    <w:rsid w:val="00844457"/>
    <w:rsid w:val="008446D9"/>
    <w:rsid w:val="00844839"/>
    <w:rsid w:val="008448FA"/>
    <w:rsid w:val="00846E09"/>
    <w:rsid w:val="00847DD3"/>
    <w:rsid w:val="00847F92"/>
    <w:rsid w:val="0085031C"/>
    <w:rsid w:val="00850370"/>
    <w:rsid w:val="008505A3"/>
    <w:rsid w:val="0085077B"/>
    <w:rsid w:val="00850F61"/>
    <w:rsid w:val="008512C4"/>
    <w:rsid w:val="00851552"/>
    <w:rsid w:val="00851C42"/>
    <w:rsid w:val="00851D79"/>
    <w:rsid w:val="008520A5"/>
    <w:rsid w:val="008524B0"/>
    <w:rsid w:val="0085286F"/>
    <w:rsid w:val="008530DC"/>
    <w:rsid w:val="00853515"/>
    <w:rsid w:val="008544B4"/>
    <w:rsid w:val="00854997"/>
    <w:rsid w:val="008566AD"/>
    <w:rsid w:val="00856EC5"/>
    <w:rsid w:val="0086022C"/>
    <w:rsid w:val="00860321"/>
    <w:rsid w:val="0086120E"/>
    <w:rsid w:val="00861CB6"/>
    <w:rsid w:val="00863AAA"/>
    <w:rsid w:val="008640E7"/>
    <w:rsid w:val="00866016"/>
    <w:rsid w:val="00866687"/>
    <w:rsid w:val="00870034"/>
    <w:rsid w:val="00870102"/>
    <w:rsid w:val="00870301"/>
    <w:rsid w:val="008704B1"/>
    <w:rsid w:val="008704D4"/>
    <w:rsid w:val="008705C5"/>
    <w:rsid w:val="008711F0"/>
    <w:rsid w:val="00871348"/>
    <w:rsid w:val="0087169D"/>
    <w:rsid w:val="00871844"/>
    <w:rsid w:val="00871F61"/>
    <w:rsid w:val="008728E2"/>
    <w:rsid w:val="00873451"/>
    <w:rsid w:val="008737C1"/>
    <w:rsid w:val="008738FF"/>
    <w:rsid w:val="008750E0"/>
    <w:rsid w:val="00875112"/>
    <w:rsid w:val="0087542D"/>
    <w:rsid w:val="00875A3B"/>
    <w:rsid w:val="00875AFA"/>
    <w:rsid w:val="00876F83"/>
    <w:rsid w:val="00877493"/>
    <w:rsid w:val="008803FD"/>
    <w:rsid w:val="0088040A"/>
    <w:rsid w:val="0088049C"/>
    <w:rsid w:val="0088111C"/>
    <w:rsid w:val="0088112F"/>
    <w:rsid w:val="008811A1"/>
    <w:rsid w:val="008819FF"/>
    <w:rsid w:val="00882158"/>
    <w:rsid w:val="00882280"/>
    <w:rsid w:val="00882BBA"/>
    <w:rsid w:val="00882D91"/>
    <w:rsid w:val="0088310A"/>
    <w:rsid w:val="008842F9"/>
    <w:rsid w:val="00884E08"/>
    <w:rsid w:val="00885459"/>
    <w:rsid w:val="0088586A"/>
    <w:rsid w:val="008861D2"/>
    <w:rsid w:val="00886315"/>
    <w:rsid w:val="00887126"/>
    <w:rsid w:val="008879DA"/>
    <w:rsid w:val="008902BE"/>
    <w:rsid w:val="00891551"/>
    <w:rsid w:val="0089190E"/>
    <w:rsid w:val="008923C6"/>
    <w:rsid w:val="00892EED"/>
    <w:rsid w:val="00893209"/>
    <w:rsid w:val="0089321D"/>
    <w:rsid w:val="00893625"/>
    <w:rsid w:val="00893B12"/>
    <w:rsid w:val="008943CD"/>
    <w:rsid w:val="00894BC5"/>
    <w:rsid w:val="0089524C"/>
    <w:rsid w:val="0089533D"/>
    <w:rsid w:val="0089573D"/>
    <w:rsid w:val="00896052"/>
    <w:rsid w:val="008964F8"/>
    <w:rsid w:val="00896AE1"/>
    <w:rsid w:val="00897E33"/>
    <w:rsid w:val="008A0E51"/>
    <w:rsid w:val="008A1108"/>
    <w:rsid w:val="008A1579"/>
    <w:rsid w:val="008A223A"/>
    <w:rsid w:val="008A362B"/>
    <w:rsid w:val="008A36F0"/>
    <w:rsid w:val="008A4804"/>
    <w:rsid w:val="008A5261"/>
    <w:rsid w:val="008A5E77"/>
    <w:rsid w:val="008A5F66"/>
    <w:rsid w:val="008A6D16"/>
    <w:rsid w:val="008A6F36"/>
    <w:rsid w:val="008A7075"/>
    <w:rsid w:val="008A7803"/>
    <w:rsid w:val="008A7CCA"/>
    <w:rsid w:val="008A7DB5"/>
    <w:rsid w:val="008B1ECE"/>
    <w:rsid w:val="008B20BE"/>
    <w:rsid w:val="008B27B4"/>
    <w:rsid w:val="008B28EA"/>
    <w:rsid w:val="008B2D02"/>
    <w:rsid w:val="008B351F"/>
    <w:rsid w:val="008B382B"/>
    <w:rsid w:val="008B478E"/>
    <w:rsid w:val="008B4A13"/>
    <w:rsid w:val="008B5363"/>
    <w:rsid w:val="008B7485"/>
    <w:rsid w:val="008B763D"/>
    <w:rsid w:val="008B7AE2"/>
    <w:rsid w:val="008C0F55"/>
    <w:rsid w:val="008C20DA"/>
    <w:rsid w:val="008C2204"/>
    <w:rsid w:val="008C2D69"/>
    <w:rsid w:val="008C3295"/>
    <w:rsid w:val="008C3BD6"/>
    <w:rsid w:val="008C3D8E"/>
    <w:rsid w:val="008C40C5"/>
    <w:rsid w:val="008C4171"/>
    <w:rsid w:val="008C4AAC"/>
    <w:rsid w:val="008C4B2B"/>
    <w:rsid w:val="008C4F74"/>
    <w:rsid w:val="008C53AE"/>
    <w:rsid w:val="008C5810"/>
    <w:rsid w:val="008C5AAE"/>
    <w:rsid w:val="008C5F91"/>
    <w:rsid w:val="008C6C07"/>
    <w:rsid w:val="008C7224"/>
    <w:rsid w:val="008C7769"/>
    <w:rsid w:val="008C789E"/>
    <w:rsid w:val="008D0714"/>
    <w:rsid w:val="008D0C18"/>
    <w:rsid w:val="008D12F8"/>
    <w:rsid w:val="008D1743"/>
    <w:rsid w:val="008D233B"/>
    <w:rsid w:val="008D2620"/>
    <w:rsid w:val="008D2667"/>
    <w:rsid w:val="008D2937"/>
    <w:rsid w:val="008D335E"/>
    <w:rsid w:val="008D3690"/>
    <w:rsid w:val="008D3F34"/>
    <w:rsid w:val="008D46FA"/>
    <w:rsid w:val="008D48F4"/>
    <w:rsid w:val="008D4970"/>
    <w:rsid w:val="008D4D00"/>
    <w:rsid w:val="008D5874"/>
    <w:rsid w:val="008D5ABF"/>
    <w:rsid w:val="008D5E34"/>
    <w:rsid w:val="008D61DE"/>
    <w:rsid w:val="008D62BD"/>
    <w:rsid w:val="008D6A99"/>
    <w:rsid w:val="008D76E7"/>
    <w:rsid w:val="008D78E8"/>
    <w:rsid w:val="008D7A32"/>
    <w:rsid w:val="008E03C7"/>
    <w:rsid w:val="008E050D"/>
    <w:rsid w:val="008E0528"/>
    <w:rsid w:val="008E0791"/>
    <w:rsid w:val="008E0937"/>
    <w:rsid w:val="008E0D50"/>
    <w:rsid w:val="008E0E49"/>
    <w:rsid w:val="008E117D"/>
    <w:rsid w:val="008E254A"/>
    <w:rsid w:val="008E2A26"/>
    <w:rsid w:val="008E2D3B"/>
    <w:rsid w:val="008E30AD"/>
    <w:rsid w:val="008E4C6E"/>
    <w:rsid w:val="008E554B"/>
    <w:rsid w:val="008E6406"/>
    <w:rsid w:val="008E6B2A"/>
    <w:rsid w:val="008F060D"/>
    <w:rsid w:val="008F07E9"/>
    <w:rsid w:val="008F15A5"/>
    <w:rsid w:val="008F2A79"/>
    <w:rsid w:val="008F374D"/>
    <w:rsid w:val="008F40C0"/>
    <w:rsid w:val="008F5567"/>
    <w:rsid w:val="008F59A1"/>
    <w:rsid w:val="008F5B88"/>
    <w:rsid w:val="008F62F0"/>
    <w:rsid w:val="008F6424"/>
    <w:rsid w:val="008F7A5A"/>
    <w:rsid w:val="0090042D"/>
    <w:rsid w:val="00900671"/>
    <w:rsid w:val="00900C35"/>
    <w:rsid w:val="00900E69"/>
    <w:rsid w:val="0090158A"/>
    <w:rsid w:val="00902D33"/>
    <w:rsid w:val="00902F98"/>
    <w:rsid w:val="009030EF"/>
    <w:rsid w:val="00904C22"/>
    <w:rsid w:val="00904EAC"/>
    <w:rsid w:val="00905E99"/>
    <w:rsid w:val="00906157"/>
    <w:rsid w:val="009065D4"/>
    <w:rsid w:val="00906F18"/>
    <w:rsid w:val="009074C2"/>
    <w:rsid w:val="009074C9"/>
    <w:rsid w:val="009076D0"/>
    <w:rsid w:val="0090779D"/>
    <w:rsid w:val="00907BA3"/>
    <w:rsid w:val="00907C21"/>
    <w:rsid w:val="00907D07"/>
    <w:rsid w:val="0091017B"/>
    <w:rsid w:val="00910180"/>
    <w:rsid w:val="00910453"/>
    <w:rsid w:val="00912712"/>
    <w:rsid w:val="00912E0F"/>
    <w:rsid w:val="0091336E"/>
    <w:rsid w:val="009135BE"/>
    <w:rsid w:val="00914240"/>
    <w:rsid w:val="00914CAE"/>
    <w:rsid w:val="009160C7"/>
    <w:rsid w:val="009161DE"/>
    <w:rsid w:val="00916845"/>
    <w:rsid w:val="009168A1"/>
    <w:rsid w:val="00916DA4"/>
    <w:rsid w:val="00916ED9"/>
    <w:rsid w:val="00916F06"/>
    <w:rsid w:val="00917141"/>
    <w:rsid w:val="009204CD"/>
    <w:rsid w:val="00921C40"/>
    <w:rsid w:val="00921C64"/>
    <w:rsid w:val="00921DE8"/>
    <w:rsid w:val="00921F39"/>
    <w:rsid w:val="009233CA"/>
    <w:rsid w:val="009233CC"/>
    <w:rsid w:val="00923C73"/>
    <w:rsid w:val="009241AF"/>
    <w:rsid w:val="00924C80"/>
    <w:rsid w:val="00924E33"/>
    <w:rsid w:val="00927B36"/>
    <w:rsid w:val="00927E7E"/>
    <w:rsid w:val="00930900"/>
    <w:rsid w:val="00930ED3"/>
    <w:rsid w:val="00931E1B"/>
    <w:rsid w:val="00932C1C"/>
    <w:rsid w:val="00932EA0"/>
    <w:rsid w:val="00932F66"/>
    <w:rsid w:val="00933019"/>
    <w:rsid w:val="0093396A"/>
    <w:rsid w:val="0093398F"/>
    <w:rsid w:val="00934444"/>
    <w:rsid w:val="0093499F"/>
    <w:rsid w:val="00934A2A"/>
    <w:rsid w:val="00935B41"/>
    <w:rsid w:val="00936616"/>
    <w:rsid w:val="0093737B"/>
    <w:rsid w:val="009404AE"/>
    <w:rsid w:val="00940878"/>
    <w:rsid w:val="00940DFF"/>
    <w:rsid w:val="0094326D"/>
    <w:rsid w:val="00943844"/>
    <w:rsid w:val="00943AFD"/>
    <w:rsid w:val="00943C1F"/>
    <w:rsid w:val="00944BA8"/>
    <w:rsid w:val="00945571"/>
    <w:rsid w:val="00945B9C"/>
    <w:rsid w:val="00945D21"/>
    <w:rsid w:val="00945E8E"/>
    <w:rsid w:val="00946581"/>
    <w:rsid w:val="009467ED"/>
    <w:rsid w:val="00946800"/>
    <w:rsid w:val="00947302"/>
    <w:rsid w:val="00947384"/>
    <w:rsid w:val="00950212"/>
    <w:rsid w:val="00950397"/>
    <w:rsid w:val="0095098A"/>
    <w:rsid w:val="009509B5"/>
    <w:rsid w:val="00951508"/>
    <w:rsid w:val="00951915"/>
    <w:rsid w:val="00951DCA"/>
    <w:rsid w:val="00951E0F"/>
    <w:rsid w:val="00952366"/>
    <w:rsid w:val="00952C60"/>
    <w:rsid w:val="00953A30"/>
    <w:rsid w:val="00953D5C"/>
    <w:rsid w:val="00954182"/>
    <w:rsid w:val="009543CD"/>
    <w:rsid w:val="009558AD"/>
    <w:rsid w:val="0095590A"/>
    <w:rsid w:val="00955A3A"/>
    <w:rsid w:val="009566C3"/>
    <w:rsid w:val="009569A8"/>
    <w:rsid w:val="0095723F"/>
    <w:rsid w:val="00957842"/>
    <w:rsid w:val="00957C87"/>
    <w:rsid w:val="00957E74"/>
    <w:rsid w:val="009618D4"/>
    <w:rsid w:val="009622A9"/>
    <w:rsid w:val="009628A1"/>
    <w:rsid w:val="00962AF2"/>
    <w:rsid w:val="00963413"/>
    <w:rsid w:val="0096393E"/>
    <w:rsid w:val="009647AB"/>
    <w:rsid w:val="00965BCD"/>
    <w:rsid w:val="00965D77"/>
    <w:rsid w:val="00966142"/>
    <w:rsid w:val="00966963"/>
    <w:rsid w:val="00966C04"/>
    <w:rsid w:val="00966D2F"/>
    <w:rsid w:val="00967051"/>
    <w:rsid w:val="009676F9"/>
    <w:rsid w:val="00967815"/>
    <w:rsid w:val="00967BA3"/>
    <w:rsid w:val="00967EF9"/>
    <w:rsid w:val="009700EA"/>
    <w:rsid w:val="009704B2"/>
    <w:rsid w:val="00970F90"/>
    <w:rsid w:val="009712DB"/>
    <w:rsid w:val="00971E9F"/>
    <w:rsid w:val="00972188"/>
    <w:rsid w:val="009724C6"/>
    <w:rsid w:val="00973DC1"/>
    <w:rsid w:val="009740EF"/>
    <w:rsid w:val="00976051"/>
    <w:rsid w:val="00976957"/>
    <w:rsid w:val="00976B3B"/>
    <w:rsid w:val="00976BA0"/>
    <w:rsid w:val="0097788B"/>
    <w:rsid w:val="0097794F"/>
    <w:rsid w:val="00977EDB"/>
    <w:rsid w:val="00980179"/>
    <w:rsid w:val="00982414"/>
    <w:rsid w:val="00982A4C"/>
    <w:rsid w:val="00982F4A"/>
    <w:rsid w:val="009830C2"/>
    <w:rsid w:val="009833B8"/>
    <w:rsid w:val="009838D1"/>
    <w:rsid w:val="00983FEA"/>
    <w:rsid w:val="009851E1"/>
    <w:rsid w:val="00985276"/>
    <w:rsid w:val="0098547A"/>
    <w:rsid w:val="00985780"/>
    <w:rsid w:val="0098630B"/>
    <w:rsid w:val="00986B56"/>
    <w:rsid w:val="009872A1"/>
    <w:rsid w:val="00987356"/>
    <w:rsid w:val="0098755E"/>
    <w:rsid w:val="009875A1"/>
    <w:rsid w:val="009903B4"/>
    <w:rsid w:val="00990D33"/>
    <w:rsid w:val="00991267"/>
    <w:rsid w:val="009919AE"/>
    <w:rsid w:val="00992148"/>
    <w:rsid w:val="00993955"/>
    <w:rsid w:val="009946AF"/>
    <w:rsid w:val="00995693"/>
    <w:rsid w:val="00996345"/>
    <w:rsid w:val="00996FCD"/>
    <w:rsid w:val="009970D4"/>
    <w:rsid w:val="0099739A"/>
    <w:rsid w:val="0099755D"/>
    <w:rsid w:val="009A0181"/>
    <w:rsid w:val="009A0800"/>
    <w:rsid w:val="009A08A9"/>
    <w:rsid w:val="009A0BAF"/>
    <w:rsid w:val="009A13C7"/>
    <w:rsid w:val="009A22B2"/>
    <w:rsid w:val="009A2E40"/>
    <w:rsid w:val="009A3C3D"/>
    <w:rsid w:val="009A4296"/>
    <w:rsid w:val="009A4C72"/>
    <w:rsid w:val="009A4E24"/>
    <w:rsid w:val="009A53F3"/>
    <w:rsid w:val="009A5ED4"/>
    <w:rsid w:val="009A619F"/>
    <w:rsid w:val="009A7021"/>
    <w:rsid w:val="009A7904"/>
    <w:rsid w:val="009A795B"/>
    <w:rsid w:val="009B1533"/>
    <w:rsid w:val="009B2DDA"/>
    <w:rsid w:val="009B3B03"/>
    <w:rsid w:val="009B3BB5"/>
    <w:rsid w:val="009B3CA6"/>
    <w:rsid w:val="009B3D71"/>
    <w:rsid w:val="009B40C5"/>
    <w:rsid w:val="009B4374"/>
    <w:rsid w:val="009B484E"/>
    <w:rsid w:val="009B4C7E"/>
    <w:rsid w:val="009B5B1B"/>
    <w:rsid w:val="009B5D70"/>
    <w:rsid w:val="009B7DEB"/>
    <w:rsid w:val="009C03AB"/>
    <w:rsid w:val="009C09C5"/>
    <w:rsid w:val="009C09FB"/>
    <w:rsid w:val="009C0FA8"/>
    <w:rsid w:val="009C15DD"/>
    <w:rsid w:val="009C2518"/>
    <w:rsid w:val="009C2D8B"/>
    <w:rsid w:val="009C319C"/>
    <w:rsid w:val="009C486B"/>
    <w:rsid w:val="009C4DD8"/>
    <w:rsid w:val="009C62C2"/>
    <w:rsid w:val="009C6A46"/>
    <w:rsid w:val="009C6C6F"/>
    <w:rsid w:val="009C6EE1"/>
    <w:rsid w:val="009C71FF"/>
    <w:rsid w:val="009C7B95"/>
    <w:rsid w:val="009D005A"/>
    <w:rsid w:val="009D05B7"/>
    <w:rsid w:val="009D06A3"/>
    <w:rsid w:val="009D0739"/>
    <w:rsid w:val="009D0DBB"/>
    <w:rsid w:val="009D0F4A"/>
    <w:rsid w:val="009D1580"/>
    <w:rsid w:val="009D17CD"/>
    <w:rsid w:val="009D2CF7"/>
    <w:rsid w:val="009D3A35"/>
    <w:rsid w:val="009D4E0D"/>
    <w:rsid w:val="009D5500"/>
    <w:rsid w:val="009D6652"/>
    <w:rsid w:val="009D6814"/>
    <w:rsid w:val="009D7E37"/>
    <w:rsid w:val="009E066B"/>
    <w:rsid w:val="009E0A46"/>
    <w:rsid w:val="009E0B6F"/>
    <w:rsid w:val="009E1684"/>
    <w:rsid w:val="009E16BB"/>
    <w:rsid w:val="009E18B8"/>
    <w:rsid w:val="009E22A3"/>
    <w:rsid w:val="009E2C6D"/>
    <w:rsid w:val="009E35E2"/>
    <w:rsid w:val="009E38C9"/>
    <w:rsid w:val="009E3F3F"/>
    <w:rsid w:val="009E3F45"/>
    <w:rsid w:val="009E47B1"/>
    <w:rsid w:val="009E530E"/>
    <w:rsid w:val="009E57BC"/>
    <w:rsid w:val="009E5E1A"/>
    <w:rsid w:val="009E637C"/>
    <w:rsid w:val="009E63B6"/>
    <w:rsid w:val="009E6507"/>
    <w:rsid w:val="009F148A"/>
    <w:rsid w:val="009F1CCF"/>
    <w:rsid w:val="009F23C7"/>
    <w:rsid w:val="009F2F0E"/>
    <w:rsid w:val="009F2F49"/>
    <w:rsid w:val="009F300F"/>
    <w:rsid w:val="009F3982"/>
    <w:rsid w:val="009F3EFD"/>
    <w:rsid w:val="009F4597"/>
    <w:rsid w:val="009F4627"/>
    <w:rsid w:val="009F4813"/>
    <w:rsid w:val="009F4A03"/>
    <w:rsid w:val="009F4E56"/>
    <w:rsid w:val="009F558E"/>
    <w:rsid w:val="009F5A33"/>
    <w:rsid w:val="009F5BA7"/>
    <w:rsid w:val="009F6112"/>
    <w:rsid w:val="009F6146"/>
    <w:rsid w:val="009F65D7"/>
    <w:rsid w:val="009F6DDF"/>
    <w:rsid w:val="009F6F8D"/>
    <w:rsid w:val="009F70E6"/>
    <w:rsid w:val="009F7D34"/>
    <w:rsid w:val="00A00527"/>
    <w:rsid w:val="00A00BF3"/>
    <w:rsid w:val="00A00EC9"/>
    <w:rsid w:val="00A0112B"/>
    <w:rsid w:val="00A011E6"/>
    <w:rsid w:val="00A01EAC"/>
    <w:rsid w:val="00A02BA8"/>
    <w:rsid w:val="00A03043"/>
    <w:rsid w:val="00A03847"/>
    <w:rsid w:val="00A03DE5"/>
    <w:rsid w:val="00A06049"/>
    <w:rsid w:val="00A07515"/>
    <w:rsid w:val="00A11AC0"/>
    <w:rsid w:val="00A12F5E"/>
    <w:rsid w:val="00A13166"/>
    <w:rsid w:val="00A132E7"/>
    <w:rsid w:val="00A13CBC"/>
    <w:rsid w:val="00A13E27"/>
    <w:rsid w:val="00A13ECE"/>
    <w:rsid w:val="00A14101"/>
    <w:rsid w:val="00A1494E"/>
    <w:rsid w:val="00A15DA8"/>
    <w:rsid w:val="00A1610D"/>
    <w:rsid w:val="00A162FA"/>
    <w:rsid w:val="00A164F0"/>
    <w:rsid w:val="00A167DE"/>
    <w:rsid w:val="00A1759A"/>
    <w:rsid w:val="00A17A93"/>
    <w:rsid w:val="00A20134"/>
    <w:rsid w:val="00A209A2"/>
    <w:rsid w:val="00A2100E"/>
    <w:rsid w:val="00A21BE1"/>
    <w:rsid w:val="00A24977"/>
    <w:rsid w:val="00A24A2D"/>
    <w:rsid w:val="00A25100"/>
    <w:rsid w:val="00A2572D"/>
    <w:rsid w:val="00A2618E"/>
    <w:rsid w:val="00A26539"/>
    <w:rsid w:val="00A26BB7"/>
    <w:rsid w:val="00A26DBA"/>
    <w:rsid w:val="00A272A1"/>
    <w:rsid w:val="00A277BA"/>
    <w:rsid w:val="00A302A6"/>
    <w:rsid w:val="00A305F1"/>
    <w:rsid w:val="00A30D9A"/>
    <w:rsid w:val="00A3174A"/>
    <w:rsid w:val="00A3199F"/>
    <w:rsid w:val="00A31A17"/>
    <w:rsid w:val="00A31AA5"/>
    <w:rsid w:val="00A31AB1"/>
    <w:rsid w:val="00A32113"/>
    <w:rsid w:val="00A3275D"/>
    <w:rsid w:val="00A32DD4"/>
    <w:rsid w:val="00A32EEE"/>
    <w:rsid w:val="00A34B4A"/>
    <w:rsid w:val="00A351CB"/>
    <w:rsid w:val="00A3551F"/>
    <w:rsid w:val="00A35B11"/>
    <w:rsid w:val="00A374EA"/>
    <w:rsid w:val="00A37C9D"/>
    <w:rsid w:val="00A37E06"/>
    <w:rsid w:val="00A402EB"/>
    <w:rsid w:val="00A40AC2"/>
    <w:rsid w:val="00A42297"/>
    <w:rsid w:val="00A425FD"/>
    <w:rsid w:val="00A4291B"/>
    <w:rsid w:val="00A429B4"/>
    <w:rsid w:val="00A43599"/>
    <w:rsid w:val="00A43EC9"/>
    <w:rsid w:val="00A44785"/>
    <w:rsid w:val="00A448F7"/>
    <w:rsid w:val="00A44A89"/>
    <w:rsid w:val="00A453C3"/>
    <w:rsid w:val="00A45581"/>
    <w:rsid w:val="00A46678"/>
    <w:rsid w:val="00A46743"/>
    <w:rsid w:val="00A471C2"/>
    <w:rsid w:val="00A4728E"/>
    <w:rsid w:val="00A4731E"/>
    <w:rsid w:val="00A473DD"/>
    <w:rsid w:val="00A50ADD"/>
    <w:rsid w:val="00A50E9E"/>
    <w:rsid w:val="00A514B7"/>
    <w:rsid w:val="00A51778"/>
    <w:rsid w:val="00A51FD5"/>
    <w:rsid w:val="00A5242C"/>
    <w:rsid w:val="00A534F8"/>
    <w:rsid w:val="00A5378F"/>
    <w:rsid w:val="00A53C1D"/>
    <w:rsid w:val="00A53F13"/>
    <w:rsid w:val="00A54BAE"/>
    <w:rsid w:val="00A54D92"/>
    <w:rsid w:val="00A5557E"/>
    <w:rsid w:val="00A558C3"/>
    <w:rsid w:val="00A55D86"/>
    <w:rsid w:val="00A55E40"/>
    <w:rsid w:val="00A55FC8"/>
    <w:rsid w:val="00A56870"/>
    <w:rsid w:val="00A569DD"/>
    <w:rsid w:val="00A5732A"/>
    <w:rsid w:val="00A57A56"/>
    <w:rsid w:val="00A57E1E"/>
    <w:rsid w:val="00A60986"/>
    <w:rsid w:val="00A61399"/>
    <w:rsid w:val="00A61AD7"/>
    <w:rsid w:val="00A61B37"/>
    <w:rsid w:val="00A61B4A"/>
    <w:rsid w:val="00A62432"/>
    <w:rsid w:val="00A62805"/>
    <w:rsid w:val="00A6284E"/>
    <w:rsid w:val="00A635AE"/>
    <w:rsid w:val="00A639B9"/>
    <w:rsid w:val="00A63B35"/>
    <w:rsid w:val="00A6423F"/>
    <w:rsid w:val="00A644AE"/>
    <w:rsid w:val="00A64E07"/>
    <w:rsid w:val="00A6553C"/>
    <w:rsid w:val="00A65901"/>
    <w:rsid w:val="00A65C45"/>
    <w:rsid w:val="00A660DF"/>
    <w:rsid w:val="00A6628D"/>
    <w:rsid w:val="00A6656B"/>
    <w:rsid w:val="00A674B7"/>
    <w:rsid w:val="00A713E2"/>
    <w:rsid w:val="00A72C58"/>
    <w:rsid w:val="00A7319C"/>
    <w:rsid w:val="00A733DA"/>
    <w:rsid w:val="00A73BF2"/>
    <w:rsid w:val="00A73C4C"/>
    <w:rsid w:val="00A74AEE"/>
    <w:rsid w:val="00A76C2F"/>
    <w:rsid w:val="00A774B9"/>
    <w:rsid w:val="00A7783E"/>
    <w:rsid w:val="00A77DC6"/>
    <w:rsid w:val="00A77FE7"/>
    <w:rsid w:val="00A807EA"/>
    <w:rsid w:val="00A80A7E"/>
    <w:rsid w:val="00A80C10"/>
    <w:rsid w:val="00A81685"/>
    <w:rsid w:val="00A8226E"/>
    <w:rsid w:val="00A8278D"/>
    <w:rsid w:val="00A829B7"/>
    <w:rsid w:val="00A82F97"/>
    <w:rsid w:val="00A836BF"/>
    <w:rsid w:val="00A837D6"/>
    <w:rsid w:val="00A84A3B"/>
    <w:rsid w:val="00A84FDA"/>
    <w:rsid w:val="00A85776"/>
    <w:rsid w:val="00A8595D"/>
    <w:rsid w:val="00A85A1D"/>
    <w:rsid w:val="00A866DC"/>
    <w:rsid w:val="00A8768C"/>
    <w:rsid w:val="00A87BA4"/>
    <w:rsid w:val="00A87F75"/>
    <w:rsid w:val="00A91E32"/>
    <w:rsid w:val="00A9231D"/>
    <w:rsid w:val="00A92A85"/>
    <w:rsid w:val="00A92D70"/>
    <w:rsid w:val="00A9386B"/>
    <w:rsid w:val="00A93D3D"/>
    <w:rsid w:val="00A94656"/>
    <w:rsid w:val="00A94F3A"/>
    <w:rsid w:val="00A954B8"/>
    <w:rsid w:val="00A9639C"/>
    <w:rsid w:val="00A964B0"/>
    <w:rsid w:val="00A964BC"/>
    <w:rsid w:val="00A9766C"/>
    <w:rsid w:val="00A9799A"/>
    <w:rsid w:val="00A97F96"/>
    <w:rsid w:val="00AA03F5"/>
    <w:rsid w:val="00AA0435"/>
    <w:rsid w:val="00AA05DF"/>
    <w:rsid w:val="00AA10A9"/>
    <w:rsid w:val="00AA13AD"/>
    <w:rsid w:val="00AA14AB"/>
    <w:rsid w:val="00AA15D2"/>
    <w:rsid w:val="00AA1674"/>
    <w:rsid w:val="00AA1911"/>
    <w:rsid w:val="00AA1B39"/>
    <w:rsid w:val="00AA2F13"/>
    <w:rsid w:val="00AA34F0"/>
    <w:rsid w:val="00AA3B6B"/>
    <w:rsid w:val="00AA3C0F"/>
    <w:rsid w:val="00AA3E73"/>
    <w:rsid w:val="00AA3F08"/>
    <w:rsid w:val="00AA40FC"/>
    <w:rsid w:val="00AA4484"/>
    <w:rsid w:val="00AA4531"/>
    <w:rsid w:val="00AA4C66"/>
    <w:rsid w:val="00AA573F"/>
    <w:rsid w:val="00AA65CF"/>
    <w:rsid w:val="00AA6CF1"/>
    <w:rsid w:val="00AA6F8A"/>
    <w:rsid w:val="00AA75D1"/>
    <w:rsid w:val="00AA7923"/>
    <w:rsid w:val="00AB01C6"/>
    <w:rsid w:val="00AB04B2"/>
    <w:rsid w:val="00AB0BAB"/>
    <w:rsid w:val="00AB0C62"/>
    <w:rsid w:val="00AB2A2D"/>
    <w:rsid w:val="00AB2F45"/>
    <w:rsid w:val="00AB2F62"/>
    <w:rsid w:val="00AB32D6"/>
    <w:rsid w:val="00AB4067"/>
    <w:rsid w:val="00AB424E"/>
    <w:rsid w:val="00AB4453"/>
    <w:rsid w:val="00AB4E51"/>
    <w:rsid w:val="00AB4ED4"/>
    <w:rsid w:val="00AB5DAC"/>
    <w:rsid w:val="00AB7338"/>
    <w:rsid w:val="00AB789E"/>
    <w:rsid w:val="00AC0396"/>
    <w:rsid w:val="00AC11E9"/>
    <w:rsid w:val="00AC194F"/>
    <w:rsid w:val="00AC2022"/>
    <w:rsid w:val="00AC2A99"/>
    <w:rsid w:val="00AC2CA9"/>
    <w:rsid w:val="00AC3285"/>
    <w:rsid w:val="00AC3B59"/>
    <w:rsid w:val="00AC3EBF"/>
    <w:rsid w:val="00AC52E6"/>
    <w:rsid w:val="00AC6438"/>
    <w:rsid w:val="00AC65F9"/>
    <w:rsid w:val="00AC660D"/>
    <w:rsid w:val="00AC669B"/>
    <w:rsid w:val="00AC688C"/>
    <w:rsid w:val="00AC68ED"/>
    <w:rsid w:val="00AC6AD6"/>
    <w:rsid w:val="00AC6BCA"/>
    <w:rsid w:val="00AC7431"/>
    <w:rsid w:val="00AD0A98"/>
    <w:rsid w:val="00AD0FE8"/>
    <w:rsid w:val="00AD1092"/>
    <w:rsid w:val="00AD185A"/>
    <w:rsid w:val="00AD1BBD"/>
    <w:rsid w:val="00AD1E9D"/>
    <w:rsid w:val="00AD2204"/>
    <w:rsid w:val="00AD27B0"/>
    <w:rsid w:val="00AD4050"/>
    <w:rsid w:val="00AD4467"/>
    <w:rsid w:val="00AD559B"/>
    <w:rsid w:val="00AD5A1D"/>
    <w:rsid w:val="00AD6B4A"/>
    <w:rsid w:val="00AE004A"/>
    <w:rsid w:val="00AE044B"/>
    <w:rsid w:val="00AE0923"/>
    <w:rsid w:val="00AE14B0"/>
    <w:rsid w:val="00AE1D14"/>
    <w:rsid w:val="00AE1E99"/>
    <w:rsid w:val="00AE244B"/>
    <w:rsid w:val="00AE2786"/>
    <w:rsid w:val="00AE296D"/>
    <w:rsid w:val="00AE3177"/>
    <w:rsid w:val="00AE3205"/>
    <w:rsid w:val="00AE3E92"/>
    <w:rsid w:val="00AE3E9C"/>
    <w:rsid w:val="00AE4891"/>
    <w:rsid w:val="00AE4AE6"/>
    <w:rsid w:val="00AE4B9C"/>
    <w:rsid w:val="00AE52B9"/>
    <w:rsid w:val="00AE56C6"/>
    <w:rsid w:val="00AE6140"/>
    <w:rsid w:val="00AE622A"/>
    <w:rsid w:val="00AE66BF"/>
    <w:rsid w:val="00AE6709"/>
    <w:rsid w:val="00AE73D2"/>
    <w:rsid w:val="00AE74E1"/>
    <w:rsid w:val="00AE75C4"/>
    <w:rsid w:val="00AE7814"/>
    <w:rsid w:val="00AE7DB1"/>
    <w:rsid w:val="00AF0473"/>
    <w:rsid w:val="00AF2F54"/>
    <w:rsid w:val="00AF34BD"/>
    <w:rsid w:val="00AF3F42"/>
    <w:rsid w:val="00AF411E"/>
    <w:rsid w:val="00AF4F4C"/>
    <w:rsid w:val="00AF52F6"/>
    <w:rsid w:val="00AF59C0"/>
    <w:rsid w:val="00AF5BC7"/>
    <w:rsid w:val="00AF73A6"/>
    <w:rsid w:val="00AF7504"/>
    <w:rsid w:val="00AF76B5"/>
    <w:rsid w:val="00AF77BD"/>
    <w:rsid w:val="00AF7815"/>
    <w:rsid w:val="00AF7A9B"/>
    <w:rsid w:val="00AF7AD3"/>
    <w:rsid w:val="00AF7EA8"/>
    <w:rsid w:val="00B004D0"/>
    <w:rsid w:val="00B004E4"/>
    <w:rsid w:val="00B01D2A"/>
    <w:rsid w:val="00B021A0"/>
    <w:rsid w:val="00B02F14"/>
    <w:rsid w:val="00B0381C"/>
    <w:rsid w:val="00B03952"/>
    <w:rsid w:val="00B03C5B"/>
    <w:rsid w:val="00B042D9"/>
    <w:rsid w:val="00B04758"/>
    <w:rsid w:val="00B0497D"/>
    <w:rsid w:val="00B05024"/>
    <w:rsid w:val="00B05368"/>
    <w:rsid w:val="00B05B8C"/>
    <w:rsid w:val="00B060D4"/>
    <w:rsid w:val="00B0735D"/>
    <w:rsid w:val="00B076ED"/>
    <w:rsid w:val="00B07EBD"/>
    <w:rsid w:val="00B10B3A"/>
    <w:rsid w:val="00B1153E"/>
    <w:rsid w:val="00B117E8"/>
    <w:rsid w:val="00B11D19"/>
    <w:rsid w:val="00B120CD"/>
    <w:rsid w:val="00B120D0"/>
    <w:rsid w:val="00B12E0A"/>
    <w:rsid w:val="00B13F00"/>
    <w:rsid w:val="00B13F09"/>
    <w:rsid w:val="00B14628"/>
    <w:rsid w:val="00B1589B"/>
    <w:rsid w:val="00B16AA0"/>
    <w:rsid w:val="00B175E1"/>
    <w:rsid w:val="00B20AE2"/>
    <w:rsid w:val="00B20B2B"/>
    <w:rsid w:val="00B20BD7"/>
    <w:rsid w:val="00B20CBB"/>
    <w:rsid w:val="00B21181"/>
    <w:rsid w:val="00B2191D"/>
    <w:rsid w:val="00B21EA2"/>
    <w:rsid w:val="00B236FC"/>
    <w:rsid w:val="00B2390E"/>
    <w:rsid w:val="00B239B1"/>
    <w:rsid w:val="00B23FAA"/>
    <w:rsid w:val="00B24195"/>
    <w:rsid w:val="00B24D70"/>
    <w:rsid w:val="00B255FC"/>
    <w:rsid w:val="00B25D71"/>
    <w:rsid w:val="00B26F1F"/>
    <w:rsid w:val="00B27373"/>
    <w:rsid w:val="00B273AE"/>
    <w:rsid w:val="00B2786F"/>
    <w:rsid w:val="00B27A02"/>
    <w:rsid w:val="00B27A27"/>
    <w:rsid w:val="00B27F2F"/>
    <w:rsid w:val="00B30A6F"/>
    <w:rsid w:val="00B30CCC"/>
    <w:rsid w:val="00B31106"/>
    <w:rsid w:val="00B311F8"/>
    <w:rsid w:val="00B3153F"/>
    <w:rsid w:val="00B323B5"/>
    <w:rsid w:val="00B32865"/>
    <w:rsid w:val="00B34622"/>
    <w:rsid w:val="00B349FD"/>
    <w:rsid w:val="00B34A54"/>
    <w:rsid w:val="00B34E25"/>
    <w:rsid w:val="00B35970"/>
    <w:rsid w:val="00B36062"/>
    <w:rsid w:val="00B36C36"/>
    <w:rsid w:val="00B40888"/>
    <w:rsid w:val="00B41B8A"/>
    <w:rsid w:val="00B420CC"/>
    <w:rsid w:val="00B43A5D"/>
    <w:rsid w:val="00B43DA9"/>
    <w:rsid w:val="00B44329"/>
    <w:rsid w:val="00B44B08"/>
    <w:rsid w:val="00B44C38"/>
    <w:rsid w:val="00B44EE7"/>
    <w:rsid w:val="00B4548B"/>
    <w:rsid w:val="00B457F4"/>
    <w:rsid w:val="00B460D4"/>
    <w:rsid w:val="00B466BB"/>
    <w:rsid w:val="00B46B4E"/>
    <w:rsid w:val="00B46C82"/>
    <w:rsid w:val="00B47A96"/>
    <w:rsid w:val="00B504D2"/>
    <w:rsid w:val="00B507DD"/>
    <w:rsid w:val="00B50950"/>
    <w:rsid w:val="00B50DE3"/>
    <w:rsid w:val="00B52498"/>
    <w:rsid w:val="00B5342D"/>
    <w:rsid w:val="00B53656"/>
    <w:rsid w:val="00B540CB"/>
    <w:rsid w:val="00B54299"/>
    <w:rsid w:val="00B54C1E"/>
    <w:rsid w:val="00B54DAE"/>
    <w:rsid w:val="00B55616"/>
    <w:rsid w:val="00B556C4"/>
    <w:rsid w:val="00B563CF"/>
    <w:rsid w:val="00B56727"/>
    <w:rsid w:val="00B5695C"/>
    <w:rsid w:val="00B56D15"/>
    <w:rsid w:val="00B57262"/>
    <w:rsid w:val="00B578C6"/>
    <w:rsid w:val="00B606A7"/>
    <w:rsid w:val="00B60FF5"/>
    <w:rsid w:val="00B62331"/>
    <w:rsid w:val="00B62EC6"/>
    <w:rsid w:val="00B63080"/>
    <w:rsid w:val="00B631EB"/>
    <w:rsid w:val="00B633B5"/>
    <w:rsid w:val="00B645D7"/>
    <w:rsid w:val="00B648E0"/>
    <w:rsid w:val="00B64A88"/>
    <w:rsid w:val="00B65C07"/>
    <w:rsid w:val="00B65F62"/>
    <w:rsid w:val="00B662F0"/>
    <w:rsid w:val="00B665B0"/>
    <w:rsid w:val="00B66D97"/>
    <w:rsid w:val="00B6716E"/>
    <w:rsid w:val="00B6743D"/>
    <w:rsid w:val="00B677B7"/>
    <w:rsid w:val="00B70137"/>
    <w:rsid w:val="00B706A0"/>
    <w:rsid w:val="00B710EF"/>
    <w:rsid w:val="00B71116"/>
    <w:rsid w:val="00B7120E"/>
    <w:rsid w:val="00B7126E"/>
    <w:rsid w:val="00B713F3"/>
    <w:rsid w:val="00B71543"/>
    <w:rsid w:val="00B71EC2"/>
    <w:rsid w:val="00B721AE"/>
    <w:rsid w:val="00B72729"/>
    <w:rsid w:val="00B7309B"/>
    <w:rsid w:val="00B737E7"/>
    <w:rsid w:val="00B73CC3"/>
    <w:rsid w:val="00B7441C"/>
    <w:rsid w:val="00B74C2E"/>
    <w:rsid w:val="00B74D09"/>
    <w:rsid w:val="00B750E5"/>
    <w:rsid w:val="00B75F40"/>
    <w:rsid w:val="00B760E0"/>
    <w:rsid w:val="00B767BA"/>
    <w:rsid w:val="00B8051D"/>
    <w:rsid w:val="00B80A2D"/>
    <w:rsid w:val="00B80E31"/>
    <w:rsid w:val="00B8101C"/>
    <w:rsid w:val="00B81B94"/>
    <w:rsid w:val="00B81BB4"/>
    <w:rsid w:val="00B83295"/>
    <w:rsid w:val="00B83328"/>
    <w:rsid w:val="00B83432"/>
    <w:rsid w:val="00B83BC4"/>
    <w:rsid w:val="00B8468E"/>
    <w:rsid w:val="00B848FF"/>
    <w:rsid w:val="00B850AA"/>
    <w:rsid w:val="00B850D2"/>
    <w:rsid w:val="00B8604C"/>
    <w:rsid w:val="00B86C70"/>
    <w:rsid w:val="00B86F41"/>
    <w:rsid w:val="00B873B3"/>
    <w:rsid w:val="00B87F1C"/>
    <w:rsid w:val="00B90D6C"/>
    <w:rsid w:val="00B912D3"/>
    <w:rsid w:val="00B927F6"/>
    <w:rsid w:val="00B928A2"/>
    <w:rsid w:val="00B93D03"/>
    <w:rsid w:val="00B95689"/>
    <w:rsid w:val="00B95988"/>
    <w:rsid w:val="00B95A86"/>
    <w:rsid w:val="00B96309"/>
    <w:rsid w:val="00B96874"/>
    <w:rsid w:val="00B96B2A"/>
    <w:rsid w:val="00B96B6A"/>
    <w:rsid w:val="00B970B9"/>
    <w:rsid w:val="00BA0746"/>
    <w:rsid w:val="00BA0EFA"/>
    <w:rsid w:val="00BA1B96"/>
    <w:rsid w:val="00BA1BD5"/>
    <w:rsid w:val="00BA20B5"/>
    <w:rsid w:val="00BA20BA"/>
    <w:rsid w:val="00BA2F34"/>
    <w:rsid w:val="00BA483A"/>
    <w:rsid w:val="00BA4941"/>
    <w:rsid w:val="00BA5630"/>
    <w:rsid w:val="00BA5A9D"/>
    <w:rsid w:val="00BA5F82"/>
    <w:rsid w:val="00BA60EA"/>
    <w:rsid w:val="00BA656A"/>
    <w:rsid w:val="00BA6EE1"/>
    <w:rsid w:val="00BA6EE5"/>
    <w:rsid w:val="00BA7B3B"/>
    <w:rsid w:val="00BA7FEE"/>
    <w:rsid w:val="00BB02E1"/>
    <w:rsid w:val="00BB04DF"/>
    <w:rsid w:val="00BB07F7"/>
    <w:rsid w:val="00BB0F62"/>
    <w:rsid w:val="00BB24D0"/>
    <w:rsid w:val="00BB2DDD"/>
    <w:rsid w:val="00BB338D"/>
    <w:rsid w:val="00BB341E"/>
    <w:rsid w:val="00BB3C24"/>
    <w:rsid w:val="00BB3C45"/>
    <w:rsid w:val="00BB46A2"/>
    <w:rsid w:val="00BB50D5"/>
    <w:rsid w:val="00BB55B2"/>
    <w:rsid w:val="00BB57DD"/>
    <w:rsid w:val="00BB5809"/>
    <w:rsid w:val="00BB5878"/>
    <w:rsid w:val="00BB5F9C"/>
    <w:rsid w:val="00BB6EF5"/>
    <w:rsid w:val="00BB753C"/>
    <w:rsid w:val="00BB76F4"/>
    <w:rsid w:val="00BB7A12"/>
    <w:rsid w:val="00BB7C69"/>
    <w:rsid w:val="00BB7D74"/>
    <w:rsid w:val="00BC03C3"/>
    <w:rsid w:val="00BC049B"/>
    <w:rsid w:val="00BC07DA"/>
    <w:rsid w:val="00BC148A"/>
    <w:rsid w:val="00BC1530"/>
    <w:rsid w:val="00BC1FFD"/>
    <w:rsid w:val="00BC295B"/>
    <w:rsid w:val="00BC34E6"/>
    <w:rsid w:val="00BC4D3C"/>
    <w:rsid w:val="00BC6D82"/>
    <w:rsid w:val="00BC78E2"/>
    <w:rsid w:val="00BC7F08"/>
    <w:rsid w:val="00BD01E4"/>
    <w:rsid w:val="00BD034A"/>
    <w:rsid w:val="00BD0956"/>
    <w:rsid w:val="00BD18CA"/>
    <w:rsid w:val="00BD1A32"/>
    <w:rsid w:val="00BD2A53"/>
    <w:rsid w:val="00BD2D74"/>
    <w:rsid w:val="00BD344A"/>
    <w:rsid w:val="00BD4740"/>
    <w:rsid w:val="00BD4EAD"/>
    <w:rsid w:val="00BD5B5B"/>
    <w:rsid w:val="00BD605B"/>
    <w:rsid w:val="00BD6210"/>
    <w:rsid w:val="00BD6FE1"/>
    <w:rsid w:val="00BD73F8"/>
    <w:rsid w:val="00BD7A4C"/>
    <w:rsid w:val="00BD7B7F"/>
    <w:rsid w:val="00BD7EF5"/>
    <w:rsid w:val="00BE0036"/>
    <w:rsid w:val="00BE0AC2"/>
    <w:rsid w:val="00BE0D2A"/>
    <w:rsid w:val="00BE11E0"/>
    <w:rsid w:val="00BE1604"/>
    <w:rsid w:val="00BE2A77"/>
    <w:rsid w:val="00BE2E0A"/>
    <w:rsid w:val="00BE424D"/>
    <w:rsid w:val="00BE48B3"/>
    <w:rsid w:val="00BE4CD1"/>
    <w:rsid w:val="00BE50A5"/>
    <w:rsid w:val="00BE6A1E"/>
    <w:rsid w:val="00BE7378"/>
    <w:rsid w:val="00BE75FF"/>
    <w:rsid w:val="00BE7795"/>
    <w:rsid w:val="00BF13B7"/>
    <w:rsid w:val="00BF15A0"/>
    <w:rsid w:val="00BF1928"/>
    <w:rsid w:val="00BF23CB"/>
    <w:rsid w:val="00BF25B2"/>
    <w:rsid w:val="00BF28E1"/>
    <w:rsid w:val="00BF2A4F"/>
    <w:rsid w:val="00BF2DE9"/>
    <w:rsid w:val="00BF3254"/>
    <w:rsid w:val="00BF328F"/>
    <w:rsid w:val="00BF347B"/>
    <w:rsid w:val="00BF38B4"/>
    <w:rsid w:val="00BF407B"/>
    <w:rsid w:val="00BF44AC"/>
    <w:rsid w:val="00BF4E2E"/>
    <w:rsid w:val="00BF570F"/>
    <w:rsid w:val="00BF5A26"/>
    <w:rsid w:val="00BF5C35"/>
    <w:rsid w:val="00BF67FD"/>
    <w:rsid w:val="00BF6B48"/>
    <w:rsid w:val="00BF790C"/>
    <w:rsid w:val="00C00AD7"/>
    <w:rsid w:val="00C01FD5"/>
    <w:rsid w:val="00C035EA"/>
    <w:rsid w:val="00C0363A"/>
    <w:rsid w:val="00C03F77"/>
    <w:rsid w:val="00C040B2"/>
    <w:rsid w:val="00C0539E"/>
    <w:rsid w:val="00C05625"/>
    <w:rsid w:val="00C05973"/>
    <w:rsid w:val="00C06BCF"/>
    <w:rsid w:val="00C06E44"/>
    <w:rsid w:val="00C07437"/>
    <w:rsid w:val="00C075B5"/>
    <w:rsid w:val="00C07E13"/>
    <w:rsid w:val="00C100A6"/>
    <w:rsid w:val="00C1115F"/>
    <w:rsid w:val="00C113EE"/>
    <w:rsid w:val="00C11D18"/>
    <w:rsid w:val="00C12FF6"/>
    <w:rsid w:val="00C13521"/>
    <w:rsid w:val="00C13678"/>
    <w:rsid w:val="00C14496"/>
    <w:rsid w:val="00C1469D"/>
    <w:rsid w:val="00C149AE"/>
    <w:rsid w:val="00C14D30"/>
    <w:rsid w:val="00C14E10"/>
    <w:rsid w:val="00C154B1"/>
    <w:rsid w:val="00C15B4C"/>
    <w:rsid w:val="00C1758B"/>
    <w:rsid w:val="00C1771D"/>
    <w:rsid w:val="00C179AB"/>
    <w:rsid w:val="00C20BEC"/>
    <w:rsid w:val="00C20CE4"/>
    <w:rsid w:val="00C2170E"/>
    <w:rsid w:val="00C21A4E"/>
    <w:rsid w:val="00C21FFB"/>
    <w:rsid w:val="00C22487"/>
    <w:rsid w:val="00C22856"/>
    <w:rsid w:val="00C22A3C"/>
    <w:rsid w:val="00C23171"/>
    <w:rsid w:val="00C23925"/>
    <w:rsid w:val="00C23C5D"/>
    <w:rsid w:val="00C250F8"/>
    <w:rsid w:val="00C25360"/>
    <w:rsid w:val="00C2538C"/>
    <w:rsid w:val="00C256CA"/>
    <w:rsid w:val="00C25A1E"/>
    <w:rsid w:val="00C2664F"/>
    <w:rsid w:val="00C26991"/>
    <w:rsid w:val="00C26D06"/>
    <w:rsid w:val="00C272D5"/>
    <w:rsid w:val="00C2762D"/>
    <w:rsid w:val="00C276FF"/>
    <w:rsid w:val="00C325B2"/>
    <w:rsid w:val="00C32CDD"/>
    <w:rsid w:val="00C32EE1"/>
    <w:rsid w:val="00C334C7"/>
    <w:rsid w:val="00C337B5"/>
    <w:rsid w:val="00C33F67"/>
    <w:rsid w:val="00C34075"/>
    <w:rsid w:val="00C3418D"/>
    <w:rsid w:val="00C34735"/>
    <w:rsid w:val="00C348DB"/>
    <w:rsid w:val="00C35E0E"/>
    <w:rsid w:val="00C35FA0"/>
    <w:rsid w:val="00C36B21"/>
    <w:rsid w:val="00C36D6E"/>
    <w:rsid w:val="00C36DBB"/>
    <w:rsid w:val="00C375B3"/>
    <w:rsid w:val="00C41CB2"/>
    <w:rsid w:val="00C42D77"/>
    <w:rsid w:val="00C435D9"/>
    <w:rsid w:val="00C436D7"/>
    <w:rsid w:val="00C43A93"/>
    <w:rsid w:val="00C43CDC"/>
    <w:rsid w:val="00C45E0A"/>
    <w:rsid w:val="00C4764E"/>
    <w:rsid w:val="00C4799A"/>
    <w:rsid w:val="00C47BA1"/>
    <w:rsid w:val="00C47C57"/>
    <w:rsid w:val="00C501A4"/>
    <w:rsid w:val="00C503C6"/>
    <w:rsid w:val="00C5075A"/>
    <w:rsid w:val="00C50E27"/>
    <w:rsid w:val="00C510EE"/>
    <w:rsid w:val="00C5146D"/>
    <w:rsid w:val="00C5153E"/>
    <w:rsid w:val="00C5177A"/>
    <w:rsid w:val="00C51948"/>
    <w:rsid w:val="00C51D7B"/>
    <w:rsid w:val="00C52450"/>
    <w:rsid w:val="00C528B6"/>
    <w:rsid w:val="00C5379D"/>
    <w:rsid w:val="00C53E6A"/>
    <w:rsid w:val="00C5488F"/>
    <w:rsid w:val="00C5493A"/>
    <w:rsid w:val="00C558C8"/>
    <w:rsid w:val="00C55A58"/>
    <w:rsid w:val="00C5618D"/>
    <w:rsid w:val="00C56384"/>
    <w:rsid w:val="00C56BF1"/>
    <w:rsid w:val="00C56C6F"/>
    <w:rsid w:val="00C57D18"/>
    <w:rsid w:val="00C6131F"/>
    <w:rsid w:val="00C6235D"/>
    <w:rsid w:val="00C62769"/>
    <w:rsid w:val="00C628FC"/>
    <w:rsid w:val="00C62F59"/>
    <w:rsid w:val="00C6331E"/>
    <w:rsid w:val="00C63336"/>
    <w:rsid w:val="00C63B6A"/>
    <w:rsid w:val="00C643A8"/>
    <w:rsid w:val="00C65C9F"/>
    <w:rsid w:val="00C66552"/>
    <w:rsid w:val="00C66FDD"/>
    <w:rsid w:val="00C709F7"/>
    <w:rsid w:val="00C70F0D"/>
    <w:rsid w:val="00C72A13"/>
    <w:rsid w:val="00C72F4D"/>
    <w:rsid w:val="00C73160"/>
    <w:rsid w:val="00C731F2"/>
    <w:rsid w:val="00C73420"/>
    <w:rsid w:val="00C74770"/>
    <w:rsid w:val="00C753DE"/>
    <w:rsid w:val="00C75B0C"/>
    <w:rsid w:val="00C767AE"/>
    <w:rsid w:val="00C7712E"/>
    <w:rsid w:val="00C77B7D"/>
    <w:rsid w:val="00C77D20"/>
    <w:rsid w:val="00C802EE"/>
    <w:rsid w:val="00C80C0E"/>
    <w:rsid w:val="00C80EE4"/>
    <w:rsid w:val="00C81105"/>
    <w:rsid w:val="00C81533"/>
    <w:rsid w:val="00C819EA"/>
    <w:rsid w:val="00C81FE1"/>
    <w:rsid w:val="00C821D1"/>
    <w:rsid w:val="00C82384"/>
    <w:rsid w:val="00C82544"/>
    <w:rsid w:val="00C832AC"/>
    <w:rsid w:val="00C83500"/>
    <w:rsid w:val="00C841F8"/>
    <w:rsid w:val="00C86A3B"/>
    <w:rsid w:val="00C86A67"/>
    <w:rsid w:val="00C86CAF"/>
    <w:rsid w:val="00C86D6C"/>
    <w:rsid w:val="00C902DD"/>
    <w:rsid w:val="00C90DCB"/>
    <w:rsid w:val="00C91633"/>
    <w:rsid w:val="00C91887"/>
    <w:rsid w:val="00C91A98"/>
    <w:rsid w:val="00C91D07"/>
    <w:rsid w:val="00C922AB"/>
    <w:rsid w:val="00C92CF8"/>
    <w:rsid w:val="00C92D72"/>
    <w:rsid w:val="00C930FE"/>
    <w:rsid w:val="00C9310B"/>
    <w:rsid w:val="00C93739"/>
    <w:rsid w:val="00C93B47"/>
    <w:rsid w:val="00C940F4"/>
    <w:rsid w:val="00C94349"/>
    <w:rsid w:val="00C948AE"/>
    <w:rsid w:val="00C94E7A"/>
    <w:rsid w:val="00C95283"/>
    <w:rsid w:val="00C95297"/>
    <w:rsid w:val="00C957E8"/>
    <w:rsid w:val="00C95D14"/>
    <w:rsid w:val="00C96AD4"/>
    <w:rsid w:val="00C97848"/>
    <w:rsid w:val="00C97A9C"/>
    <w:rsid w:val="00C97D36"/>
    <w:rsid w:val="00CA0217"/>
    <w:rsid w:val="00CA03EE"/>
    <w:rsid w:val="00CA05A6"/>
    <w:rsid w:val="00CA0CB2"/>
    <w:rsid w:val="00CA0FD1"/>
    <w:rsid w:val="00CA13BF"/>
    <w:rsid w:val="00CA24EF"/>
    <w:rsid w:val="00CA2CC6"/>
    <w:rsid w:val="00CA545C"/>
    <w:rsid w:val="00CA622C"/>
    <w:rsid w:val="00CA6B79"/>
    <w:rsid w:val="00CA716F"/>
    <w:rsid w:val="00CA733F"/>
    <w:rsid w:val="00CA7BE0"/>
    <w:rsid w:val="00CB0361"/>
    <w:rsid w:val="00CB05B8"/>
    <w:rsid w:val="00CB0AFD"/>
    <w:rsid w:val="00CB1797"/>
    <w:rsid w:val="00CB1BDD"/>
    <w:rsid w:val="00CB21DB"/>
    <w:rsid w:val="00CB2514"/>
    <w:rsid w:val="00CB26B2"/>
    <w:rsid w:val="00CB2CBB"/>
    <w:rsid w:val="00CB33AE"/>
    <w:rsid w:val="00CB5413"/>
    <w:rsid w:val="00CB56D6"/>
    <w:rsid w:val="00CB5904"/>
    <w:rsid w:val="00CB5C93"/>
    <w:rsid w:val="00CB5E0B"/>
    <w:rsid w:val="00CB6323"/>
    <w:rsid w:val="00CC0384"/>
    <w:rsid w:val="00CC1947"/>
    <w:rsid w:val="00CC2143"/>
    <w:rsid w:val="00CC2281"/>
    <w:rsid w:val="00CC22BB"/>
    <w:rsid w:val="00CC2320"/>
    <w:rsid w:val="00CC324C"/>
    <w:rsid w:val="00CC3531"/>
    <w:rsid w:val="00CC3633"/>
    <w:rsid w:val="00CC3854"/>
    <w:rsid w:val="00CC38EF"/>
    <w:rsid w:val="00CC3B84"/>
    <w:rsid w:val="00CC3DF3"/>
    <w:rsid w:val="00CC458B"/>
    <w:rsid w:val="00CC6417"/>
    <w:rsid w:val="00CC6765"/>
    <w:rsid w:val="00CC6CFC"/>
    <w:rsid w:val="00CC745A"/>
    <w:rsid w:val="00CD0696"/>
    <w:rsid w:val="00CD0699"/>
    <w:rsid w:val="00CD074E"/>
    <w:rsid w:val="00CD13D4"/>
    <w:rsid w:val="00CD1514"/>
    <w:rsid w:val="00CD1549"/>
    <w:rsid w:val="00CD17CF"/>
    <w:rsid w:val="00CD196C"/>
    <w:rsid w:val="00CD2BB3"/>
    <w:rsid w:val="00CD42CE"/>
    <w:rsid w:val="00CD4872"/>
    <w:rsid w:val="00CD4C6C"/>
    <w:rsid w:val="00CD4DB2"/>
    <w:rsid w:val="00CD69AD"/>
    <w:rsid w:val="00CD6D43"/>
    <w:rsid w:val="00CD73AE"/>
    <w:rsid w:val="00CD7D51"/>
    <w:rsid w:val="00CE0485"/>
    <w:rsid w:val="00CE0754"/>
    <w:rsid w:val="00CE087C"/>
    <w:rsid w:val="00CE096B"/>
    <w:rsid w:val="00CE0DE0"/>
    <w:rsid w:val="00CE0FC5"/>
    <w:rsid w:val="00CE14ED"/>
    <w:rsid w:val="00CE17D3"/>
    <w:rsid w:val="00CE185F"/>
    <w:rsid w:val="00CE1B28"/>
    <w:rsid w:val="00CE26F2"/>
    <w:rsid w:val="00CE28E8"/>
    <w:rsid w:val="00CE2CC9"/>
    <w:rsid w:val="00CE2ED7"/>
    <w:rsid w:val="00CE3FB8"/>
    <w:rsid w:val="00CE4F41"/>
    <w:rsid w:val="00CE5BFC"/>
    <w:rsid w:val="00CE5F8B"/>
    <w:rsid w:val="00CE63B2"/>
    <w:rsid w:val="00CE6A4C"/>
    <w:rsid w:val="00CE706A"/>
    <w:rsid w:val="00CE7758"/>
    <w:rsid w:val="00CF0152"/>
    <w:rsid w:val="00CF0642"/>
    <w:rsid w:val="00CF0E1E"/>
    <w:rsid w:val="00CF0F06"/>
    <w:rsid w:val="00CF1A3D"/>
    <w:rsid w:val="00CF1F69"/>
    <w:rsid w:val="00CF2892"/>
    <w:rsid w:val="00CF28B5"/>
    <w:rsid w:val="00CF2BF2"/>
    <w:rsid w:val="00CF55B8"/>
    <w:rsid w:val="00CF5C9D"/>
    <w:rsid w:val="00CF623E"/>
    <w:rsid w:val="00CF6D3A"/>
    <w:rsid w:val="00CF7504"/>
    <w:rsid w:val="00CF7ECB"/>
    <w:rsid w:val="00D004B0"/>
    <w:rsid w:val="00D00B73"/>
    <w:rsid w:val="00D0135F"/>
    <w:rsid w:val="00D01519"/>
    <w:rsid w:val="00D01C0E"/>
    <w:rsid w:val="00D02372"/>
    <w:rsid w:val="00D03F0F"/>
    <w:rsid w:val="00D04659"/>
    <w:rsid w:val="00D04BA8"/>
    <w:rsid w:val="00D04E8B"/>
    <w:rsid w:val="00D057A5"/>
    <w:rsid w:val="00D063A5"/>
    <w:rsid w:val="00D06AF8"/>
    <w:rsid w:val="00D06FAF"/>
    <w:rsid w:val="00D100E9"/>
    <w:rsid w:val="00D103BA"/>
    <w:rsid w:val="00D11336"/>
    <w:rsid w:val="00D11964"/>
    <w:rsid w:val="00D11999"/>
    <w:rsid w:val="00D1204D"/>
    <w:rsid w:val="00D12369"/>
    <w:rsid w:val="00D12FB3"/>
    <w:rsid w:val="00D1382B"/>
    <w:rsid w:val="00D13C55"/>
    <w:rsid w:val="00D14F30"/>
    <w:rsid w:val="00D1558B"/>
    <w:rsid w:val="00D15CE4"/>
    <w:rsid w:val="00D1603C"/>
    <w:rsid w:val="00D16B98"/>
    <w:rsid w:val="00D1746A"/>
    <w:rsid w:val="00D17B07"/>
    <w:rsid w:val="00D17DE1"/>
    <w:rsid w:val="00D20A71"/>
    <w:rsid w:val="00D21439"/>
    <w:rsid w:val="00D21819"/>
    <w:rsid w:val="00D23912"/>
    <w:rsid w:val="00D2413F"/>
    <w:rsid w:val="00D24AEA"/>
    <w:rsid w:val="00D256A5"/>
    <w:rsid w:val="00D2580C"/>
    <w:rsid w:val="00D25992"/>
    <w:rsid w:val="00D25A58"/>
    <w:rsid w:val="00D26336"/>
    <w:rsid w:val="00D26ACA"/>
    <w:rsid w:val="00D272F5"/>
    <w:rsid w:val="00D277F1"/>
    <w:rsid w:val="00D27ACB"/>
    <w:rsid w:val="00D305AE"/>
    <w:rsid w:val="00D30947"/>
    <w:rsid w:val="00D311C0"/>
    <w:rsid w:val="00D31630"/>
    <w:rsid w:val="00D317F5"/>
    <w:rsid w:val="00D31D0A"/>
    <w:rsid w:val="00D31EE0"/>
    <w:rsid w:val="00D3220F"/>
    <w:rsid w:val="00D3343A"/>
    <w:rsid w:val="00D336FE"/>
    <w:rsid w:val="00D338EE"/>
    <w:rsid w:val="00D33B6D"/>
    <w:rsid w:val="00D33FF4"/>
    <w:rsid w:val="00D341BB"/>
    <w:rsid w:val="00D34563"/>
    <w:rsid w:val="00D345D1"/>
    <w:rsid w:val="00D34BC4"/>
    <w:rsid w:val="00D355B7"/>
    <w:rsid w:val="00D357F7"/>
    <w:rsid w:val="00D35A59"/>
    <w:rsid w:val="00D361D3"/>
    <w:rsid w:val="00D361F1"/>
    <w:rsid w:val="00D37344"/>
    <w:rsid w:val="00D37D40"/>
    <w:rsid w:val="00D40176"/>
    <w:rsid w:val="00D40263"/>
    <w:rsid w:val="00D402A6"/>
    <w:rsid w:val="00D40914"/>
    <w:rsid w:val="00D40F7C"/>
    <w:rsid w:val="00D4115E"/>
    <w:rsid w:val="00D41552"/>
    <w:rsid w:val="00D42FE0"/>
    <w:rsid w:val="00D43612"/>
    <w:rsid w:val="00D43FF5"/>
    <w:rsid w:val="00D44692"/>
    <w:rsid w:val="00D44797"/>
    <w:rsid w:val="00D44819"/>
    <w:rsid w:val="00D44A5C"/>
    <w:rsid w:val="00D45F59"/>
    <w:rsid w:val="00D461B3"/>
    <w:rsid w:val="00D4630A"/>
    <w:rsid w:val="00D47D1B"/>
    <w:rsid w:val="00D51134"/>
    <w:rsid w:val="00D5137E"/>
    <w:rsid w:val="00D5153F"/>
    <w:rsid w:val="00D51F0E"/>
    <w:rsid w:val="00D52081"/>
    <w:rsid w:val="00D5230B"/>
    <w:rsid w:val="00D52339"/>
    <w:rsid w:val="00D52575"/>
    <w:rsid w:val="00D52F78"/>
    <w:rsid w:val="00D52FF6"/>
    <w:rsid w:val="00D5335F"/>
    <w:rsid w:val="00D5342B"/>
    <w:rsid w:val="00D53EB1"/>
    <w:rsid w:val="00D543DB"/>
    <w:rsid w:val="00D545BA"/>
    <w:rsid w:val="00D54695"/>
    <w:rsid w:val="00D546F7"/>
    <w:rsid w:val="00D54CE2"/>
    <w:rsid w:val="00D550C3"/>
    <w:rsid w:val="00D559F2"/>
    <w:rsid w:val="00D55A11"/>
    <w:rsid w:val="00D56056"/>
    <w:rsid w:val="00D570C6"/>
    <w:rsid w:val="00D573BE"/>
    <w:rsid w:val="00D57E82"/>
    <w:rsid w:val="00D603EB"/>
    <w:rsid w:val="00D612FB"/>
    <w:rsid w:val="00D614A5"/>
    <w:rsid w:val="00D61830"/>
    <w:rsid w:val="00D61B3D"/>
    <w:rsid w:val="00D61CBF"/>
    <w:rsid w:val="00D628E4"/>
    <w:rsid w:val="00D637A1"/>
    <w:rsid w:val="00D63D4A"/>
    <w:rsid w:val="00D63D6E"/>
    <w:rsid w:val="00D63FA7"/>
    <w:rsid w:val="00D64A49"/>
    <w:rsid w:val="00D64B5E"/>
    <w:rsid w:val="00D65EB4"/>
    <w:rsid w:val="00D6719A"/>
    <w:rsid w:val="00D67265"/>
    <w:rsid w:val="00D67279"/>
    <w:rsid w:val="00D677EC"/>
    <w:rsid w:val="00D7002A"/>
    <w:rsid w:val="00D70C26"/>
    <w:rsid w:val="00D70E5D"/>
    <w:rsid w:val="00D70F9B"/>
    <w:rsid w:val="00D713CA"/>
    <w:rsid w:val="00D71BCE"/>
    <w:rsid w:val="00D71BD4"/>
    <w:rsid w:val="00D72167"/>
    <w:rsid w:val="00D726C3"/>
    <w:rsid w:val="00D72BE0"/>
    <w:rsid w:val="00D73964"/>
    <w:rsid w:val="00D741DB"/>
    <w:rsid w:val="00D74320"/>
    <w:rsid w:val="00D74D18"/>
    <w:rsid w:val="00D750F2"/>
    <w:rsid w:val="00D75325"/>
    <w:rsid w:val="00D75960"/>
    <w:rsid w:val="00D7709F"/>
    <w:rsid w:val="00D77771"/>
    <w:rsid w:val="00D802DC"/>
    <w:rsid w:val="00D80A02"/>
    <w:rsid w:val="00D80DC1"/>
    <w:rsid w:val="00D80F29"/>
    <w:rsid w:val="00D81912"/>
    <w:rsid w:val="00D81B4F"/>
    <w:rsid w:val="00D81C59"/>
    <w:rsid w:val="00D81EF0"/>
    <w:rsid w:val="00D820C2"/>
    <w:rsid w:val="00D8229B"/>
    <w:rsid w:val="00D84150"/>
    <w:rsid w:val="00D84378"/>
    <w:rsid w:val="00D848DA"/>
    <w:rsid w:val="00D852CB"/>
    <w:rsid w:val="00D8558F"/>
    <w:rsid w:val="00D85D5C"/>
    <w:rsid w:val="00D873AB"/>
    <w:rsid w:val="00D878F2"/>
    <w:rsid w:val="00D87F34"/>
    <w:rsid w:val="00D902EF"/>
    <w:rsid w:val="00D903CB"/>
    <w:rsid w:val="00D905FE"/>
    <w:rsid w:val="00D91472"/>
    <w:rsid w:val="00D91DA1"/>
    <w:rsid w:val="00D9390E"/>
    <w:rsid w:val="00D942BC"/>
    <w:rsid w:val="00D94468"/>
    <w:rsid w:val="00D94C14"/>
    <w:rsid w:val="00D95BB5"/>
    <w:rsid w:val="00D96913"/>
    <w:rsid w:val="00D96F27"/>
    <w:rsid w:val="00D97D41"/>
    <w:rsid w:val="00DA0606"/>
    <w:rsid w:val="00DA07B7"/>
    <w:rsid w:val="00DA17A1"/>
    <w:rsid w:val="00DA203D"/>
    <w:rsid w:val="00DA330C"/>
    <w:rsid w:val="00DA4A37"/>
    <w:rsid w:val="00DA50BF"/>
    <w:rsid w:val="00DA6585"/>
    <w:rsid w:val="00DA7258"/>
    <w:rsid w:val="00DA79AD"/>
    <w:rsid w:val="00DB00BB"/>
    <w:rsid w:val="00DB176C"/>
    <w:rsid w:val="00DB1820"/>
    <w:rsid w:val="00DB221B"/>
    <w:rsid w:val="00DB2516"/>
    <w:rsid w:val="00DB2541"/>
    <w:rsid w:val="00DB3F6D"/>
    <w:rsid w:val="00DB41A9"/>
    <w:rsid w:val="00DB517A"/>
    <w:rsid w:val="00DB650A"/>
    <w:rsid w:val="00DB67FB"/>
    <w:rsid w:val="00DB6EE3"/>
    <w:rsid w:val="00DB73CF"/>
    <w:rsid w:val="00DC0044"/>
    <w:rsid w:val="00DC0B6B"/>
    <w:rsid w:val="00DC0CF8"/>
    <w:rsid w:val="00DC1658"/>
    <w:rsid w:val="00DC1EC1"/>
    <w:rsid w:val="00DC220C"/>
    <w:rsid w:val="00DC3082"/>
    <w:rsid w:val="00DC3268"/>
    <w:rsid w:val="00DC3292"/>
    <w:rsid w:val="00DC3350"/>
    <w:rsid w:val="00DC381C"/>
    <w:rsid w:val="00DC4395"/>
    <w:rsid w:val="00DC45CF"/>
    <w:rsid w:val="00DC46A2"/>
    <w:rsid w:val="00DC4E58"/>
    <w:rsid w:val="00DC5C42"/>
    <w:rsid w:val="00DC5ECE"/>
    <w:rsid w:val="00DC63BA"/>
    <w:rsid w:val="00DC6408"/>
    <w:rsid w:val="00DC648C"/>
    <w:rsid w:val="00DC6856"/>
    <w:rsid w:val="00DC6A2B"/>
    <w:rsid w:val="00DC7C2B"/>
    <w:rsid w:val="00DD0D61"/>
    <w:rsid w:val="00DD0D91"/>
    <w:rsid w:val="00DD1022"/>
    <w:rsid w:val="00DD1210"/>
    <w:rsid w:val="00DD1AA2"/>
    <w:rsid w:val="00DD20F7"/>
    <w:rsid w:val="00DD2A25"/>
    <w:rsid w:val="00DD2A8B"/>
    <w:rsid w:val="00DD2CC6"/>
    <w:rsid w:val="00DD3066"/>
    <w:rsid w:val="00DD4317"/>
    <w:rsid w:val="00DD53F2"/>
    <w:rsid w:val="00DD5C10"/>
    <w:rsid w:val="00DD6295"/>
    <w:rsid w:val="00DD6563"/>
    <w:rsid w:val="00DD6780"/>
    <w:rsid w:val="00DD6AC9"/>
    <w:rsid w:val="00DD7B3D"/>
    <w:rsid w:val="00DE0054"/>
    <w:rsid w:val="00DE080F"/>
    <w:rsid w:val="00DE0CE5"/>
    <w:rsid w:val="00DE0D8E"/>
    <w:rsid w:val="00DE1817"/>
    <w:rsid w:val="00DE1DF9"/>
    <w:rsid w:val="00DE23BF"/>
    <w:rsid w:val="00DE3193"/>
    <w:rsid w:val="00DE361C"/>
    <w:rsid w:val="00DE3637"/>
    <w:rsid w:val="00DE3E4D"/>
    <w:rsid w:val="00DE4403"/>
    <w:rsid w:val="00DE4954"/>
    <w:rsid w:val="00DE4D38"/>
    <w:rsid w:val="00DE5363"/>
    <w:rsid w:val="00DE56D9"/>
    <w:rsid w:val="00DE6612"/>
    <w:rsid w:val="00DE71D9"/>
    <w:rsid w:val="00DE7E1B"/>
    <w:rsid w:val="00DF02DD"/>
    <w:rsid w:val="00DF0B35"/>
    <w:rsid w:val="00DF0E84"/>
    <w:rsid w:val="00DF11CB"/>
    <w:rsid w:val="00DF1209"/>
    <w:rsid w:val="00DF175A"/>
    <w:rsid w:val="00DF1A90"/>
    <w:rsid w:val="00DF2552"/>
    <w:rsid w:val="00DF261D"/>
    <w:rsid w:val="00DF2B66"/>
    <w:rsid w:val="00DF2BDC"/>
    <w:rsid w:val="00DF31F9"/>
    <w:rsid w:val="00DF3343"/>
    <w:rsid w:val="00DF421E"/>
    <w:rsid w:val="00DF5116"/>
    <w:rsid w:val="00DF5383"/>
    <w:rsid w:val="00DF6122"/>
    <w:rsid w:val="00DF665B"/>
    <w:rsid w:val="00DF7624"/>
    <w:rsid w:val="00DF7A26"/>
    <w:rsid w:val="00E00572"/>
    <w:rsid w:val="00E00683"/>
    <w:rsid w:val="00E00BD3"/>
    <w:rsid w:val="00E00D06"/>
    <w:rsid w:val="00E010A0"/>
    <w:rsid w:val="00E01A53"/>
    <w:rsid w:val="00E01FFE"/>
    <w:rsid w:val="00E02093"/>
    <w:rsid w:val="00E03284"/>
    <w:rsid w:val="00E035D8"/>
    <w:rsid w:val="00E042A5"/>
    <w:rsid w:val="00E0455E"/>
    <w:rsid w:val="00E04AB9"/>
    <w:rsid w:val="00E058F7"/>
    <w:rsid w:val="00E05B15"/>
    <w:rsid w:val="00E05C29"/>
    <w:rsid w:val="00E05F12"/>
    <w:rsid w:val="00E063EB"/>
    <w:rsid w:val="00E07279"/>
    <w:rsid w:val="00E07325"/>
    <w:rsid w:val="00E07804"/>
    <w:rsid w:val="00E105EC"/>
    <w:rsid w:val="00E10C14"/>
    <w:rsid w:val="00E10C4A"/>
    <w:rsid w:val="00E1152D"/>
    <w:rsid w:val="00E11825"/>
    <w:rsid w:val="00E11B09"/>
    <w:rsid w:val="00E11B77"/>
    <w:rsid w:val="00E120D0"/>
    <w:rsid w:val="00E12F85"/>
    <w:rsid w:val="00E13386"/>
    <w:rsid w:val="00E14E0F"/>
    <w:rsid w:val="00E15645"/>
    <w:rsid w:val="00E157D7"/>
    <w:rsid w:val="00E1589D"/>
    <w:rsid w:val="00E16139"/>
    <w:rsid w:val="00E164E2"/>
    <w:rsid w:val="00E174D5"/>
    <w:rsid w:val="00E17683"/>
    <w:rsid w:val="00E17712"/>
    <w:rsid w:val="00E17E30"/>
    <w:rsid w:val="00E2062C"/>
    <w:rsid w:val="00E20F07"/>
    <w:rsid w:val="00E213DF"/>
    <w:rsid w:val="00E216D6"/>
    <w:rsid w:val="00E227EB"/>
    <w:rsid w:val="00E2289D"/>
    <w:rsid w:val="00E23740"/>
    <w:rsid w:val="00E23A2F"/>
    <w:rsid w:val="00E23C6E"/>
    <w:rsid w:val="00E24712"/>
    <w:rsid w:val="00E24816"/>
    <w:rsid w:val="00E24842"/>
    <w:rsid w:val="00E255C3"/>
    <w:rsid w:val="00E25D08"/>
    <w:rsid w:val="00E2616D"/>
    <w:rsid w:val="00E26865"/>
    <w:rsid w:val="00E26D24"/>
    <w:rsid w:val="00E27000"/>
    <w:rsid w:val="00E27043"/>
    <w:rsid w:val="00E27080"/>
    <w:rsid w:val="00E2719A"/>
    <w:rsid w:val="00E27B2C"/>
    <w:rsid w:val="00E27D6F"/>
    <w:rsid w:val="00E300C1"/>
    <w:rsid w:val="00E30DE5"/>
    <w:rsid w:val="00E32785"/>
    <w:rsid w:val="00E33159"/>
    <w:rsid w:val="00E333CC"/>
    <w:rsid w:val="00E34343"/>
    <w:rsid w:val="00E356A5"/>
    <w:rsid w:val="00E35754"/>
    <w:rsid w:val="00E36555"/>
    <w:rsid w:val="00E36E90"/>
    <w:rsid w:val="00E375AC"/>
    <w:rsid w:val="00E40DCD"/>
    <w:rsid w:val="00E40FD4"/>
    <w:rsid w:val="00E41D63"/>
    <w:rsid w:val="00E41F48"/>
    <w:rsid w:val="00E4211B"/>
    <w:rsid w:val="00E42165"/>
    <w:rsid w:val="00E421DD"/>
    <w:rsid w:val="00E431D2"/>
    <w:rsid w:val="00E4370A"/>
    <w:rsid w:val="00E44F7F"/>
    <w:rsid w:val="00E45093"/>
    <w:rsid w:val="00E45252"/>
    <w:rsid w:val="00E45516"/>
    <w:rsid w:val="00E46596"/>
    <w:rsid w:val="00E46A5E"/>
    <w:rsid w:val="00E46E7C"/>
    <w:rsid w:val="00E4706B"/>
    <w:rsid w:val="00E47165"/>
    <w:rsid w:val="00E47E5E"/>
    <w:rsid w:val="00E509E3"/>
    <w:rsid w:val="00E509E5"/>
    <w:rsid w:val="00E51051"/>
    <w:rsid w:val="00E512D5"/>
    <w:rsid w:val="00E51809"/>
    <w:rsid w:val="00E535B6"/>
    <w:rsid w:val="00E53EE2"/>
    <w:rsid w:val="00E5411A"/>
    <w:rsid w:val="00E541CC"/>
    <w:rsid w:val="00E54CC1"/>
    <w:rsid w:val="00E54E71"/>
    <w:rsid w:val="00E553D0"/>
    <w:rsid w:val="00E553D9"/>
    <w:rsid w:val="00E55A8E"/>
    <w:rsid w:val="00E56BC5"/>
    <w:rsid w:val="00E56C62"/>
    <w:rsid w:val="00E570C1"/>
    <w:rsid w:val="00E572DC"/>
    <w:rsid w:val="00E578BF"/>
    <w:rsid w:val="00E57F0F"/>
    <w:rsid w:val="00E57F64"/>
    <w:rsid w:val="00E632D6"/>
    <w:rsid w:val="00E6386B"/>
    <w:rsid w:val="00E63EA3"/>
    <w:rsid w:val="00E645B1"/>
    <w:rsid w:val="00E655DE"/>
    <w:rsid w:val="00E65EF9"/>
    <w:rsid w:val="00E66D5C"/>
    <w:rsid w:val="00E67B25"/>
    <w:rsid w:val="00E67F49"/>
    <w:rsid w:val="00E70489"/>
    <w:rsid w:val="00E70503"/>
    <w:rsid w:val="00E706EB"/>
    <w:rsid w:val="00E70CD9"/>
    <w:rsid w:val="00E71475"/>
    <w:rsid w:val="00E72302"/>
    <w:rsid w:val="00E72306"/>
    <w:rsid w:val="00E728B7"/>
    <w:rsid w:val="00E72A1E"/>
    <w:rsid w:val="00E733BD"/>
    <w:rsid w:val="00E735F0"/>
    <w:rsid w:val="00E73A3F"/>
    <w:rsid w:val="00E74DE0"/>
    <w:rsid w:val="00E76C2D"/>
    <w:rsid w:val="00E77157"/>
    <w:rsid w:val="00E775FB"/>
    <w:rsid w:val="00E802C5"/>
    <w:rsid w:val="00E80793"/>
    <w:rsid w:val="00E80D3A"/>
    <w:rsid w:val="00E81549"/>
    <w:rsid w:val="00E81927"/>
    <w:rsid w:val="00E820CB"/>
    <w:rsid w:val="00E826D5"/>
    <w:rsid w:val="00E833DF"/>
    <w:rsid w:val="00E85642"/>
    <w:rsid w:val="00E8583B"/>
    <w:rsid w:val="00E86BDC"/>
    <w:rsid w:val="00E870DA"/>
    <w:rsid w:val="00E874C9"/>
    <w:rsid w:val="00E8764F"/>
    <w:rsid w:val="00E87BBE"/>
    <w:rsid w:val="00E91FF7"/>
    <w:rsid w:val="00E9331B"/>
    <w:rsid w:val="00E93374"/>
    <w:rsid w:val="00E9344B"/>
    <w:rsid w:val="00E9372E"/>
    <w:rsid w:val="00E93C2D"/>
    <w:rsid w:val="00E93F17"/>
    <w:rsid w:val="00E944AA"/>
    <w:rsid w:val="00E94F92"/>
    <w:rsid w:val="00E95043"/>
    <w:rsid w:val="00E95FE2"/>
    <w:rsid w:val="00E96234"/>
    <w:rsid w:val="00E9698C"/>
    <w:rsid w:val="00E972DC"/>
    <w:rsid w:val="00E97473"/>
    <w:rsid w:val="00E978E1"/>
    <w:rsid w:val="00EA0594"/>
    <w:rsid w:val="00EA0F44"/>
    <w:rsid w:val="00EA2B33"/>
    <w:rsid w:val="00EA2CD7"/>
    <w:rsid w:val="00EA2DEB"/>
    <w:rsid w:val="00EA331A"/>
    <w:rsid w:val="00EA3BFD"/>
    <w:rsid w:val="00EA4283"/>
    <w:rsid w:val="00EA4325"/>
    <w:rsid w:val="00EA46AD"/>
    <w:rsid w:val="00EA46CB"/>
    <w:rsid w:val="00EA4CF2"/>
    <w:rsid w:val="00EA6A11"/>
    <w:rsid w:val="00EA6D1C"/>
    <w:rsid w:val="00EA71E8"/>
    <w:rsid w:val="00EA72AA"/>
    <w:rsid w:val="00EA7708"/>
    <w:rsid w:val="00EA79AA"/>
    <w:rsid w:val="00EB0D7B"/>
    <w:rsid w:val="00EB1130"/>
    <w:rsid w:val="00EB15CB"/>
    <w:rsid w:val="00EB1B56"/>
    <w:rsid w:val="00EB1B85"/>
    <w:rsid w:val="00EB22B3"/>
    <w:rsid w:val="00EB2685"/>
    <w:rsid w:val="00EB30CB"/>
    <w:rsid w:val="00EB3CE5"/>
    <w:rsid w:val="00EB42E2"/>
    <w:rsid w:val="00EB54C0"/>
    <w:rsid w:val="00EB625C"/>
    <w:rsid w:val="00EB6975"/>
    <w:rsid w:val="00EB7507"/>
    <w:rsid w:val="00EB7CDB"/>
    <w:rsid w:val="00EC085C"/>
    <w:rsid w:val="00EC3378"/>
    <w:rsid w:val="00EC3D11"/>
    <w:rsid w:val="00EC53AE"/>
    <w:rsid w:val="00EC647A"/>
    <w:rsid w:val="00EC695E"/>
    <w:rsid w:val="00EC754F"/>
    <w:rsid w:val="00EC7567"/>
    <w:rsid w:val="00ED0996"/>
    <w:rsid w:val="00ED0BD0"/>
    <w:rsid w:val="00ED1405"/>
    <w:rsid w:val="00ED1DF7"/>
    <w:rsid w:val="00ED3774"/>
    <w:rsid w:val="00ED42F3"/>
    <w:rsid w:val="00ED43FE"/>
    <w:rsid w:val="00ED4DD2"/>
    <w:rsid w:val="00ED51FA"/>
    <w:rsid w:val="00ED5472"/>
    <w:rsid w:val="00ED5D49"/>
    <w:rsid w:val="00ED6FEA"/>
    <w:rsid w:val="00ED763A"/>
    <w:rsid w:val="00EE07F2"/>
    <w:rsid w:val="00EE0B86"/>
    <w:rsid w:val="00EE0D73"/>
    <w:rsid w:val="00EE1822"/>
    <w:rsid w:val="00EE1CDB"/>
    <w:rsid w:val="00EE2546"/>
    <w:rsid w:val="00EE32F2"/>
    <w:rsid w:val="00EE4540"/>
    <w:rsid w:val="00EE5106"/>
    <w:rsid w:val="00EE610F"/>
    <w:rsid w:val="00EE6620"/>
    <w:rsid w:val="00EE73F3"/>
    <w:rsid w:val="00EE7B04"/>
    <w:rsid w:val="00EE7DE5"/>
    <w:rsid w:val="00EF068D"/>
    <w:rsid w:val="00EF26D3"/>
    <w:rsid w:val="00EF31ED"/>
    <w:rsid w:val="00EF339F"/>
    <w:rsid w:val="00EF34D2"/>
    <w:rsid w:val="00EF38DB"/>
    <w:rsid w:val="00EF43AB"/>
    <w:rsid w:val="00EF4B97"/>
    <w:rsid w:val="00EF4E32"/>
    <w:rsid w:val="00EF54BC"/>
    <w:rsid w:val="00EF570F"/>
    <w:rsid w:val="00EF58E1"/>
    <w:rsid w:val="00EF5B00"/>
    <w:rsid w:val="00EF600C"/>
    <w:rsid w:val="00EF616F"/>
    <w:rsid w:val="00EF63EC"/>
    <w:rsid w:val="00EF63F6"/>
    <w:rsid w:val="00EF6603"/>
    <w:rsid w:val="00EF7190"/>
    <w:rsid w:val="00EF7695"/>
    <w:rsid w:val="00EF78F4"/>
    <w:rsid w:val="00F00373"/>
    <w:rsid w:val="00F00820"/>
    <w:rsid w:val="00F00ECF"/>
    <w:rsid w:val="00F01ACD"/>
    <w:rsid w:val="00F02483"/>
    <w:rsid w:val="00F026C9"/>
    <w:rsid w:val="00F02DD9"/>
    <w:rsid w:val="00F03179"/>
    <w:rsid w:val="00F03D68"/>
    <w:rsid w:val="00F0408D"/>
    <w:rsid w:val="00F042EA"/>
    <w:rsid w:val="00F04B5A"/>
    <w:rsid w:val="00F0593A"/>
    <w:rsid w:val="00F05AC3"/>
    <w:rsid w:val="00F06557"/>
    <w:rsid w:val="00F069AB"/>
    <w:rsid w:val="00F06DFC"/>
    <w:rsid w:val="00F07057"/>
    <w:rsid w:val="00F073BD"/>
    <w:rsid w:val="00F10055"/>
    <w:rsid w:val="00F1023F"/>
    <w:rsid w:val="00F10A8F"/>
    <w:rsid w:val="00F12634"/>
    <w:rsid w:val="00F12712"/>
    <w:rsid w:val="00F12E4E"/>
    <w:rsid w:val="00F132C8"/>
    <w:rsid w:val="00F13919"/>
    <w:rsid w:val="00F13B50"/>
    <w:rsid w:val="00F13C82"/>
    <w:rsid w:val="00F14416"/>
    <w:rsid w:val="00F15BF0"/>
    <w:rsid w:val="00F1654A"/>
    <w:rsid w:val="00F16704"/>
    <w:rsid w:val="00F16B43"/>
    <w:rsid w:val="00F16E5B"/>
    <w:rsid w:val="00F17C59"/>
    <w:rsid w:val="00F20207"/>
    <w:rsid w:val="00F20783"/>
    <w:rsid w:val="00F20EB3"/>
    <w:rsid w:val="00F21349"/>
    <w:rsid w:val="00F21AA7"/>
    <w:rsid w:val="00F23CAD"/>
    <w:rsid w:val="00F240E4"/>
    <w:rsid w:val="00F2439D"/>
    <w:rsid w:val="00F24CB7"/>
    <w:rsid w:val="00F24D2E"/>
    <w:rsid w:val="00F258CB"/>
    <w:rsid w:val="00F306AD"/>
    <w:rsid w:val="00F31225"/>
    <w:rsid w:val="00F3146E"/>
    <w:rsid w:val="00F3192C"/>
    <w:rsid w:val="00F32914"/>
    <w:rsid w:val="00F32B5D"/>
    <w:rsid w:val="00F32E1C"/>
    <w:rsid w:val="00F32FC0"/>
    <w:rsid w:val="00F33E11"/>
    <w:rsid w:val="00F33E1C"/>
    <w:rsid w:val="00F34289"/>
    <w:rsid w:val="00F34466"/>
    <w:rsid w:val="00F345F1"/>
    <w:rsid w:val="00F34D76"/>
    <w:rsid w:val="00F355F2"/>
    <w:rsid w:val="00F35719"/>
    <w:rsid w:val="00F37688"/>
    <w:rsid w:val="00F37FF3"/>
    <w:rsid w:val="00F40245"/>
    <w:rsid w:val="00F402CA"/>
    <w:rsid w:val="00F40C5B"/>
    <w:rsid w:val="00F40D57"/>
    <w:rsid w:val="00F40DA4"/>
    <w:rsid w:val="00F415CA"/>
    <w:rsid w:val="00F41C88"/>
    <w:rsid w:val="00F423EC"/>
    <w:rsid w:val="00F424D1"/>
    <w:rsid w:val="00F430C3"/>
    <w:rsid w:val="00F4372B"/>
    <w:rsid w:val="00F4420C"/>
    <w:rsid w:val="00F45531"/>
    <w:rsid w:val="00F45823"/>
    <w:rsid w:val="00F460A9"/>
    <w:rsid w:val="00F4618D"/>
    <w:rsid w:val="00F472DC"/>
    <w:rsid w:val="00F47B16"/>
    <w:rsid w:val="00F47D2C"/>
    <w:rsid w:val="00F47D56"/>
    <w:rsid w:val="00F50B52"/>
    <w:rsid w:val="00F50EF3"/>
    <w:rsid w:val="00F515E5"/>
    <w:rsid w:val="00F51DE3"/>
    <w:rsid w:val="00F521BB"/>
    <w:rsid w:val="00F52C25"/>
    <w:rsid w:val="00F530E3"/>
    <w:rsid w:val="00F533EF"/>
    <w:rsid w:val="00F54F8A"/>
    <w:rsid w:val="00F559AE"/>
    <w:rsid w:val="00F55A53"/>
    <w:rsid w:val="00F563E7"/>
    <w:rsid w:val="00F56A81"/>
    <w:rsid w:val="00F56F87"/>
    <w:rsid w:val="00F57887"/>
    <w:rsid w:val="00F57A3C"/>
    <w:rsid w:val="00F57B38"/>
    <w:rsid w:val="00F57BC9"/>
    <w:rsid w:val="00F6079B"/>
    <w:rsid w:val="00F60CAF"/>
    <w:rsid w:val="00F61233"/>
    <w:rsid w:val="00F6140A"/>
    <w:rsid w:val="00F614E0"/>
    <w:rsid w:val="00F61748"/>
    <w:rsid w:val="00F6214C"/>
    <w:rsid w:val="00F62BC1"/>
    <w:rsid w:val="00F62D12"/>
    <w:rsid w:val="00F634AF"/>
    <w:rsid w:val="00F6386E"/>
    <w:rsid w:val="00F63B7D"/>
    <w:rsid w:val="00F64C64"/>
    <w:rsid w:val="00F651B3"/>
    <w:rsid w:val="00F6559F"/>
    <w:rsid w:val="00F657FC"/>
    <w:rsid w:val="00F662B2"/>
    <w:rsid w:val="00F66565"/>
    <w:rsid w:val="00F66A83"/>
    <w:rsid w:val="00F66EAD"/>
    <w:rsid w:val="00F6711B"/>
    <w:rsid w:val="00F6783A"/>
    <w:rsid w:val="00F67BC6"/>
    <w:rsid w:val="00F7092F"/>
    <w:rsid w:val="00F709F2"/>
    <w:rsid w:val="00F7169E"/>
    <w:rsid w:val="00F719E6"/>
    <w:rsid w:val="00F71B32"/>
    <w:rsid w:val="00F71D1F"/>
    <w:rsid w:val="00F71E9B"/>
    <w:rsid w:val="00F7225D"/>
    <w:rsid w:val="00F72EB9"/>
    <w:rsid w:val="00F739F6"/>
    <w:rsid w:val="00F7402A"/>
    <w:rsid w:val="00F74CFE"/>
    <w:rsid w:val="00F7553D"/>
    <w:rsid w:val="00F7588E"/>
    <w:rsid w:val="00F75F69"/>
    <w:rsid w:val="00F75FC1"/>
    <w:rsid w:val="00F76DED"/>
    <w:rsid w:val="00F77888"/>
    <w:rsid w:val="00F8059B"/>
    <w:rsid w:val="00F805A1"/>
    <w:rsid w:val="00F80CA4"/>
    <w:rsid w:val="00F80E21"/>
    <w:rsid w:val="00F80F8C"/>
    <w:rsid w:val="00F813C6"/>
    <w:rsid w:val="00F81A18"/>
    <w:rsid w:val="00F82080"/>
    <w:rsid w:val="00F820D2"/>
    <w:rsid w:val="00F82B87"/>
    <w:rsid w:val="00F83022"/>
    <w:rsid w:val="00F83370"/>
    <w:rsid w:val="00F83723"/>
    <w:rsid w:val="00F839E9"/>
    <w:rsid w:val="00F8528F"/>
    <w:rsid w:val="00F85DB2"/>
    <w:rsid w:val="00F85DF3"/>
    <w:rsid w:val="00F85E21"/>
    <w:rsid w:val="00F8635D"/>
    <w:rsid w:val="00F8672C"/>
    <w:rsid w:val="00F869E1"/>
    <w:rsid w:val="00F86A1B"/>
    <w:rsid w:val="00F86E71"/>
    <w:rsid w:val="00F87844"/>
    <w:rsid w:val="00F8798D"/>
    <w:rsid w:val="00F90126"/>
    <w:rsid w:val="00F90652"/>
    <w:rsid w:val="00F91127"/>
    <w:rsid w:val="00F913D9"/>
    <w:rsid w:val="00F91C19"/>
    <w:rsid w:val="00F927D1"/>
    <w:rsid w:val="00F931C4"/>
    <w:rsid w:val="00F934FE"/>
    <w:rsid w:val="00F93D42"/>
    <w:rsid w:val="00F93F7A"/>
    <w:rsid w:val="00F94108"/>
    <w:rsid w:val="00F942B4"/>
    <w:rsid w:val="00F9437E"/>
    <w:rsid w:val="00F94BCA"/>
    <w:rsid w:val="00F94BF7"/>
    <w:rsid w:val="00F955B6"/>
    <w:rsid w:val="00F956EF"/>
    <w:rsid w:val="00F962DC"/>
    <w:rsid w:val="00F96818"/>
    <w:rsid w:val="00F96CBC"/>
    <w:rsid w:val="00F96E96"/>
    <w:rsid w:val="00FA01A6"/>
    <w:rsid w:val="00FA04B2"/>
    <w:rsid w:val="00FA0C75"/>
    <w:rsid w:val="00FA0FE9"/>
    <w:rsid w:val="00FA15F4"/>
    <w:rsid w:val="00FA2560"/>
    <w:rsid w:val="00FA2EAF"/>
    <w:rsid w:val="00FA3470"/>
    <w:rsid w:val="00FA3A67"/>
    <w:rsid w:val="00FA48E0"/>
    <w:rsid w:val="00FA536C"/>
    <w:rsid w:val="00FA556A"/>
    <w:rsid w:val="00FA5915"/>
    <w:rsid w:val="00FA5BA9"/>
    <w:rsid w:val="00FA5C7F"/>
    <w:rsid w:val="00FA5D6C"/>
    <w:rsid w:val="00FA69B3"/>
    <w:rsid w:val="00FB12EA"/>
    <w:rsid w:val="00FB14B2"/>
    <w:rsid w:val="00FB17E8"/>
    <w:rsid w:val="00FB19C4"/>
    <w:rsid w:val="00FB25A6"/>
    <w:rsid w:val="00FB2966"/>
    <w:rsid w:val="00FB2D52"/>
    <w:rsid w:val="00FB34D6"/>
    <w:rsid w:val="00FB35BB"/>
    <w:rsid w:val="00FB385A"/>
    <w:rsid w:val="00FB38E3"/>
    <w:rsid w:val="00FB4C32"/>
    <w:rsid w:val="00FB4D56"/>
    <w:rsid w:val="00FB4E5E"/>
    <w:rsid w:val="00FB5556"/>
    <w:rsid w:val="00FB5CC1"/>
    <w:rsid w:val="00FB6C7B"/>
    <w:rsid w:val="00FB70F8"/>
    <w:rsid w:val="00FC07BF"/>
    <w:rsid w:val="00FC0C9D"/>
    <w:rsid w:val="00FC13BC"/>
    <w:rsid w:val="00FC18FF"/>
    <w:rsid w:val="00FC1A06"/>
    <w:rsid w:val="00FC1B2F"/>
    <w:rsid w:val="00FC2535"/>
    <w:rsid w:val="00FC3365"/>
    <w:rsid w:val="00FC3448"/>
    <w:rsid w:val="00FC3770"/>
    <w:rsid w:val="00FC38C9"/>
    <w:rsid w:val="00FC4A87"/>
    <w:rsid w:val="00FC5623"/>
    <w:rsid w:val="00FC59EA"/>
    <w:rsid w:val="00FC6364"/>
    <w:rsid w:val="00FC6517"/>
    <w:rsid w:val="00FC65B1"/>
    <w:rsid w:val="00FC6FC7"/>
    <w:rsid w:val="00FC7CA9"/>
    <w:rsid w:val="00FD0DDC"/>
    <w:rsid w:val="00FD0EE2"/>
    <w:rsid w:val="00FD186D"/>
    <w:rsid w:val="00FD1B46"/>
    <w:rsid w:val="00FD1E6B"/>
    <w:rsid w:val="00FD2D34"/>
    <w:rsid w:val="00FD41B4"/>
    <w:rsid w:val="00FD42ED"/>
    <w:rsid w:val="00FD4771"/>
    <w:rsid w:val="00FD499E"/>
    <w:rsid w:val="00FD4C6B"/>
    <w:rsid w:val="00FD6468"/>
    <w:rsid w:val="00FD70E2"/>
    <w:rsid w:val="00FD7AF3"/>
    <w:rsid w:val="00FD7C40"/>
    <w:rsid w:val="00FD7F45"/>
    <w:rsid w:val="00FE000F"/>
    <w:rsid w:val="00FE0BDF"/>
    <w:rsid w:val="00FE2EAF"/>
    <w:rsid w:val="00FE2F7A"/>
    <w:rsid w:val="00FE3B74"/>
    <w:rsid w:val="00FE3B97"/>
    <w:rsid w:val="00FE3E87"/>
    <w:rsid w:val="00FE408A"/>
    <w:rsid w:val="00FE4555"/>
    <w:rsid w:val="00FE4682"/>
    <w:rsid w:val="00FE4802"/>
    <w:rsid w:val="00FE65ED"/>
    <w:rsid w:val="00FE6AEE"/>
    <w:rsid w:val="00FE71AC"/>
    <w:rsid w:val="00FE74BF"/>
    <w:rsid w:val="00FE751A"/>
    <w:rsid w:val="00FF001B"/>
    <w:rsid w:val="00FF0660"/>
    <w:rsid w:val="00FF1157"/>
    <w:rsid w:val="00FF18BB"/>
    <w:rsid w:val="00FF1AA2"/>
    <w:rsid w:val="00FF2654"/>
    <w:rsid w:val="00FF3042"/>
    <w:rsid w:val="00FF356E"/>
    <w:rsid w:val="00FF36E6"/>
    <w:rsid w:val="00FF4540"/>
    <w:rsid w:val="00FF45C9"/>
    <w:rsid w:val="00FF54E6"/>
    <w:rsid w:val="00FF56DF"/>
    <w:rsid w:val="00FF6AFC"/>
    <w:rsid w:val="00FF792C"/>
    <w:rsid w:val="3CA481E0"/>
    <w:rsid w:val="62BB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37711"/>
  <w15:chartTrackingRefBased/>
  <w15:docId w15:val="{203B223D-4CAE-417F-85D6-D8D5BC4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atentStyles>
  <w:style w:type="paragraph" w:default="1" w:styleId="Normal">
    <w:name w:val="Normal"/>
    <w:qFormat/>
    <w:rsid w:val="009C15DD"/>
    <w:rPr>
      <w:rFonts w:ascii="Times New Roman" w:eastAsia="MS Mincho" w:hAnsi="Times New Roman"/>
      <w:sz w:val="22"/>
      <w:szCs w:val="24"/>
      <w:lang w:eastAsia="ja-JP"/>
    </w:rPr>
  </w:style>
  <w:style w:type="paragraph" w:styleId="Heading1">
    <w:name w:val="heading 1"/>
    <w:basedOn w:val="Normal"/>
    <w:next w:val="Normal"/>
    <w:link w:val="Heading1Char"/>
    <w:uiPriority w:val="9"/>
    <w:qFormat/>
    <w:rsid w:val="00C948AE"/>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AC7431"/>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F66EAD"/>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4E72C0"/>
    <w:pPr>
      <w:keepNext/>
      <w:spacing w:before="240" w:after="60" w:line="276" w:lineRule="auto"/>
      <w:outlineLvl w:val="3"/>
    </w:pPr>
    <w:rPr>
      <w:rFonts w:eastAsia="Times New Roman"/>
      <w:b/>
      <w:bCs/>
      <w:sz w:val="28"/>
      <w:szCs w:val="28"/>
      <w:lang w:val="x-none" w:eastAsia="x-none"/>
    </w:rPr>
  </w:style>
  <w:style w:type="paragraph" w:styleId="Heading6">
    <w:name w:val="heading 6"/>
    <w:basedOn w:val="Normal"/>
    <w:next w:val="Normal"/>
    <w:link w:val="Heading6Char"/>
    <w:uiPriority w:val="9"/>
    <w:qFormat/>
    <w:rsid w:val="004D14D8"/>
    <w:pPr>
      <w:spacing w:before="240" w:after="60"/>
      <w:outlineLvl w:val="5"/>
    </w:pPr>
    <w:rPr>
      <w:rFonts w:ascii="Calibri" w:eastAsia="Times New Roman" w:hAnsi="Calibri"/>
      <w:b/>
      <w:bCs/>
      <w:szCs w:val="22"/>
      <w:lang w:val="x-none"/>
    </w:rPr>
  </w:style>
  <w:style w:type="paragraph" w:styleId="Heading8">
    <w:name w:val="heading 8"/>
    <w:basedOn w:val="Normal"/>
    <w:next w:val="Normal"/>
    <w:link w:val="Heading8Char"/>
    <w:qFormat/>
    <w:rsid w:val="000D33CD"/>
    <w:pPr>
      <w:tabs>
        <w:tab w:val="num" w:pos="5760"/>
      </w:tabs>
      <w:suppressAutoHyphens/>
      <w:spacing w:before="240" w:after="60" w:line="240" w:lineRule="exact"/>
      <w:ind w:left="5760" w:hanging="360"/>
      <w:outlineLvl w:val="7"/>
    </w:pPr>
    <w:rPr>
      <w:rFonts w:ascii="Arial" w:eastAsia="Times New Roman" w:hAnsi="Arial"/>
      <w:i/>
      <w:iCs/>
      <w:spacing w:val="4"/>
      <w:w w:val="103"/>
      <w:kern w:val="14"/>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0D33CD"/>
    <w:rPr>
      <w:rFonts w:ascii="Arial" w:eastAsia="Times New Roman" w:hAnsi="Arial" w:cs="Arial"/>
      <w:i/>
      <w:iCs/>
      <w:spacing w:val="4"/>
      <w:w w:val="103"/>
      <w:kern w:val="14"/>
      <w:lang w:val="en-GB"/>
    </w:rPr>
  </w:style>
  <w:style w:type="paragraph" w:customStyle="1" w:styleId="LightGrid-Accent31">
    <w:name w:val="Light Grid - Accent 31"/>
    <w:aliases w:val="List Paragraph (numbered (a))"/>
    <w:basedOn w:val="Normal"/>
    <w:link w:val="LightGrid-Accent3Char"/>
    <w:uiPriority w:val="34"/>
    <w:qFormat/>
    <w:rsid w:val="000D33CD"/>
    <w:pPr>
      <w:ind w:left="720"/>
    </w:pPr>
    <w:rPr>
      <w:rFonts w:ascii="Calibri" w:eastAsia="Calibri" w:hAnsi="Calibri"/>
      <w:szCs w:val="22"/>
      <w:lang w:val="x-none" w:eastAsia="x-none"/>
    </w:rPr>
  </w:style>
  <w:style w:type="paragraph" w:customStyle="1" w:styleId="HM">
    <w:name w:val="_ H __M"/>
    <w:basedOn w:val="Normal"/>
    <w:next w:val="Normal"/>
    <w:rsid w:val="000D33CD"/>
    <w:pPr>
      <w:keepNext/>
      <w:keepLines/>
      <w:suppressAutoHyphens/>
      <w:spacing w:line="360" w:lineRule="exact"/>
      <w:outlineLvl w:val="0"/>
    </w:pPr>
    <w:rPr>
      <w:rFonts w:eastAsia="Calibri"/>
      <w:b/>
      <w:bCs/>
      <w:spacing w:val="-3"/>
      <w:w w:val="99"/>
      <w:kern w:val="14"/>
      <w:sz w:val="34"/>
      <w:szCs w:val="34"/>
      <w:lang w:val="en-GB" w:eastAsia="en-US"/>
    </w:rPr>
  </w:style>
  <w:style w:type="character" w:styleId="FootnoteReference">
    <w:name w:val="footnote reference"/>
    <w:aliases w:val="ftref,Carattere Char1,Carattere Char Char Carattere Carattere Char Char, Carattere Char1, Carattere Char Char Carattere Carattere Char Char,16 Point,Superscript 6 Point,fr"/>
    <w:uiPriority w:val="99"/>
    <w:rsid w:val="007458AB"/>
    <w:rPr>
      <w:rFonts w:cs="Times New Roman"/>
      <w:spacing w:val="-5"/>
      <w:w w:val="130"/>
      <w:position w:val="-4"/>
      <w:vertAlign w:val="superscript"/>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
    <w:basedOn w:val="Normal"/>
    <w:link w:val="FootnoteTextChar1"/>
    <w:uiPriority w:val="99"/>
    <w:rsid w:val="007458AB"/>
    <w:pPr>
      <w:widowControl w:val="0"/>
      <w:tabs>
        <w:tab w:val="right" w:pos="418"/>
      </w:tabs>
      <w:suppressAutoHyphens/>
      <w:spacing w:line="210" w:lineRule="exact"/>
      <w:ind w:left="475" w:hanging="475"/>
    </w:pPr>
    <w:rPr>
      <w:rFonts w:eastAsia="Calibri"/>
      <w:spacing w:val="5"/>
      <w:w w:val="104"/>
      <w:kern w:val="14"/>
      <w:sz w:val="17"/>
      <w:szCs w:val="17"/>
      <w:lang w:val="en-GB" w:eastAsia="x-none"/>
    </w:rPr>
  </w:style>
  <w:style w:type="character" w:customStyle="1" w:styleId="FootnoteTextChar">
    <w:name w:val="Footnote Text Char"/>
    <w:aliases w:val="Footnote Text Char Char Char Char Char,Footnote Text Char Char Char1,footnote text Char,Footnote Text Char2 Char,Footnote Text Char1 Char1 Char,Footnote Text Char Char Char Char1,Footnote Text Char1 Char,Char Char"/>
    <w:uiPriority w:val="99"/>
    <w:rsid w:val="007458AB"/>
    <w:rPr>
      <w:rFonts w:ascii="Times New Roman" w:eastAsia="MS Mincho" w:hAnsi="Times New Roman"/>
      <w:lang w:eastAsia="ja-JP"/>
    </w:rPr>
  </w:style>
  <w:style w:type="character" w:customStyle="1" w:styleId="FootnoteTextChar1">
    <w:name w:val="Footnote Text Char1"/>
    <w:aliases w:val="single space Char,fn Char,ft Char,Footnote Text Char Char Char Char Char1,Footnote Text Char Char Char2,footnote text Char1,Footnote Text Char2 Char1,Footnote Text Char1 Char1 Char1,Footnote Text Char Char Char Char2,Char Char1"/>
    <w:link w:val="FootnoteText"/>
    <w:uiPriority w:val="99"/>
    <w:locked/>
    <w:rsid w:val="007458AB"/>
    <w:rPr>
      <w:rFonts w:ascii="Times New Roman" w:hAnsi="Times New Roman"/>
      <w:spacing w:val="5"/>
      <w:w w:val="104"/>
      <w:kern w:val="14"/>
      <w:sz w:val="17"/>
      <w:szCs w:val="17"/>
      <w:lang w:val="en-GB"/>
    </w:rPr>
  </w:style>
  <w:style w:type="character" w:styleId="Hyperlink">
    <w:name w:val="Hyperlink"/>
    <w:uiPriority w:val="99"/>
    <w:rsid w:val="007458AB"/>
    <w:rPr>
      <w:rFonts w:cs="Times New Roman"/>
      <w:color w:val="0000FF"/>
      <w:u w:val="single"/>
    </w:rPr>
  </w:style>
  <w:style w:type="paragraph" w:styleId="Header">
    <w:name w:val="header"/>
    <w:basedOn w:val="Normal"/>
    <w:link w:val="HeaderChar"/>
    <w:unhideWhenUsed/>
    <w:rsid w:val="00D543DB"/>
    <w:pPr>
      <w:tabs>
        <w:tab w:val="center" w:pos="4680"/>
        <w:tab w:val="right" w:pos="9360"/>
      </w:tabs>
    </w:pPr>
    <w:rPr>
      <w:sz w:val="24"/>
      <w:lang w:val="x-none"/>
    </w:rPr>
  </w:style>
  <w:style w:type="character" w:customStyle="1" w:styleId="HeaderChar">
    <w:name w:val="Header Char"/>
    <w:link w:val="Header"/>
    <w:rsid w:val="00D543DB"/>
    <w:rPr>
      <w:rFonts w:ascii="Times New Roman" w:eastAsia="MS Mincho" w:hAnsi="Times New Roman"/>
      <w:sz w:val="24"/>
      <w:szCs w:val="24"/>
      <w:lang w:eastAsia="ja-JP"/>
    </w:rPr>
  </w:style>
  <w:style w:type="paragraph" w:styleId="Footer">
    <w:name w:val="footer"/>
    <w:basedOn w:val="Normal"/>
    <w:link w:val="FooterChar"/>
    <w:uiPriority w:val="99"/>
    <w:unhideWhenUsed/>
    <w:rsid w:val="00D543DB"/>
    <w:pPr>
      <w:tabs>
        <w:tab w:val="center" w:pos="4680"/>
        <w:tab w:val="right" w:pos="9360"/>
      </w:tabs>
    </w:pPr>
    <w:rPr>
      <w:sz w:val="24"/>
      <w:lang w:val="x-none"/>
    </w:rPr>
  </w:style>
  <w:style w:type="character" w:customStyle="1" w:styleId="FooterChar">
    <w:name w:val="Footer Char"/>
    <w:link w:val="Footer"/>
    <w:uiPriority w:val="99"/>
    <w:rsid w:val="00D543DB"/>
    <w:rPr>
      <w:rFonts w:ascii="Times New Roman" w:eastAsia="MS Mincho" w:hAnsi="Times New Roman"/>
      <w:sz w:val="24"/>
      <w:szCs w:val="24"/>
      <w:lang w:eastAsia="ja-JP"/>
    </w:rPr>
  </w:style>
  <w:style w:type="paragraph" w:styleId="NormalWeb">
    <w:name w:val="Normal (Web)"/>
    <w:basedOn w:val="Normal"/>
    <w:uiPriority w:val="99"/>
    <w:unhideWhenUsed/>
    <w:rsid w:val="005A6D93"/>
    <w:pPr>
      <w:spacing w:before="100" w:beforeAutospacing="1" w:after="100" w:afterAutospacing="1"/>
    </w:pPr>
    <w:rPr>
      <w:rFonts w:eastAsia="Calibri"/>
      <w:lang w:eastAsia="en-US"/>
    </w:rPr>
  </w:style>
  <w:style w:type="paragraph" w:styleId="BodyText">
    <w:name w:val="Body Text"/>
    <w:aliases w:val="Body Text Char2,Body Text Char1 Char,Body Text Char Char Char,Body Text Char1 Char Char Char,Body Text Char Char Char Char Char,Body Text Char1 Char Char Char Char Char,Body Text Char Char Char Char Char Char Char,Body Text Char1,Body Text Cha"/>
    <w:basedOn w:val="Normal"/>
    <w:link w:val="BodyTextChar"/>
    <w:rsid w:val="005A6D93"/>
    <w:pPr>
      <w:spacing w:after="270" w:line="270" w:lineRule="atLeast"/>
    </w:pPr>
    <w:rPr>
      <w:rFonts w:eastAsia="Times New Roman"/>
      <w:sz w:val="23"/>
      <w:szCs w:val="20"/>
      <w:lang w:val="en-GB" w:eastAsia="da-DK"/>
    </w:rPr>
  </w:style>
  <w:style w:type="character" w:customStyle="1" w:styleId="BodyTextChar">
    <w:name w:val="Body Text Char"/>
    <w:aliases w:val="Body Text Char2 Char,Body Text Char1 Char Char,Body Text Char Char Char Char,Body Text Char1 Char Char Char Char,Body Text Char Char Char Char Char Char,Body Text Char1 Char Char Char Char Char Char,Body Text Char1 Char1"/>
    <w:link w:val="BodyText"/>
    <w:rsid w:val="005A6D93"/>
    <w:rPr>
      <w:rFonts w:ascii="Times New Roman" w:eastAsia="Times New Roman" w:hAnsi="Times New Roman"/>
      <w:sz w:val="23"/>
      <w:lang w:val="en-GB" w:eastAsia="da-DK"/>
    </w:rPr>
  </w:style>
  <w:style w:type="paragraph" w:styleId="CommentText">
    <w:name w:val="annotation text"/>
    <w:basedOn w:val="Normal"/>
    <w:link w:val="CommentTextChar"/>
    <w:uiPriority w:val="99"/>
    <w:unhideWhenUsed/>
    <w:rsid w:val="0020008F"/>
    <w:rPr>
      <w:sz w:val="20"/>
      <w:szCs w:val="20"/>
      <w:lang w:val="x-none" w:eastAsia="x-none"/>
    </w:rPr>
  </w:style>
  <w:style w:type="character" w:customStyle="1" w:styleId="CommentTextChar">
    <w:name w:val="Comment Text Char"/>
    <w:link w:val="CommentText"/>
    <w:uiPriority w:val="99"/>
    <w:rsid w:val="0020008F"/>
    <w:rPr>
      <w:rFonts w:ascii="Times New Roman" w:eastAsia="MS Mincho" w:hAnsi="Times New Roman"/>
    </w:rPr>
  </w:style>
  <w:style w:type="character" w:styleId="CommentReference">
    <w:name w:val="annotation reference"/>
    <w:uiPriority w:val="99"/>
    <w:rsid w:val="0020008F"/>
    <w:rPr>
      <w:sz w:val="16"/>
      <w:szCs w:val="16"/>
    </w:rPr>
  </w:style>
  <w:style w:type="paragraph" w:styleId="BalloonText">
    <w:name w:val="Balloon Text"/>
    <w:basedOn w:val="Normal"/>
    <w:link w:val="BalloonTextChar"/>
    <w:uiPriority w:val="99"/>
    <w:semiHidden/>
    <w:unhideWhenUsed/>
    <w:rsid w:val="0020008F"/>
    <w:rPr>
      <w:rFonts w:ascii="Tahoma" w:hAnsi="Tahoma"/>
      <w:sz w:val="16"/>
      <w:szCs w:val="16"/>
      <w:lang w:val="x-none"/>
    </w:rPr>
  </w:style>
  <w:style w:type="character" w:customStyle="1" w:styleId="BalloonTextChar">
    <w:name w:val="Balloon Text Char"/>
    <w:link w:val="BalloonText"/>
    <w:uiPriority w:val="99"/>
    <w:semiHidden/>
    <w:rsid w:val="0020008F"/>
    <w:rPr>
      <w:rFonts w:ascii="Tahoma" w:eastAsia="MS Mincho" w:hAnsi="Tahoma" w:cs="Tahoma"/>
      <w:sz w:val="16"/>
      <w:szCs w:val="16"/>
      <w:lang w:eastAsia="ja-JP"/>
    </w:rPr>
  </w:style>
  <w:style w:type="character" w:customStyle="1" w:styleId="Heading4Char">
    <w:name w:val="Heading 4 Char"/>
    <w:link w:val="Heading4"/>
    <w:rsid w:val="004E72C0"/>
    <w:rPr>
      <w:rFonts w:ascii="Times New Roman" w:eastAsia="Times New Roman" w:hAnsi="Times New Roman"/>
      <w:b/>
      <w:bCs/>
      <w:sz w:val="28"/>
      <w:szCs w:val="28"/>
    </w:rPr>
  </w:style>
  <w:style w:type="paragraph" w:customStyle="1" w:styleId="HCh">
    <w:name w:val="_ H _Ch"/>
    <w:basedOn w:val="Normal"/>
    <w:next w:val="Normal"/>
    <w:rsid w:val="004E72C0"/>
    <w:pPr>
      <w:keepNext/>
      <w:keepLines/>
      <w:suppressAutoHyphens/>
      <w:spacing w:line="300" w:lineRule="exact"/>
      <w:outlineLvl w:val="0"/>
    </w:pPr>
    <w:rPr>
      <w:rFonts w:eastAsia="Times New Roman"/>
      <w:b/>
      <w:bCs/>
      <w:spacing w:val="-2"/>
      <w:w w:val="103"/>
      <w:kern w:val="14"/>
      <w:sz w:val="28"/>
      <w:szCs w:val="28"/>
      <w:lang w:val="en-GB" w:eastAsia="en-US"/>
    </w:rPr>
  </w:style>
  <w:style w:type="paragraph" w:customStyle="1" w:styleId="H56">
    <w:name w:val="_ H_5/6"/>
    <w:basedOn w:val="Normal"/>
    <w:next w:val="Normal"/>
    <w:rsid w:val="004E72C0"/>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erChar1">
    <w:name w:val="Header Char1"/>
    <w:locked/>
    <w:rsid w:val="004E72C0"/>
    <w:rPr>
      <w:rFonts w:cs="Times New Roman"/>
      <w:noProof/>
      <w:sz w:val="17"/>
      <w:szCs w:val="17"/>
      <w:lang w:val="en-US" w:eastAsia="en-US" w:bidi="ar-SA"/>
    </w:rPr>
  </w:style>
  <w:style w:type="paragraph" w:customStyle="1" w:styleId="XLarge">
    <w:name w:val="XLarge"/>
    <w:basedOn w:val="HM"/>
    <w:rsid w:val="004E72C0"/>
    <w:pPr>
      <w:tabs>
        <w:tab w:val="right" w:leader="dot" w:pos="360"/>
      </w:tabs>
      <w:spacing w:line="390" w:lineRule="exact"/>
    </w:pPr>
    <w:rPr>
      <w:rFonts w:eastAsia="Times New Roman"/>
      <w:spacing w:val="-4"/>
      <w:w w:val="98"/>
      <w:sz w:val="40"/>
      <w:szCs w:val="40"/>
    </w:rPr>
  </w:style>
  <w:style w:type="table" w:styleId="TableGrid">
    <w:name w:val="Table Grid"/>
    <w:basedOn w:val="TableNormal"/>
    <w:uiPriority w:val="59"/>
    <w:rsid w:val="004771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14AB"/>
    <w:rPr>
      <w:b/>
      <w:bCs/>
    </w:rPr>
  </w:style>
  <w:style w:type="character" w:customStyle="1" w:styleId="CommentSubjectChar">
    <w:name w:val="Comment Subject Char"/>
    <w:link w:val="CommentSubject"/>
    <w:uiPriority w:val="99"/>
    <w:semiHidden/>
    <w:rsid w:val="00AA14AB"/>
    <w:rPr>
      <w:rFonts w:ascii="Times New Roman" w:eastAsia="MS Mincho" w:hAnsi="Times New Roman"/>
      <w:b/>
      <w:bCs/>
    </w:rPr>
  </w:style>
  <w:style w:type="paragraph" w:styleId="PlainText">
    <w:name w:val="Plain Text"/>
    <w:basedOn w:val="Normal"/>
    <w:link w:val="PlainTextChar"/>
    <w:uiPriority w:val="99"/>
    <w:unhideWhenUsed/>
    <w:rsid w:val="004D0096"/>
    <w:pPr>
      <w:autoSpaceDE w:val="0"/>
      <w:autoSpaceDN w:val="0"/>
      <w:adjustRightInd w:val="0"/>
    </w:pPr>
    <w:rPr>
      <w:rFonts w:ascii="Consolas" w:eastAsia="Calibri" w:hAnsi="Consolas"/>
      <w:sz w:val="21"/>
      <w:szCs w:val="21"/>
      <w:lang w:val="en-GB" w:eastAsia="x-none"/>
    </w:rPr>
  </w:style>
  <w:style w:type="character" w:customStyle="1" w:styleId="PlainTextChar">
    <w:name w:val="Plain Text Char"/>
    <w:link w:val="PlainText"/>
    <w:uiPriority w:val="99"/>
    <w:rsid w:val="004D0096"/>
    <w:rPr>
      <w:rFonts w:ascii="Consolas" w:hAnsi="Consolas"/>
      <w:sz w:val="21"/>
      <w:szCs w:val="21"/>
      <w:lang w:val="en-GB"/>
    </w:rPr>
  </w:style>
  <w:style w:type="character" w:customStyle="1" w:styleId="LightGrid-Accent3Char">
    <w:name w:val="Light Grid - Accent 3 Char"/>
    <w:aliases w:val="List Paragraph (numbered (a)) Char,Medium Grid 1 - Accent 2 Char1"/>
    <w:link w:val="LightGrid-Accent31"/>
    <w:uiPriority w:val="34"/>
    <w:qFormat/>
    <w:rsid w:val="004D0096"/>
    <w:rPr>
      <w:rFonts w:cs="Calibri"/>
      <w:sz w:val="22"/>
      <w:szCs w:val="22"/>
    </w:rPr>
  </w:style>
  <w:style w:type="paragraph" w:customStyle="1" w:styleId="ADRText">
    <w:name w:val="ADR_Text"/>
    <w:basedOn w:val="Normal"/>
    <w:qFormat/>
    <w:rsid w:val="004D0096"/>
    <w:pPr>
      <w:autoSpaceDE w:val="0"/>
      <w:autoSpaceDN w:val="0"/>
      <w:adjustRightInd w:val="0"/>
      <w:ind w:left="-360"/>
    </w:pPr>
    <w:rPr>
      <w:rFonts w:ascii="Calibri" w:eastAsia="Times New Roman" w:hAnsi="Calibri"/>
      <w:szCs w:val="20"/>
      <w:lang w:val="en-GB" w:eastAsia="en-US"/>
    </w:rPr>
  </w:style>
  <w:style w:type="paragraph" w:customStyle="1" w:styleId="LightList-Accent31">
    <w:name w:val="Light List - Accent 31"/>
    <w:hidden/>
    <w:uiPriority w:val="99"/>
    <w:semiHidden/>
    <w:rsid w:val="0032608D"/>
    <w:rPr>
      <w:rFonts w:ascii="Times New Roman" w:eastAsia="MS Mincho" w:hAnsi="Times New Roman"/>
      <w:sz w:val="24"/>
      <w:szCs w:val="24"/>
      <w:lang w:eastAsia="ja-JP"/>
    </w:rPr>
  </w:style>
  <w:style w:type="character" w:customStyle="1" w:styleId="Heading6Char">
    <w:name w:val="Heading 6 Char"/>
    <w:link w:val="Heading6"/>
    <w:uiPriority w:val="9"/>
    <w:semiHidden/>
    <w:rsid w:val="004D14D8"/>
    <w:rPr>
      <w:rFonts w:ascii="Calibri" w:eastAsia="Times New Roman" w:hAnsi="Calibri" w:cs="Times New Roman"/>
      <w:b/>
      <w:bCs/>
      <w:sz w:val="22"/>
      <w:szCs w:val="22"/>
      <w:lang w:eastAsia="ja-JP"/>
    </w:rPr>
  </w:style>
  <w:style w:type="character" w:customStyle="1" w:styleId="MediumGrid1-Accent2Char">
    <w:name w:val="Medium Grid 1 - Accent 2 Char"/>
    <w:link w:val="MediumGrid1-Accent21"/>
    <w:uiPriority w:val="34"/>
    <w:locked/>
    <w:rsid w:val="00370482"/>
    <w:rPr>
      <w:rFonts w:cs="Calibri"/>
      <w:lang w:val="en-US"/>
    </w:rPr>
  </w:style>
  <w:style w:type="paragraph" w:customStyle="1" w:styleId="MediumGrid1-Accent21">
    <w:name w:val="Medium Grid 1 - Accent 21"/>
    <w:basedOn w:val="Normal"/>
    <w:link w:val="MediumGrid1-Accent2Char"/>
    <w:uiPriority w:val="34"/>
    <w:qFormat/>
    <w:rsid w:val="00370482"/>
    <w:pPr>
      <w:ind w:left="720"/>
    </w:pPr>
    <w:rPr>
      <w:rFonts w:ascii="Calibri" w:eastAsia="Calibri" w:hAnsi="Calibri"/>
      <w:sz w:val="20"/>
      <w:szCs w:val="20"/>
      <w:lang w:eastAsia="x-none"/>
    </w:rPr>
  </w:style>
  <w:style w:type="paragraph" w:styleId="Caption">
    <w:name w:val="caption"/>
    <w:basedOn w:val="Normal"/>
    <w:next w:val="Normal"/>
    <w:uiPriority w:val="35"/>
    <w:qFormat/>
    <w:rsid w:val="00C22A3C"/>
    <w:pPr>
      <w:spacing w:after="200"/>
    </w:pPr>
    <w:rPr>
      <w:b/>
      <w:bCs/>
      <w:color w:val="4F81BD"/>
      <w:sz w:val="18"/>
      <w:szCs w:val="18"/>
    </w:rPr>
  </w:style>
  <w:style w:type="paragraph" w:customStyle="1" w:styleId="numberednormal">
    <w:name w:val="numbered normal"/>
    <w:basedOn w:val="Normal"/>
    <w:link w:val="numberednormalChar"/>
    <w:qFormat/>
    <w:rsid w:val="00606974"/>
    <w:pPr>
      <w:tabs>
        <w:tab w:val="left" w:pos="540"/>
      </w:tabs>
      <w:spacing w:before="120" w:after="120"/>
      <w:jc w:val="both"/>
    </w:pPr>
    <w:rPr>
      <w:szCs w:val="20"/>
      <w:lang w:val="x-none"/>
    </w:rPr>
  </w:style>
  <w:style w:type="paragraph" w:customStyle="1" w:styleId="Normalsubnumbered">
    <w:name w:val="Normal sub numbered"/>
    <w:basedOn w:val="NormalsubHeader2"/>
    <w:qFormat/>
    <w:rsid w:val="00D74320"/>
    <w:pPr>
      <w:tabs>
        <w:tab w:val="left" w:pos="180"/>
      </w:tabs>
      <w:ind w:left="180"/>
    </w:pPr>
    <w:rPr>
      <w:sz w:val="22"/>
    </w:rPr>
  </w:style>
  <w:style w:type="character" w:customStyle="1" w:styleId="numberednormalChar">
    <w:name w:val="numbered normal Char"/>
    <w:link w:val="numberednormal"/>
    <w:rsid w:val="00606974"/>
    <w:rPr>
      <w:rFonts w:ascii="Times New Roman" w:eastAsia="MS Mincho" w:hAnsi="Times New Roman"/>
      <w:sz w:val="22"/>
      <w:lang w:val="x-none" w:eastAsia="ja-JP"/>
    </w:rPr>
  </w:style>
  <w:style w:type="paragraph" w:customStyle="1" w:styleId="nornalbullet">
    <w:name w:val="nornal bullet"/>
    <w:basedOn w:val="Normal"/>
    <w:link w:val="nornalbulletChar"/>
    <w:qFormat/>
    <w:rsid w:val="001636B4"/>
    <w:pPr>
      <w:numPr>
        <w:numId w:val="2"/>
      </w:numPr>
      <w:suppressAutoHyphens/>
      <w:ind w:right="446"/>
      <w:jc w:val="both"/>
    </w:pPr>
    <w:rPr>
      <w:szCs w:val="22"/>
    </w:rPr>
  </w:style>
  <w:style w:type="paragraph" w:customStyle="1" w:styleId="normalHeader">
    <w:name w:val="normal Header"/>
    <w:basedOn w:val="Normal"/>
    <w:link w:val="normalHeaderChar"/>
    <w:qFormat/>
    <w:rsid w:val="00CF6D3A"/>
    <w:pPr>
      <w:numPr>
        <w:numId w:val="3"/>
      </w:numPr>
      <w:spacing w:before="100" w:beforeAutospacing="1" w:after="120"/>
      <w:ind w:right="364" w:hanging="180"/>
    </w:pPr>
    <w:rPr>
      <w:b/>
      <w:w w:val="103"/>
      <w:kern w:val="14"/>
      <w:sz w:val="24"/>
      <w:szCs w:val="28"/>
      <w:lang w:val="x-none"/>
    </w:rPr>
  </w:style>
  <w:style w:type="character" w:customStyle="1" w:styleId="nornalbulletChar">
    <w:name w:val="nornal bullet Char"/>
    <w:link w:val="nornalbullet"/>
    <w:rsid w:val="001636B4"/>
    <w:rPr>
      <w:rFonts w:ascii="Times New Roman" w:eastAsia="MS Mincho" w:hAnsi="Times New Roman"/>
      <w:sz w:val="22"/>
      <w:szCs w:val="22"/>
      <w:lang w:eastAsia="ja-JP"/>
    </w:rPr>
  </w:style>
  <w:style w:type="paragraph" w:customStyle="1" w:styleId="Normalsubheader">
    <w:name w:val="Normal sub header"/>
    <w:basedOn w:val="Normal"/>
    <w:link w:val="NormalsubheaderChar"/>
    <w:qFormat/>
    <w:rsid w:val="00CF6D3A"/>
    <w:pPr>
      <w:suppressAutoHyphens/>
      <w:spacing w:before="120" w:after="120"/>
      <w:ind w:left="180" w:right="446"/>
      <w:jc w:val="both"/>
    </w:pPr>
    <w:rPr>
      <w:b/>
      <w:i/>
      <w:szCs w:val="20"/>
    </w:rPr>
  </w:style>
  <w:style w:type="character" w:customStyle="1" w:styleId="normalHeaderChar">
    <w:name w:val="normal Header Char"/>
    <w:link w:val="normalHeader"/>
    <w:rsid w:val="00CF6D3A"/>
    <w:rPr>
      <w:rFonts w:ascii="Times New Roman" w:eastAsia="MS Mincho" w:hAnsi="Times New Roman"/>
      <w:b/>
      <w:w w:val="103"/>
      <w:kern w:val="14"/>
      <w:sz w:val="24"/>
      <w:szCs w:val="28"/>
      <w:lang w:val="x-none" w:eastAsia="ja-JP"/>
    </w:rPr>
  </w:style>
  <w:style w:type="paragraph" w:customStyle="1" w:styleId="NormalsubHeader2">
    <w:name w:val="Normal sub Header 2"/>
    <w:basedOn w:val="Normal"/>
    <w:link w:val="NormalsubHeader2Char"/>
    <w:rsid w:val="0046642C"/>
    <w:pPr>
      <w:spacing w:after="120"/>
      <w:ind w:left="360"/>
    </w:pPr>
    <w:rPr>
      <w:b/>
      <w:i/>
      <w:sz w:val="20"/>
      <w:szCs w:val="20"/>
      <w:lang w:val="x-none"/>
    </w:rPr>
  </w:style>
  <w:style w:type="character" w:customStyle="1" w:styleId="NormalsubheaderChar">
    <w:name w:val="Normal sub header Char"/>
    <w:link w:val="Normalsubheader"/>
    <w:rsid w:val="00CF6D3A"/>
    <w:rPr>
      <w:rFonts w:ascii="Times New Roman" w:eastAsia="MS Mincho" w:hAnsi="Times New Roman"/>
      <w:b/>
      <w:i/>
      <w:sz w:val="22"/>
      <w:lang w:val="en-US" w:eastAsia="ja-JP"/>
    </w:rPr>
  </w:style>
  <w:style w:type="paragraph" w:customStyle="1" w:styleId="normalsubnumber">
    <w:name w:val="normal subnumber"/>
    <w:basedOn w:val="nornalbullet"/>
    <w:link w:val="normalsubnumberChar"/>
    <w:qFormat/>
    <w:rsid w:val="0046642C"/>
    <w:pPr>
      <w:numPr>
        <w:numId w:val="4"/>
      </w:numPr>
    </w:pPr>
  </w:style>
  <w:style w:type="character" w:customStyle="1" w:styleId="NormalsubHeader2Char">
    <w:name w:val="Normal sub Header 2 Char"/>
    <w:link w:val="NormalsubHeader2"/>
    <w:rsid w:val="0046642C"/>
    <w:rPr>
      <w:rFonts w:ascii="Times New Roman" w:eastAsia="MS Mincho" w:hAnsi="Times New Roman"/>
      <w:b/>
      <w:i/>
      <w:lang w:eastAsia="ja-JP"/>
    </w:rPr>
  </w:style>
  <w:style w:type="paragraph" w:customStyle="1" w:styleId="normalheader2">
    <w:name w:val="normal header 2"/>
    <w:basedOn w:val="normalHeader"/>
    <w:link w:val="normalheader2Char"/>
    <w:qFormat/>
    <w:rsid w:val="00F10A8F"/>
    <w:pPr>
      <w:numPr>
        <w:numId w:val="0"/>
      </w:numPr>
      <w:ind w:left="360" w:hanging="180"/>
    </w:pPr>
    <w:rPr>
      <w:sz w:val="22"/>
      <w:szCs w:val="22"/>
    </w:rPr>
  </w:style>
  <w:style w:type="character" w:customStyle="1" w:styleId="normalsubnumberChar">
    <w:name w:val="normal subnumber Char"/>
    <w:link w:val="normalsubnumber"/>
    <w:rsid w:val="0046642C"/>
    <w:rPr>
      <w:rFonts w:ascii="Times New Roman" w:eastAsia="MS Mincho" w:hAnsi="Times New Roman"/>
      <w:sz w:val="22"/>
      <w:szCs w:val="22"/>
      <w:lang w:eastAsia="ja-JP"/>
    </w:rPr>
  </w:style>
  <w:style w:type="character" w:styleId="FollowedHyperlink">
    <w:name w:val="FollowedHyperlink"/>
    <w:uiPriority w:val="99"/>
    <w:semiHidden/>
    <w:unhideWhenUsed/>
    <w:rsid w:val="00A40AC2"/>
    <w:rPr>
      <w:color w:val="800080"/>
      <w:u w:val="single"/>
    </w:rPr>
  </w:style>
  <w:style w:type="character" w:customStyle="1" w:styleId="normalheader2Char">
    <w:name w:val="normal header 2 Char"/>
    <w:link w:val="normalheader2"/>
    <w:rsid w:val="00F10A8F"/>
    <w:rPr>
      <w:rFonts w:ascii="Times New Roman" w:eastAsia="MS Mincho" w:hAnsi="Times New Roman"/>
      <w:b/>
      <w:w w:val="103"/>
      <w:kern w:val="14"/>
      <w:sz w:val="22"/>
      <w:szCs w:val="22"/>
      <w:lang w:eastAsia="ja-JP"/>
    </w:rPr>
  </w:style>
  <w:style w:type="character" w:customStyle="1" w:styleId="Heading1Char">
    <w:name w:val="Heading 1 Char"/>
    <w:link w:val="Heading1"/>
    <w:uiPriority w:val="9"/>
    <w:rsid w:val="00C948AE"/>
    <w:rPr>
      <w:rFonts w:ascii="Cambria" w:eastAsia="MS Gothic" w:hAnsi="Cambria" w:cs="Times New Roman"/>
      <w:b/>
      <w:bCs/>
      <w:color w:val="365F91"/>
      <w:sz w:val="28"/>
      <w:szCs w:val="28"/>
      <w:lang w:val="en-US" w:eastAsia="ja-JP"/>
    </w:rPr>
  </w:style>
  <w:style w:type="table" w:customStyle="1" w:styleId="TableGrid1">
    <w:name w:val="Table Grid1"/>
    <w:basedOn w:val="TableNormal"/>
    <w:next w:val="TableGrid"/>
    <w:uiPriority w:val="59"/>
    <w:rsid w:val="00C948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AC7431"/>
    <w:rPr>
      <w:rFonts w:ascii="Cambria" w:eastAsia="MS Gothic" w:hAnsi="Cambria" w:cs="Times New Roman"/>
      <w:b/>
      <w:bCs/>
      <w:color w:val="4F81BD"/>
      <w:sz w:val="26"/>
      <w:szCs w:val="26"/>
      <w:lang w:val="en-US" w:eastAsia="ja-JP"/>
    </w:rPr>
  </w:style>
  <w:style w:type="paragraph" w:customStyle="1" w:styleId="MediumGrid2-Accent11">
    <w:name w:val="Medium Grid 2 - Accent 11"/>
    <w:uiPriority w:val="1"/>
    <w:qFormat/>
    <w:rsid w:val="00AC7431"/>
    <w:rPr>
      <w:sz w:val="22"/>
      <w:szCs w:val="22"/>
    </w:rPr>
  </w:style>
  <w:style w:type="table" w:customStyle="1" w:styleId="LightShading1">
    <w:name w:val="Light Shading1"/>
    <w:basedOn w:val="TableNormal"/>
    <w:uiPriority w:val="60"/>
    <w:rsid w:val="003F27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uiPriority w:val="9"/>
    <w:semiHidden/>
    <w:rsid w:val="00F66EAD"/>
    <w:rPr>
      <w:rFonts w:ascii="Cambria" w:eastAsia="MS Gothic" w:hAnsi="Cambria" w:cs="Times New Roman"/>
      <w:b/>
      <w:bCs/>
      <w:color w:val="4F81BD"/>
      <w:sz w:val="22"/>
      <w:szCs w:val="24"/>
      <w:lang w:val="en-US" w:eastAsia="ja-JP"/>
    </w:rPr>
  </w:style>
  <w:style w:type="paragraph" w:styleId="TOC1">
    <w:name w:val="toc 1"/>
    <w:basedOn w:val="Normal"/>
    <w:next w:val="Normal"/>
    <w:autoRedefine/>
    <w:uiPriority w:val="39"/>
    <w:unhideWhenUsed/>
    <w:rsid w:val="00163207"/>
    <w:pPr>
      <w:tabs>
        <w:tab w:val="left" w:pos="450"/>
        <w:tab w:val="right" w:leader="dot" w:pos="9800"/>
      </w:tabs>
      <w:spacing w:after="100"/>
    </w:pPr>
  </w:style>
  <w:style w:type="paragraph" w:styleId="TOC3">
    <w:name w:val="toc 3"/>
    <w:basedOn w:val="Normal"/>
    <w:next w:val="Normal"/>
    <w:autoRedefine/>
    <w:uiPriority w:val="39"/>
    <w:unhideWhenUsed/>
    <w:rsid w:val="00F66EAD"/>
    <w:pPr>
      <w:spacing w:after="100"/>
      <w:ind w:left="440"/>
    </w:pPr>
  </w:style>
  <w:style w:type="paragraph" w:styleId="TOC2">
    <w:name w:val="toc 2"/>
    <w:basedOn w:val="Normal"/>
    <w:next w:val="Normal"/>
    <w:autoRedefine/>
    <w:uiPriority w:val="39"/>
    <w:unhideWhenUsed/>
    <w:rsid w:val="00F66EAD"/>
    <w:pPr>
      <w:spacing w:after="100"/>
      <w:ind w:left="220"/>
    </w:pPr>
  </w:style>
  <w:style w:type="paragraph" w:customStyle="1" w:styleId="GridTable7Colorful-Accent21">
    <w:name w:val="Grid Table 7 Colorful - Accent 21"/>
    <w:basedOn w:val="Heading1"/>
    <w:next w:val="Normal"/>
    <w:uiPriority w:val="39"/>
    <w:semiHidden/>
    <w:unhideWhenUsed/>
    <w:qFormat/>
    <w:rsid w:val="0028686A"/>
    <w:pPr>
      <w:spacing w:line="276" w:lineRule="auto"/>
      <w:outlineLvl w:val="9"/>
    </w:pPr>
  </w:style>
  <w:style w:type="table" w:customStyle="1" w:styleId="LightList10">
    <w:name w:val="Light List10"/>
    <w:basedOn w:val="TableNormal"/>
    <w:next w:val="LightList1"/>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R1index">
    <w:name w:val="AR_1_index"/>
    <w:basedOn w:val="TOC1"/>
    <w:link w:val="AR1indexChar"/>
    <w:qFormat/>
    <w:rsid w:val="00E431D2"/>
    <w:pPr>
      <w:tabs>
        <w:tab w:val="clear" w:pos="450"/>
        <w:tab w:val="clear" w:pos="9800"/>
        <w:tab w:val="left" w:pos="1871"/>
        <w:tab w:val="left" w:pos="2340"/>
        <w:tab w:val="right" w:leader="dot" w:pos="8640"/>
        <w:tab w:val="right" w:leader="dot" w:pos="9840"/>
      </w:tabs>
      <w:spacing w:after="120"/>
      <w:ind w:left="1843" w:right="1247" w:hanging="596"/>
    </w:pPr>
    <w:rPr>
      <w:rFonts w:eastAsia="Times New Roman"/>
      <w:sz w:val="24"/>
      <w:lang w:val="x-none" w:eastAsia="x-none"/>
    </w:rPr>
  </w:style>
  <w:style w:type="character" w:customStyle="1" w:styleId="AR1indexChar">
    <w:name w:val="AR_1_index Char"/>
    <w:link w:val="AR1index"/>
    <w:rsid w:val="00E431D2"/>
    <w:rPr>
      <w:rFonts w:ascii="Times New Roman" w:eastAsia="Times New Roman" w:hAnsi="Times New Roman"/>
      <w:sz w:val="24"/>
      <w:szCs w:val="24"/>
      <w:lang w:eastAsia="x-none"/>
    </w:rPr>
  </w:style>
  <w:style w:type="paragraph" w:customStyle="1" w:styleId="HChChar">
    <w:name w:val="_ H _Ch Char"/>
    <w:basedOn w:val="Normal"/>
    <w:next w:val="Normal"/>
    <w:rsid w:val="00EC754F"/>
    <w:pPr>
      <w:keepNext/>
      <w:keepLines/>
      <w:suppressAutoHyphens/>
      <w:spacing w:line="300" w:lineRule="exact"/>
      <w:outlineLvl w:val="0"/>
    </w:pPr>
    <w:rPr>
      <w:rFonts w:eastAsia="Times New Roman"/>
      <w:b/>
      <w:spacing w:val="-2"/>
      <w:w w:val="103"/>
      <w:kern w:val="14"/>
      <w:sz w:val="28"/>
      <w:szCs w:val="20"/>
      <w:lang w:val="en-GB" w:eastAsia="en-US"/>
    </w:rPr>
  </w:style>
  <w:style w:type="character" w:customStyle="1" w:styleId="H1Char">
    <w:name w:val="_ H_1 Char"/>
    <w:rsid w:val="006B6A2F"/>
    <w:rPr>
      <w:b/>
      <w:spacing w:val="4"/>
      <w:w w:val="103"/>
      <w:kern w:val="14"/>
      <w:sz w:val="24"/>
      <w:lang w:val="en-GB" w:eastAsia="en-US" w:bidi="ar-SA"/>
    </w:rPr>
  </w:style>
  <w:style w:type="paragraph" w:customStyle="1" w:styleId="SingleTxt">
    <w:name w:val="__Single Txt"/>
    <w:basedOn w:val="Normal"/>
    <w:rsid w:val="004339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customStyle="1" w:styleId="DualTxt">
    <w:name w:val="__Dual Txt"/>
    <w:basedOn w:val="Normal"/>
    <w:rsid w:val="00E95FE2"/>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b/>
      <w:bCs/>
      <w:spacing w:val="4"/>
      <w:kern w:val="14"/>
      <w:sz w:val="24"/>
      <w:lang w:val="en-GB" w:eastAsia="en-US"/>
    </w:rPr>
  </w:style>
  <w:style w:type="paragraph" w:customStyle="1" w:styleId="level2">
    <w:name w:val="_level2"/>
    <w:rsid w:val="00C06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styleId="Strong">
    <w:name w:val="Strong"/>
    <w:uiPriority w:val="22"/>
    <w:qFormat/>
    <w:rsid w:val="005D193A"/>
    <w:rPr>
      <w:b/>
      <w:bCs/>
    </w:rPr>
  </w:style>
  <w:style w:type="paragraph" w:customStyle="1" w:styleId="DualTxtCharChar1CharChar">
    <w:name w:val="__Dual Txt Char Char1 Char Char"/>
    <w:basedOn w:val="Normal"/>
    <w:rsid w:val="008842F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sz w:val="20"/>
      <w:szCs w:val="20"/>
      <w:lang w:val="en-GB" w:eastAsia="en-US"/>
    </w:rPr>
  </w:style>
  <w:style w:type="paragraph" w:customStyle="1" w:styleId="H1">
    <w:name w:val="_ H_1"/>
    <w:basedOn w:val="Normal"/>
    <w:next w:val="SingleTxt"/>
    <w:rsid w:val="00744A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szCs w:val="20"/>
      <w:lang w:val="en-GB" w:eastAsia="en-US"/>
    </w:rPr>
  </w:style>
  <w:style w:type="paragraph" w:customStyle="1" w:styleId="MediumGrid1-Accent22">
    <w:name w:val="Medium Grid 1 - Accent 22"/>
    <w:aliases w:val="Bullets,List Paragraph1,Medium List 2 - Accent 41,Lapis Bulleted List,Dot pt,F5 List Paragraph,No Spacing1,List Paragraph Char Char Char,Indicator Text,Numbered Para 1,Bullet 1,List Paragraph12,Bullet Points"/>
    <w:basedOn w:val="Normal"/>
    <w:uiPriority w:val="34"/>
    <w:qFormat/>
    <w:rsid w:val="003D1971"/>
    <w:pPr>
      <w:ind w:left="720"/>
      <w:contextualSpacing/>
    </w:pPr>
    <w:rPr>
      <w:rFonts w:ascii="Calibri" w:eastAsia="Calibri" w:hAnsi="Calibri"/>
      <w:sz w:val="24"/>
      <w:lang w:eastAsia="en-US"/>
    </w:rPr>
  </w:style>
  <w:style w:type="paragraph" w:customStyle="1" w:styleId="Default">
    <w:name w:val="Default"/>
    <w:rsid w:val="000C2C9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A6A11"/>
    <w:pPr>
      <w:ind w:left="720"/>
      <w:contextualSpacing/>
    </w:pPr>
    <w:rPr>
      <w:rFonts w:eastAsiaTheme="minorHAnsi"/>
      <w:sz w:val="24"/>
      <w:lang w:eastAsia="en-US"/>
    </w:rPr>
  </w:style>
  <w:style w:type="paragraph" w:customStyle="1" w:styleId="p1">
    <w:name w:val="p1"/>
    <w:basedOn w:val="Normal"/>
    <w:rsid w:val="00F81A18"/>
    <w:rPr>
      <w:rFonts w:eastAsiaTheme="minorHAnsi"/>
      <w:sz w:val="15"/>
      <w:szCs w:val="15"/>
      <w:lang w:eastAsia="en-US"/>
    </w:rPr>
  </w:style>
  <w:style w:type="character" w:customStyle="1" w:styleId="apple-converted-space">
    <w:name w:val="apple-converted-space"/>
    <w:basedOn w:val="DefaultParagraphFont"/>
    <w:rsid w:val="00F81A18"/>
  </w:style>
  <w:style w:type="table" w:customStyle="1" w:styleId="LightList100">
    <w:name w:val="Light List100"/>
    <w:basedOn w:val="TableNormal"/>
    <w:next w:val="LightList1"/>
    <w:uiPriority w:val="61"/>
    <w:rsid w:val="00592D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
    <w:name w:val="Light List1000"/>
    <w:basedOn w:val="TableNormal"/>
    <w:next w:val="LightList1"/>
    <w:uiPriority w:val="61"/>
    <w:rsid w:val="00986B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
    <w:name w:val="Light List1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
    <w:name w:val="Light List10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
    <w:name w:val="Light List1000000"/>
    <w:basedOn w:val="TableNormal"/>
    <w:next w:val="LightList10"/>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
    <w:name w:val="Light List10000000"/>
    <w:basedOn w:val="TableNormal"/>
    <w:next w:val="LightList100"/>
    <w:uiPriority w:val="61"/>
    <w:rsid w:val="006B19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
    <w:name w:val="Light List100000000"/>
    <w:basedOn w:val="TableNormal"/>
    <w:next w:val="LightList1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
    <w:name w:val="Light List1000000000"/>
    <w:basedOn w:val="TableNormal"/>
    <w:next w:val="LightList10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
    <w:name w:val="Light List10000000000"/>
    <w:basedOn w:val="TableNormal"/>
    <w:next w:val="LightList1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
    <w:name w:val="Light List100000000000"/>
    <w:basedOn w:val="TableNormal"/>
    <w:next w:val="LightList1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
    <w:name w:val="Light List1000000000000"/>
    <w:basedOn w:val="TableNormal"/>
    <w:next w:val="LightList1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
    <w:name w:val="Light List10000000000000"/>
    <w:basedOn w:val="TableNormal"/>
    <w:next w:val="LightList1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0">
    <w:name w:val="Light List100000000000000"/>
    <w:basedOn w:val="TableNormal"/>
    <w:next w:val="LightList10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unhideWhenUsed/>
    <w:rsid w:val="00B95A86"/>
    <w:rPr>
      <w:rFonts w:ascii="Times New Roman" w:eastAsia="MS Mincho" w:hAnsi="Times New Roman"/>
      <w:sz w:val="22"/>
      <w:szCs w:val="24"/>
      <w:lang w:eastAsia="ja-JP"/>
    </w:rPr>
  </w:style>
  <w:style w:type="paragraph" w:customStyle="1" w:styleId="singletxt0">
    <w:name w:val="singletxt"/>
    <w:basedOn w:val="Normal"/>
    <w:rsid w:val="00B21181"/>
    <w:pPr>
      <w:spacing w:before="100" w:beforeAutospacing="1" w:after="100" w:afterAutospacing="1"/>
    </w:pPr>
    <w:rPr>
      <w:rFonts w:eastAsiaTheme="minorEastAsia"/>
      <w:sz w:val="24"/>
      <w:lang w:eastAsia="en-US"/>
    </w:rPr>
  </w:style>
  <w:style w:type="character" w:styleId="PageNumber">
    <w:name w:val="page number"/>
    <w:basedOn w:val="DefaultParagraphFont"/>
    <w:uiPriority w:val="99"/>
    <w:semiHidden/>
    <w:unhideWhenUsed/>
    <w:rsid w:val="0007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32192018">
      <w:bodyDiv w:val="1"/>
      <w:marLeft w:val="0"/>
      <w:marRight w:val="0"/>
      <w:marTop w:val="0"/>
      <w:marBottom w:val="0"/>
      <w:divBdr>
        <w:top w:val="none" w:sz="0" w:space="0" w:color="auto"/>
        <w:left w:val="none" w:sz="0" w:space="0" w:color="auto"/>
        <w:bottom w:val="none" w:sz="0" w:space="0" w:color="auto"/>
        <w:right w:val="none" w:sz="0" w:space="0" w:color="auto"/>
      </w:divBdr>
      <w:divsChild>
        <w:div w:id="800149809">
          <w:marLeft w:val="547"/>
          <w:marRight w:val="0"/>
          <w:marTop w:val="0"/>
          <w:marBottom w:val="0"/>
          <w:divBdr>
            <w:top w:val="none" w:sz="0" w:space="0" w:color="auto"/>
            <w:left w:val="none" w:sz="0" w:space="0" w:color="auto"/>
            <w:bottom w:val="none" w:sz="0" w:space="0" w:color="auto"/>
            <w:right w:val="none" w:sz="0" w:space="0" w:color="auto"/>
          </w:divBdr>
        </w:div>
        <w:div w:id="805467396">
          <w:marLeft w:val="547"/>
          <w:marRight w:val="0"/>
          <w:marTop w:val="0"/>
          <w:marBottom w:val="0"/>
          <w:divBdr>
            <w:top w:val="none" w:sz="0" w:space="0" w:color="auto"/>
            <w:left w:val="none" w:sz="0" w:space="0" w:color="auto"/>
            <w:bottom w:val="none" w:sz="0" w:space="0" w:color="auto"/>
            <w:right w:val="none" w:sz="0" w:space="0" w:color="auto"/>
          </w:divBdr>
        </w:div>
        <w:div w:id="1315337815">
          <w:marLeft w:val="547"/>
          <w:marRight w:val="0"/>
          <w:marTop w:val="0"/>
          <w:marBottom w:val="0"/>
          <w:divBdr>
            <w:top w:val="none" w:sz="0" w:space="0" w:color="auto"/>
            <w:left w:val="none" w:sz="0" w:space="0" w:color="auto"/>
            <w:bottom w:val="none" w:sz="0" w:space="0" w:color="auto"/>
            <w:right w:val="none" w:sz="0" w:space="0" w:color="auto"/>
          </w:divBdr>
        </w:div>
        <w:div w:id="1367562013">
          <w:marLeft w:val="547"/>
          <w:marRight w:val="0"/>
          <w:marTop w:val="0"/>
          <w:marBottom w:val="0"/>
          <w:divBdr>
            <w:top w:val="none" w:sz="0" w:space="0" w:color="auto"/>
            <w:left w:val="none" w:sz="0" w:space="0" w:color="auto"/>
            <w:bottom w:val="none" w:sz="0" w:space="0" w:color="auto"/>
            <w:right w:val="none" w:sz="0" w:space="0" w:color="auto"/>
          </w:divBdr>
        </w:div>
      </w:divsChild>
    </w:div>
    <w:div w:id="83233020">
      <w:bodyDiv w:val="1"/>
      <w:marLeft w:val="0"/>
      <w:marRight w:val="0"/>
      <w:marTop w:val="0"/>
      <w:marBottom w:val="0"/>
      <w:divBdr>
        <w:top w:val="none" w:sz="0" w:space="0" w:color="auto"/>
        <w:left w:val="none" w:sz="0" w:space="0" w:color="auto"/>
        <w:bottom w:val="none" w:sz="0" w:space="0" w:color="auto"/>
        <w:right w:val="none" w:sz="0" w:space="0" w:color="auto"/>
      </w:divBdr>
    </w:div>
    <w:div w:id="104229964">
      <w:bodyDiv w:val="1"/>
      <w:marLeft w:val="0"/>
      <w:marRight w:val="0"/>
      <w:marTop w:val="0"/>
      <w:marBottom w:val="0"/>
      <w:divBdr>
        <w:top w:val="none" w:sz="0" w:space="0" w:color="auto"/>
        <w:left w:val="none" w:sz="0" w:space="0" w:color="auto"/>
        <w:bottom w:val="none" w:sz="0" w:space="0" w:color="auto"/>
        <w:right w:val="none" w:sz="0" w:space="0" w:color="auto"/>
      </w:divBdr>
    </w:div>
    <w:div w:id="128600145">
      <w:bodyDiv w:val="1"/>
      <w:marLeft w:val="0"/>
      <w:marRight w:val="0"/>
      <w:marTop w:val="0"/>
      <w:marBottom w:val="0"/>
      <w:divBdr>
        <w:top w:val="none" w:sz="0" w:space="0" w:color="auto"/>
        <w:left w:val="none" w:sz="0" w:space="0" w:color="auto"/>
        <w:bottom w:val="none" w:sz="0" w:space="0" w:color="auto"/>
        <w:right w:val="none" w:sz="0" w:space="0" w:color="auto"/>
      </w:divBdr>
      <w:divsChild>
        <w:div w:id="1119032468">
          <w:marLeft w:val="547"/>
          <w:marRight w:val="0"/>
          <w:marTop w:val="0"/>
          <w:marBottom w:val="0"/>
          <w:divBdr>
            <w:top w:val="none" w:sz="0" w:space="0" w:color="auto"/>
            <w:left w:val="none" w:sz="0" w:space="0" w:color="auto"/>
            <w:bottom w:val="none" w:sz="0" w:space="0" w:color="auto"/>
            <w:right w:val="none" w:sz="0" w:space="0" w:color="auto"/>
          </w:divBdr>
        </w:div>
      </w:divsChild>
    </w:div>
    <w:div w:id="171845647">
      <w:bodyDiv w:val="1"/>
      <w:marLeft w:val="0"/>
      <w:marRight w:val="0"/>
      <w:marTop w:val="0"/>
      <w:marBottom w:val="0"/>
      <w:divBdr>
        <w:top w:val="none" w:sz="0" w:space="0" w:color="auto"/>
        <w:left w:val="none" w:sz="0" w:space="0" w:color="auto"/>
        <w:bottom w:val="none" w:sz="0" w:space="0" w:color="auto"/>
        <w:right w:val="none" w:sz="0" w:space="0" w:color="auto"/>
      </w:divBdr>
    </w:div>
    <w:div w:id="189298388">
      <w:bodyDiv w:val="1"/>
      <w:marLeft w:val="0"/>
      <w:marRight w:val="0"/>
      <w:marTop w:val="0"/>
      <w:marBottom w:val="0"/>
      <w:divBdr>
        <w:top w:val="none" w:sz="0" w:space="0" w:color="auto"/>
        <w:left w:val="none" w:sz="0" w:space="0" w:color="auto"/>
        <w:bottom w:val="none" w:sz="0" w:space="0" w:color="auto"/>
        <w:right w:val="none" w:sz="0" w:space="0" w:color="auto"/>
      </w:divBdr>
    </w:div>
    <w:div w:id="236332886">
      <w:bodyDiv w:val="1"/>
      <w:marLeft w:val="0"/>
      <w:marRight w:val="0"/>
      <w:marTop w:val="0"/>
      <w:marBottom w:val="0"/>
      <w:divBdr>
        <w:top w:val="none" w:sz="0" w:space="0" w:color="auto"/>
        <w:left w:val="none" w:sz="0" w:space="0" w:color="auto"/>
        <w:bottom w:val="none" w:sz="0" w:space="0" w:color="auto"/>
        <w:right w:val="none" w:sz="0" w:space="0" w:color="auto"/>
      </w:divBdr>
      <w:divsChild>
        <w:div w:id="602226145">
          <w:marLeft w:val="547"/>
          <w:marRight w:val="0"/>
          <w:marTop w:val="0"/>
          <w:marBottom w:val="0"/>
          <w:divBdr>
            <w:top w:val="none" w:sz="0" w:space="0" w:color="auto"/>
            <w:left w:val="none" w:sz="0" w:space="0" w:color="auto"/>
            <w:bottom w:val="none" w:sz="0" w:space="0" w:color="auto"/>
            <w:right w:val="none" w:sz="0" w:space="0" w:color="auto"/>
          </w:divBdr>
        </w:div>
      </w:divsChild>
    </w:div>
    <w:div w:id="246351303">
      <w:bodyDiv w:val="1"/>
      <w:marLeft w:val="0"/>
      <w:marRight w:val="0"/>
      <w:marTop w:val="0"/>
      <w:marBottom w:val="0"/>
      <w:divBdr>
        <w:top w:val="none" w:sz="0" w:space="0" w:color="auto"/>
        <w:left w:val="none" w:sz="0" w:space="0" w:color="auto"/>
        <w:bottom w:val="none" w:sz="0" w:space="0" w:color="auto"/>
        <w:right w:val="none" w:sz="0" w:space="0" w:color="auto"/>
      </w:divBdr>
    </w:div>
    <w:div w:id="279804687">
      <w:bodyDiv w:val="1"/>
      <w:marLeft w:val="0"/>
      <w:marRight w:val="0"/>
      <w:marTop w:val="0"/>
      <w:marBottom w:val="0"/>
      <w:divBdr>
        <w:top w:val="none" w:sz="0" w:space="0" w:color="auto"/>
        <w:left w:val="none" w:sz="0" w:space="0" w:color="auto"/>
        <w:bottom w:val="none" w:sz="0" w:space="0" w:color="auto"/>
        <w:right w:val="none" w:sz="0" w:space="0" w:color="auto"/>
      </w:divBdr>
    </w:div>
    <w:div w:id="304942051">
      <w:bodyDiv w:val="1"/>
      <w:marLeft w:val="0"/>
      <w:marRight w:val="0"/>
      <w:marTop w:val="0"/>
      <w:marBottom w:val="0"/>
      <w:divBdr>
        <w:top w:val="none" w:sz="0" w:space="0" w:color="auto"/>
        <w:left w:val="none" w:sz="0" w:space="0" w:color="auto"/>
        <w:bottom w:val="none" w:sz="0" w:space="0" w:color="auto"/>
        <w:right w:val="none" w:sz="0" w:space="0" w:color="auto"/>
      </w:divBdr>
    </w:div>
    <w:div w:id="315039051">
      <w:bodyDiv w:val="1"/>
      <w:marLeft w:val="0"/>
      <w:marRight w:val="0"/>
      <w:marTop w:val="0"/>
      <w:marBottom w:val="0"/>
      <w:divBdr>
        <w:top w:val="none" w:sz="0" w:space="0" w:color="auto"/>
        <w:left w:val="none" w:sz="0" w:space="0" w:color="auto"/>
        <w:bottom w:val="none" w:sz="0" w:space="0" w:color="auto"/>
        <w:right w:val="none" w:sz="0" w:space="0" w:color="auto"/>
      </w:divBdr>
    </w:div>
    <w:div w:id="338391786">
      <w:bodyDiv w:val="1"/>
      <w:marLeft w:val="0"/>
      <w:marRight w:val="0"/>
      <w:marTop w:val="0"/>
      <w:marBottom w:val="0"/>
      <w:divBdr>
        <w:top w:val="none" w:sz="0" w:space="0" w:color="auto"/>
        <w:left w:val="none" w:sz="0" w:space="0" w:color="auto"/>
        <w:bottom w:val="none" w:sz="0" w:space="0" w:color="auto"/>
        <w:right w:val="none" w:sz="0" w:space="0" w:color="auto"/>
      </w:divBdr>
    </w:div>
    <w:div w:id="351227624">
      <w:bodyDiv w:val="1"/>
      <w:marLeft w:val="0"/>
      <w:marRight w:val="0"/>
      <w:marTop w:val="0"/>
      <w:marBottom w:val="0"/>
      <w:divBdr>
        <w:top w:val="none" w:sz="0" w:space="0" w:color="auto"/>
        <w:left w:val="none" w:sz="0" w:space="0" w:color="auto"/>
        <w:bottom w:val="none" w:sz="0" w:space="0" w:color="auto"/>
        <w:right w:val="none" w:sz="0" w:space="0" w:color="auto"/>
      </w:divBdr>
      <w:divsChild>
        <w:div w:id="402070514">
          <w:marLeft w:val="547"/>
          <w:marRight w:val="0"/>
          <w:marTop w:val="0"/>
          <w:marBottom w:val="0"/>
          <w:divBdr>
            <w:top w:val="none" w:sz="0" w:space="0" w:color="auto"/>
            <w:left w:val="none" w:sz="0" w:space="0" w:color="auto"/>
            <w:bottom w:val="none" w:sz="0" w:space="0" w:color="auto"/>
            <w:right w:val="none" w:sz="0" w:space="0" w:color="auto"/>
          </w:divBdr>
        </w:div>
      </w:divsChild>
    </w:div>
    <w:div w:id="441072678">
      <w:bodyDiv w:val="1"/>
      <w:marLeft w:val="0"/>
      <w:marRight w:val="0"/>
      <w:marTop w:val="0"/>
      <w:marBottom w:val="0"/>
      <w:divBdr>
        <w:top w:val="none" w:sz="0" w:space="0" w:color="auto"/>
        <w:left w:val="none" w:sz="0" w:space="0" w:color="auto"/>
        <w:bottom w:val="none" w:sz="0" w:space="0" w:color="auto"/>
        <w:right w:val="none" w:sz="0" w:space="0" w:color="auto"/>
      </w:divBdr>
    </w:div>
    <w:div w:id="443690495">
      <w:bodyDiv w:val="1"/>
      <w:marLeft w:val="0"/>
      <w:marRight w:val="0"/>
      <w:marTop w:val="0"/>
      <w:marBottom w:val="0"/>
      <w:divBdr>
        <w:top w:val="none" w:sz="0" w:space="0" w:color="auto"/>
        <w:left w:val="none" w:sz="0" w:space="0" w:color="auto"/>
        <w:bottom w:val="none" w:sz="0" w:space="0" w:color="auto"/>
        <w:right w:val="none" w:sz="0" w:space="0" w:color="auto"/>
      </w:divBdr>
    </w:div>
    <w:div w:id="476343105">
      <w:bodyDiv w:val="1"/>
      <w:marLeft w:val="0"/>
      <w:marRight w:val="0"/>
      <w:marTop w:val="0"/>
      <w:marBottom w:val="0"/>
      <w:divBdr>
        <w:top w:val="none" w:sz="0" w:space="0" w:color="auto"/>
        <w:left w:val="none" w:sz="0" w:space="0" w:color="auto"/>
        <w:bottom w:val="none" w:sz="0" w:space="0" w:color="auto"/>
        <w:right w:val="none" w:sz="0" w:space="0" w:color="auto"/>
      </w:divBdr>
    </w:div>
    <w:div w:id="502159580">
      <w:bodyDiv w:val="1"/>
      <w:marLeft w:val="0"/>
      <w:marRight w:val="0"/>
      <w:marTop w:val="0"/>
      <w:marBottom w:val="0"/>
      <w:divBdr>
        <w:top w:val="none" w:sz="0" w:space="0" w:color="auto"/>
        <w:left w:val="none" w:sz="0" w:space="0" w:color="auto"/>
        <w:bottom w:val="none" w:sz="0" w:space="0" w:color="auto"/>
        <w:right w:val="none" w:sz="0" w:space="0" w:color="auto"/>
      </w:divBdr>
    </w:div>
    <w:div w:id="527372685">
      <w:bodyDiv w:val="1"/>
      <w:marLeft w:val="0"/>
      <w:marRight w:val="0"/>
      <w:marTop w:val="0"/>
      <w:marBottom w:val="0"/>
      <w:divBdr>
        <w:top w:val="none" w:sz="0" w:space="0" w:color="auto"/>
        <w:left w:val="none" w:sz="0" w:space="0" w:color="auto"/>
        <w:bottom w:val="none" w:sz="0" w:space="0" w:color="auto"/>
        <w:right w:val="none" w:sz="0" w:space="0" w:color="auto"/>
      </w:divBdr>
      <w:divsChild>
        <w:div w:id="1485852791">
          <w:marLeft w:val="446"/>
          <w:marRight w:val="0"/>
          <w:marTop w:val="0"/>
          <w:marBottom w:val="0"/>
          <w:divBdr>
            <w:top w:val="none" w:sz="0" w:space="0" w:color="auto"/>
            <w:left w:val="none" w:sz="0" w:space="0" w:color="auto"/>
            <w:bottom w:val="none" w:sz="0" w:space="0" w:color="auto"/>
            <w:right w:val="none" w:sz="0" w:space="0" w:color="auto"/>
          </w:divBdr>
        </w:div>
        <w:div w:id="1664235172">
          <w:marLeft w:val="446"/>
          <w:marRight w:val="0"/>
          <w:marTop w:val="0"/>
          <w:marBottom w:val="0"/>
          <w:divBdr>
            <w:top w:val="none" w:sz="0" w:space="0" w:color="auto"/>
            <w:left w:val="none" w:sz="0" w:space="0" w:color="auto"/>
            <w:bottom w:val="none" w:sz="0" w:space="0" w:color="auto"/>
            <w:right w:val="none" w:sz="0" w:space="0" w:color="auto"/>
          </w:divBdr>
        </w:div>
        <w:div w:id="191383600">
          <w:marLeft w:val="446"/>
          <w:marRight w:val="0"/>
          <w:marTop w:val="0"/>
          <w:marBottom w:val="0"/>
          <w:divBdr>
            <w:top w:val="none" w:sz="0" w:space="0" w:color="auto"/>
            <w:left w:val="none" w:sz="0" w:space="0" w:color="auto"/>
            <w:bottom w:val="none" w:sz="0" w:space="0" w:color="auto"/>
            <w:right w:val="none" w:sz="0" w:space="0" w:color="auto"/>
          </w:divBdr>
        </w:div>
        <w:div w:id="1417359977">
          <w:marLeft w:val="446"/>
          <w:marRight w:val="0"/>
          <w:marTop w:val="0"/>
          <w:marBottom w:val="0"/>
          <w:divBdr>
            <w:top w:val="none" w:sz="0" w:space="0" w:color="auto"/>
            <w:left w:val="none" w:sz="0" w:space="0" w:color="auto"/>
            <w:bottom w:val="none" w:sz="0" w:space="0" w:color="auto"/>
            <w:right w:val="none" w:sz="0" w:space="0" w:color="auto"/>
          </w:divBdr>
        </w:div>
        <w:div w:id="1152402363">
          <w:marLeft w:val="446"/>
          <w:marRight w:val="0"/>
          <w:marTop w:val="0"/>
          <w:marBottom w:val="0"/>
          <w:divBdr>
            <w:top w:val="none" w:sz="0" w:space="0" w:color="auto"/>
            <w:left w:val="none" w:sz="0" w:space="0" w:color="auto"/>
            <w:bottom w:val="none" w:sz="0" w:space="0" w:color="auto"/>
            <w:right w:val="none" w:sz="0" w:space="0" w:color="auto"/>
          </w:divBdr>
        </w:div>
        <w:div w:id="729350295">
          <w:marLeft w:val="446"/>
          <w:marRight w:val="0"/>
          <w:marTop w:val="0"/>
          <w:marBottom w:val="0"/>
          <w:divBdr>
            <w:top w:val="none" w:sz="0" w:space="0" w:color="auto"/>
            <w:left w:val="none" w:sz="0" w:space="0" w:color="auto"/>
            <w:bottom w:val="none" w:sz="0" w:space="0" w:color="auto"/>
            <w:right w:val="none" w:sz="0" w:space="0" w:color="auto"/>
          </w:divBdr>
        </w:div>
      </w:divsChild>
    </w:div>
    <w:div w:id="558439165">
      <w:bodyDiv w:val="1"/>
      <w:marLeft w:val="0"/>
      <w:marRight w:val="0"/>
      <w:marTop w:val="0"/>
      <w:marBottom w:val="0"/>
      <w:divBdr>
        <w:top w:val="none" w:sz="0" w:space="0" w:color="auto"/>
        <w:left w:val="none" w:sz="0" w:space="0" w:color="auto"/>
        <w:bottom w:val="none" w:sz="0" w:space="0" w:color="auto"/>
        <w:right w:val="none" w:sz="0" w:space="0" w:color="auto"/>
      </w:divBdr>
    </w:div>
    <w:div w:id="581990501">
      <w:bodyDiv w:val="1"/>
      <w:marLeft w:val="0"/>
      <w:marRight w:val="0"/>
      <w:marTop w:val="0"/>
      <w:marBottom w:val="0"/>
      <w:divBdr>
        <w:top w:val="none" w:sz="0" w:space="0" w:color="auto"/>
        <w:left w:val="none" w:sz="0" w:space="0" w:color="auto"/>
        <w:bottom w:val="none" w:sz="0" w:space="0" w:color="auto"/>
        <w:right w:val="none" w:sz="0" w:space="0" w:color="auto"/>
      </w:divBdr>
    </w:div>
    <w:div w:id="614796812">
      <w:bodyDiv w:val="1"/>
      <w:marLeft w:val="0"/>
      <w:marRight w:val="0"/>
      <w:marTop w:val="0"/>
      <w:marBottom w:val="0"/>
      <w:divBdr>
        <w:top w:val="none" w:sz="0" w:space="0" w:color="auto"/>
        <w:left w:val="none" w:sz="0" w:space="0" w:color="auto"/>
        <w:bottom w:val="none" w:sz="0" w:space="0" w:color="auto"/>
        <w:right w:val="none" w:sz="0" w:space="0" w:color="auto"/>
      </w:divBdr>
    </w:div>
    <w:div w:id="646587911">
      <w:bodyDiv w:val="1"/>
      <w:marLeft w:val="0"/>
      <w:marRight w:val="0"/>
      <w:marTop w:val="0"/>
      <w:marBottom w:val="0"/>
      <w:divBdr>
        <w:top w:val="none" w:sz="0" w:space="0" w:color="auto"/>
        <w:left w:val="none" w:sz="0" w:space="0" w:color="auto"/>
        <w:bottom w:val="none" w:sz="0" w:space="0" w:color="auto"/>
        <w:right w:val="none" w:sz="0" w:space="0" w:color="auto"/>
      </w:divBdr>
    </w:div>
    <w:div w:id="647827577">
      <w:bodyDiv w:val="1"/>
      <w:marLeft w:val="0"/>
      <w:marRight w:val="0"/>
      <w:marTop w:val="0"/>
      <w:marBottom w:val="0"/>
      <w:divBdr>
        <w:top w:val="none" w:sz="0" w:space="0" w:color="auto"/>
        <w:left w:val="none" w:sz="0" w:space="0" w:color="auto"/>
        <w:bottom w:val="none" w:sz="0" w:space="0" w:color="auto"/>
        <w:right w:val="none" w:sz="0" w:space="0" w:color="auto"/>
      </w:divBdr>
      <w:divsChild>
        <w:div w:id="892499962">
          <w:marLeft w:val="1267"/>
          <w:marRight w:val="0"/>
          <w:marTop w:val="0"/>
          <w:marBottom w:val="0"/>
          <w:divBdr>
            <w:top w:val="none" w:sz="0" w:space="0" w:color="auto"/>
            <w:left w:val="none" w:sz="0" w:space="0" w:color="auto"/>
            <w:bottom w:val="none" w:sz="0" w:space="0" w:color="auto"/>
            <w:right w:val="none" w:sz="0" w:space="0" w:color="auto"/>
          </w:divBdr>
        </w:div>
        <w:div w:id="1272318105">
          <w:marLeft w:val="1267"/>
          <w:marRight w:val="0"/>
          <w:marTop w:val="0"/>
          <w:marBottom w:val="0"/>
          <w:divBdr>
            <w:top w:val="none" w:sz="0" w:space="0" w:color="auto"/>
            <w:left w:val="none" w:sz="0" w:space="0" w:color="auto"/>
            <w:bottom w:val="none" w:sz="0" w:space="0" w:color="auto"/>
            <w:right w:val="none" w:sz="0" w:space="0" w:color="auto"/>
          </w:divBdr>
        </w:div>
        <w:div w:id="570046153">
          <w:marLeft w:val="1267"/>
          <w:marRight w:val="0"/>
          <w:marTop w:val="0"/>
          <w:marBottom w:val="0"/>
          <w:divBdr>
            <w:top w:val="none" w:sz="0" w:space="0" w:color="auto"/>
            <w:left w:val="none" w:sz="0" w:space="0" w:color="auto"/>
            <w:bottom w:val="none" w:sz="0" w:space="0" w:color="auto"/>
            <w:right w:val="none" w:sz="0" w:space="0" w:color="auto"/>
          </w:divBdr>
        </w:div>
        <w:div w:id="1872985276">
          <w:marLeft w:val="1267"/>
          <w:marRight w:val="0"/>
          <w:marTop w:val="0"/>
          <w:marBottom w:val="0"/>
          <w:divBdr>
            <w:top w:val="none" w:sz="0" w:space="0" w:color="auto"/>
            <w:left w:val="none" w:sz="0" w:space="0" w:color="auto"/>
            <w:bottom w:val="none" w:sz="0" w:space="0" w:color="auto"/>
            <w:right w:val="none" w:sz="0" w:space="0" w:color="auto"/>
          </w:divBdr>
        </w:div>
        <w:div w:id="373576711">
          <w:marLeft w:val="1267"/>
          <w:marRight w:val="0"/>
          <w:marTop w:val="0"/>
          <w:marBottom w:val="0"/>
          <w:divBdr>
            <w:top w:val="none" w:sz="0" w:space="0" w:color="auto"/>
            <w:left w:val="none" w:sz="0" w:space="0" w:color="auto"/>
            <w:bottom w:val="none" w:sz="0" w:space="0" w:color="auto"/>
            <w:right w:val="none" w:sz="0" w:space="0" w:color="auto"/>
          </w:divBdr>
        </w:div>
      </w:divsChild>
    </w:div>
    <w:div w:id="684017137">
      <w:bodyDiv w:val="1"/>
      <w:marLeft w:val="0"/>
      <w:marRight w:val="0"/>
      <w:marTop w:val="0"/>
      <w:marBottom w:val="0"/>
      <w:divBdr>
        <w:top w:val="none" w:sz="0" w:space="0" w:color="auto"/>
        <w:left w:val="none" w:sz="0" w:space="0" w:color="auto"/>
        <w:bottom w:val="none" w:sz="0" w:space="0" w:color="auto"/>
        <w:right w:val="none" w:sz="0" w:space="0" w:color="auto"/>
      </w:divBdr>
      <w:divsChild>
        <w:div w:id="1979652309">
          <w:marLeft w:val="547"/>
          <w:marRight w:val="0"/>
          <w:marTop w:val="0"/>
          <w:marBottom w:val="0"/>
          <w:divBdr>
            <w:top w:val="none" w:sz="0" w:space="0" w:color="auto"/>
            <w:left w:val="none" w:sz="0" w:space="0" w:color="auto"/>
            <w:bottom w:val="none" w:sz="0" w:space="0" w:color="auto"/>
            <w:right w:val="none" w:sz="0" w:space="0" w:color="auto"/>
          </w:divBdr>
        </w:div>
      </w:divsChild>
    </w:div>
    <w:div w:id="732966975">
      <w:bodyDiv w:val="1"/>
      <w:marLeft w:val="0"/>
      <w:marRight w:val="0"/>
      <w:marTop w:val="0"/>
      <w:marBottom w:val="0"/>
      <w:divBdr>
        <w:top w:val="none" w:sz="0" w:space="0" w:color="auto"/>
        <w:left w:val="none" w:sz="0" w:space="0" w:color="auto"/>
        <w:bottom w:val="none" w:sz="0" w:space="0" w:color="auto"/>
        <w:right w:val="none" w:sz="0" w:space="0" w:color="auto"/>
      </w:divBdr>
      <w:divsChild>
        <w:div w:id="56708793">
          <w:marLeft w:val="547"/>
          <w:marRight w:val="0"/>
          <w:marTop w:val="0"/>
          <w:marBottom w:val="0"/>
          <w:divBdr>
            <w:top w:val="none" w:sz="0" w:space="0" w:color="auto"/>
            <w:left w:val="none" w:sz="0" w:space="0" w:color="auto"/>
            <w:bottom w:val="none" w:sz="0" w:space="0" w:color="auto"/>
            <w:right w:val="none" w:sz="0" w:space="0" w:color="auto"/>
          </w:divBdr>
        </w:div>
        <w:div w:id="1146825457">
          <w:marLeft w:val="547"/>
          <w:marRight w:val="0"/>
          <w:marTop w:val="0"/>
          <w:marBottom w:val="0"/>
          <w:divBdr>
            <w:top w:val="none" w:sz="0" w:space="0" w:color="auto"/>
            <w:left w:val="none" w:sz="0" w:space="0" w:color="auto"/>
            <w:bottom w:val="none" w:sz="0" w:space="0" w:color="auto"/>
            <w:right w:val="none" w:sz="0" w:space="0" w:color="auto"/>
          </w:divBdr>
        </w:div>
        <w:div w:id="1811942278">
          <w:marLeft w:val="547"/>
          <w:marRight w:val="0"/>
          <w:marTop w:val="0"/>
          <w:marBottom w:val="0"/>
          <w:divBdr>
            <w:top w:val="none" w:sz="0" w:space="0" w:color="auto"/>
            <w:left w:val="none" w:sz="0" w:space="0" w:color="auto"/>
            <w:bottom w:val="none" w:sz="0" w:space="0" w:color="auto"/>
            <w:right w:val="none" w:sz="0" w:space="0" w:color="auto"/>
          </w:divBdr>
        </w:div>
        <w:div w:id="1820733066">
          <w:marLeft w:val="547"/>
          <w:marRight w:val="0"/>
          <w:marTop w:val="0"/>
          <w:marBottom w:val="0"/>
          <w:divBdr>
            <w:top w:val="none" w:sz="0" w:space="0" w:color="auto"/>
            <w:left w:val="none" w:sz="0" w:space="0" w:color="auto"/>
            <w:bottom w:val="none" w:sz="0" w:space="0" w:color="auto"/>
            <w:right w:val="none" w:sz="0" w:space="0" w:color="auto"/>
          </w:divBdr>
        </w:div>
      </w:divsChild>
    </w:div>
    <w:div w:id="745882028">
      <w:bodyDiv w:val="1"/>
      <w:marLeft w:val="0"/>
      <w:marRight w:val="0"/>
      <w:marTop w:val="0"/>
      <w:marBottom w:val="0"/>
      <w:divBdr>
        <w:top w:val="none" w:sz="0" w:space="0" w:color="auto"/>
        <w:left w:val="none" w:sz="0" w:space="0" w:color="auto"/>
        <w:bottom w:val="none" w:sz="0" w:space="0" w:color="auto"/>
        <w:right w:val="none" w:sz="0" w:space="0" w:color="auto"/>
      </w:divBdr>
      <w:divsChild>
        <w:div w:id="2021275543">
          <w:marLeft w:val="360"/>
          <w:marRight w:val="0"/>
          <w:marTop w:val="200"/>
          <w:marBottom w:val="0"/>
          <w:divBdr>
            <w:top w:val="none" w:sz="0" w:space="0" w:color="auto"/>
            <w:left w:val="none" w:sz="0" w:space="0" w:color="auto"/>
            <w:bottom w:val="none" w:sz="0" w:space="0" w:color="auto"/>
            <w:right w:val="none" w:sz="0" w:space="0" w:color="auto"/>
          </w:divBdr>
        </w:div>
      </w:divsChild>
    </w:div>
    <w:div w:id="749473426">
      <w:bodyDiv w:val="1"/>
      <w:marLeft w:val="0"/>
      <w:marRight w:val="0"/>
      <w:marTop w:val="0"/>
      <w:marBottom w:val="0"/>
      <w:divBdr>
        <w:top w:val="none" w:sz="0" w:space="0" w:color="auto"/>
        <w:left w:val="none" w:sz="0" w:space="0" w:color="auto"/>
        <w:bottom w:val="none" w:sz="0" w:space="0" w:color="auto"/>
        <w:right w:val="none" w:sz="0" w:space="0" w:color="auto"/>
      </w:divBdr>
      <w:divsChild>
        <w:div w:id="980308808">
          <w:marLeft w:val="1382"/>
          <w:marRight w:val="0"/>
          <w:marTop w:val="0"/>
          <w:marBottom w:val="200"/>
          <w:divBdr>
            <w:top w:val="none" w:sz="0" w:space="0" w:color="auto"/>
            <w:left w:val="none" w:sz="0" w:space="0" w:color="auto"/>
            <w:bottom w:val="none" w:sz="0" w:space="0" w:color="auto"/>
            <w:right w:val="none" w:sz="0" w:space="0" w:color="auto"/>
          </w:divBdr>
        </w:div>
        <w:div w:id="942424613">
          <w:marLeft w:val="1382"/>
          <w:marRight w:val="0"/>
          <w:marTop w:val="0"/>
          <w:marBottom w:val="200"/>
          <w:divBdr>
            <w:top w:val="none" w:sz="0" w:space="0" w:color="auto"/>
            <w:left w:val="none" w:sz="0" w:space="0" w:color="auto"/>
            <w:bottom w:val="none" w:sz="0" w:space="0" w:color="auto"/>
            <w:right w:val="none" w:sz="0" w:space="0" w:color="auto"/>
          </w:divBdr>
        </w:div>
        <w:div w:id="1623421054">
          <w:marLeft w:val="1382"/>
          <w:marRight w:val="0"/>
          <w:marTop w:val="0"/>
          <w:marBottom w:val="200"/>
          <w:divBdr>
            <w:top w:val="none" w:sz="0" w:space="0" w:color="auto"/>
            <w:left w:val="none" w:sz="0" w:space="0" w:color="auto"/>
            <w:bottom w:val="none" w:sz="0" w:space="0" w:color="auto"/>
            <w:right w:val="none" w:sz="0" w:space="0" w:color="auto"/>
          </w:divBdr>
        </w:div>
      </w:divsChild>
    </w:div>
    <w:div w:id="754517627">
      <w:bodyDiv w:val="1"/>
      <w:marLeft w:val="0"/>
      <w:marRight w:val="0"/>
      <w:marTop w:val="0"/>
      <w:marBottom w:val="0"/>
      <w:divBdr>
        <w:top w:val="none" w:sz="0" w:space="0" w:color="auto"/>
        <w:left w:val="none" w:sz="0" w:space="0" w:color="auto"/>
        <w:bottom w:val="none" w:sz="0" w:space="0" w:color="auto"/>
        <w:right w:val="none" w:sz="0" w:space="0" w:color="auto"/>
      </w:divBdr>
      <w:divsChild>
        <w:div w:id="1187135443">
          <w:marLeft w:val="547"/>
          <w:marRight w:val="0"/>
          <w:marTop w:val="0"/>
          <w:marBottom w:val="0"/>
          <w:divBdr>
            <w:top w:val="none" w:sz="0" w:space="0" w:color="auto"/>
            <w:left w:val="none" w:sz="0" w:space="0" w:color="auto"/>
            <w:bottom w:val="none" w:sz="0" w:space="0" w:color="auto"/>
            <w:right w:val="none" w:sz="0" w:space="0" w:color="auto"/>
          </w:divBdr>
        </w:div>
      </w:divsChild>
    </w:div>
    <w:div w:id="755597307">
      <w:bodyDiv w:val="1"/>
      <w:marLeft w:val="0"/>
      <w:marRight w:val="0"/>
      <w:marTop w:val="0"/>
      <w:marBottom w:val="0"/>
      <w:divBdr>
        <w:top w:val="none" w:sz="0" w:space="0" w:color="auto"/>
        <w:left w:val="none" w:sz="0" w:space="0" w:color="auto"/>
        <w:bottom w:val="none" w:sz="0" w:space="0" w:color="auto"/>
        <w:right w:val="none" w:sz="0" w:space="0" w:color="auto"/>
      </w:divBdr>
      <w:divsChild>
        <w:div w:id="282003921">
          <w:marLeft w:val="547"/>
          <w:marRight w:val="0"/>
          <w:marTop w:val="0"/>
          <w:marBottom w:val="0"/>
          <w:divBdr>
            <w:top w:val="none" w:sz="0" w:space="0" w:color="auto"/>
            <w:left w:val="none" w:sz="0" w:space="0" w:color="auto"/>
            <w:bottom w:val="none" w:sz="0" w:space="0" w:color="auto"/>
            <w:right w:val="none" w:sz="0" w:space="0" w:color="auto"/>
          </w:divBdr>
        </w:div>
      </w:divsChild>
    </w:div>
    <w:div w:id="769593219">
      <w:bodyDiv w:val="1"/>
      <w:marLeft w:val="0"/>
      <w:marRight w:val="0"/>
      <w:marTop w:val="0"/>
      <w:marBottom w:val="0"/>
      <w:divBdr>
        <w:top w:val="none" w:sz="0" w:space="0" w:color="auto"/>
        <w:left w:val="none" w:sz="0" w:space="0" w:color="auto"/>
        <w:bottom w:val="none" w:sz="0" w:space="0" w:color="auto"/>
        <w:right w:val="none" w:sz="0" w:space="0" w:color="auto"/>
      </w:divBdr>
    </w:div>
    <w:div w:id="785663358">
      <w:bodyDiv w:val="1"/>
      <w:marLeft w:val="0"/>
      <w:marRight w:val="0"/>
      <w:marTop w:val="0"/>
      <w:marBottom w:val="0"/>
      <w:divBdr>
        <w:top w:val="none" w:sz="0" w:space="0" w:color="auto"/>
        <w:left w:val="none" w:sz="0" w:space="0" w:color="auto"/>
        <w:bottom w:val="none" w:sz="0" w:space="0" w:color="auto"/>
        <w:right w:val="none" w:sz="0" w:space="0" w:color="auto"/>
      </w:divBdr>
    </w:div>
    <w:div w:id="788474225">
      <w:bodyDiv w:val="1"/>
      <w:marLeft w:val="0"/>
      <w:marRight w:val="0"/>
      <w:marTop w:val="0"/>
      <w:marBottom w:val="0"/>
      <w:divBdr>
        <w:top w:val="none" w:sz="0" w:space="0" w:color="auto"/>
        <w:left w:val="none" w:sz="0" w:space="0" w:color="auto"/>
        <w:bottom w:val="none" w:sz="0" w:space="0" w:color="auto"/>
        <w:right w:val="none" w:sz="0" w:space="0" w:color="auto"/>
      </w:divBdr>
    </w:div>
    <w:div w:id="799222850">
      <w:bodyDiv w:val="1"/>
      <w:marLeft w:val="0"/>
      <w:marRight w:val="0"/>
      <w:marTop w:val="0"/>
      <w:marBottom w:val="0"/>
      <w:divBdr>
        <w:top w:val="none" w:sz="0" w:space="0" w:color="auto"/>
        <w:left w:val="none" w:sz="0" w:space="0" w:color="auto"/>
        <w:bottom w:val="none" w:sz="0" w:space="0" w:color="auto"/>
        <w:right w:val="none" w:sz="0" w:space="0" w:color="auto"/>
      </w:divBdr>
    </w:div>
    <w:div w:id="836386700">
      <w:bodyDiv w:val="1"/>
      <w:marLeft w:val="0"/>
      <w:marRight w:val="0"/>
      <w:marTop w:val="0"/>
      <w:marBottom w:val="0"/>
      <w:divBdr>
        <w:top w:val="none" w:sz="0" w:space="0" w:color="auto"/>
        <w:left w:val="none" w:sz="0" w:space="0" w:color="auto"/>
        <w:bottom w:val="none" w:sz="0" w:space="0" w:color="auto"/>
        <w:right w:val="none" w:sz="0" w:space="0" w:color="auto"/>
      </w:divBdr>
      <w:divsChild>
        <w:div w:id="231816404">
          <w:marLeft w:val="720"/>
          <w:marRight w:val="0"/>
          <w:marTop w:val="0"/>
          <w:marBottom w:val="0"/>
          <w:divBdr>
            <w:top w:val="none" w:sz="0" w:space="0" w:color="auto"/>
            <w:left w:val="none" w:sz="0" w:space="0" w:color="auto"/>
            <w:bottom w:val="none" w:sz="0" w:space="0" w:color="auto"/>
            <w:right w:val="none" w:sz="0" w:space="0" w:color="auto"/>
          </w:divBdr>
        </w:div>
      </w:divsChild>
    </w:div>
    <w:div w:id="865870073">
      <w:bodyDiv w:val="1"/>
      <w:marLeft w:val="0"/>
      <w:marRight w:val="0"/>
      <w:marTop w:val="0"/>
      <w:marBottom w:val="0"/>
      <w:divBdr>
        <w:top w:val="none" w:sz="0" w:space="0" w:color="auto"/>
        <w:left w:val="none" w:sz="0" w:space="0" w:color="auto"/>
        <w:bottom w:val="none" w:sz="0" w:space="0" w:color="auto"/>
        <w:right w:val="none" w:sz="0" w:space="0" w:color="auto"/>
      </w:divBdr>
    </w:div>
    <w:div w:id="909118643">
      <w:bodyDiv w:val="1"/>
      <w:marLeft w:val="0"/>
      <w:marRight w:val="0"/>
      <w:marTop w:val="0"/>
      <w:marBottom w:val="0"/>
      <w:divBdr>
        <w:top w:val="none" w:sz="0" w:space="0" w:color="auto"/>
        <w:left w:val="none" w:sz="0" w:space="0" w:color="auto"/>
        <w:bottom w:val="none" w:sz="0" w:space="0" w:color="auto"/>
        <w:right w:val="none" w:sz="0" w:space="0" w:color="auto"/>
      </w:divBdr>
    </w:div>
    <w:div w:id="927468581">
      <w:bodyDiv w:val="1"/>
      <w:marLeft w:val="0"/>
      <w:marRight w:val="0"/>
      <w:marTop w:val="0"/>
      <w:marBottom w:val="0"/>
      <w:divBdr>
        <w:top w:val="none" w:sz="0" w:space="0" w:color="auto"/>
        <w:left w:val="none" w:sz="0" w:space="0" w:color="auto"/>
        <w:bottom w:val="none" w:sz="0" w:space="0" w:color="auto"/>
        <w:right w:val="none" w:sz="0" w:space="0" w:color="auto"/>
      </w:divBdr>
    </w:div>
    <w:div w:id="945697012">
      <w:bodyDiv w:val="1"/>
      <w:marLeft w:val="0"/>
      <w:marRight w:val="0"/>
      <w:marTop w:val="0"/>
      <w:marBottom w:val="0"/>
      <w:divBdr>
        <w:top w:val="none" w:sz="0" w:space="0" w:color="auto"/>
        <w:left w:val="none" w:sz="0" w:space="0" w:color="auto"/>
        <w:bottom w:val="none" w:sz="0" w:space="0" w:color="auto"/>
        <w:right w:val="none" w:sz="0" w:space="0" w:color="auto"/>
      </w:divBdr>
    </w:div>
    <w:div w:id="961301593">
      <w:bodyDiv w:val="1"/>
      <w:marLeft w:val="0"/>
      <w:marRight w:val="0"/>
      <w:marTop w:val="0"/>
      <w:marBottom w:val="0"/>
      <w:divBdr>
        <w:top w:val="none" w:sz="0" w:space="0" w:color="auto"/>
        <w:left w:val="none" w:sz="0" w:space="0" w:color="auto"/>
        <w:bottom w:val="none" w:sz="0" w:space="0" w:color="auto"/>
        <w:right w:val="none" w:sz="0" w:space="0" w:color="auto"/>
      </w:divBdr>
      <w:divsChild>
        <w:div w:id="1033456129">
          <w:marLeft w:val="0"/>
          <w:marRight w:val="0"/>
          <w:marTop w:val="0"/>
          <w:marBottom w:val="0"/>
          <w:divBdr>
            <w:top w:val="none" w:sz="0" w:space="0" w:color="auto"/>
            <w:left w:val="none" w:sz="0" w:space="0" w:color="auto"/>
            <w:bottom w:val="none" w:sz="0" w:space="0" w:color="auto"/>
            <w:right w:val="none" w:sz="0" w:space="0" w:color="auto"/>
          </w:divBdr>
          <w:divsChild>
            <w:div w:id="1680037195">
              <w:marLeft w:val="0"/>
              <w:marRight w:val="0"/>
              <w:marTop w:val="0"/>
              <w:marBottom w:val="0"/>
              <w:divBdr>
                <w:top w:val="none" w:sz="0" w:space="0" w:color="auto"/>
                <w:left w:val="none" w:sz="0" w:space="0" w:color="auto"/>
                <w:bottom w:val="none" w:sz="0" w:space="0" w:color="auto"/>
                <w:right w:val="none" w:sz="0" w:space="0" w:color="auto"/>
              </w:divBdr>
              <w:divsChild>
                <w:div w:id="75903843">
                  <w:marLeft w:val="0"/>
                  <w:marRight w:val="150"/>
                  <w:marTop w:val="0"/>
                  <w:marBottom w:val="0"/>
                  <w:divBdr>
                    <w:top w:val="none" w:sz="0" w:space="0" w:color="auto"/>
                    <w:left w:val="none" w:sz="0" w:space="0" w:color="auto"/>
                    <w:bottom w:val="none" w:sz="0" w:space="0" w:color="auto"/>
                    <w:right w:val="none" w:sz="0" w:space="0" w:color="auto"/>
                  </w:divBdr>
                  <w:divsChild>
                    <w:div w:id="123475576">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985742825">
      <w:bodyDiv w:val="1"/>
      <w:marLeft w:val="0"/>
      <w:marRight w:val="0"/>
      <w:marTop w:val="0"/>
      <w:marBottom w:val="0"/>
      <w:divBdr>
        <w:top w:val="none" w:sz="0" w:space="0" w:color="auto"/>
        <w:left w:val="none" w:sz="0" w:space="0" w:color="auto"/>
        <w:bottom w:val="none" w:sz="0" w:space="0" w:color="auto"/>
        <w:right w:val="none" w:sz="0" w:space="0" w:color="auto"/>
      </w:divBdr>
      <w:divsChild>
        <w:div w:id="93325107">
          <w:marLeft w:val="547"/>
          <w:marRight w:val="0"/>
          <w:marTop w:val="0"/>
          <w:marBottom w:val="0"/>
          <w:divBdr>
            <w:top w:val="none" w:sz="0" w:space="0" w:color="auto"/>
            <w:left w:val="none" w:sz="0" w:space="0" w:color="auto"/>
            <w:bottom w:val="none" w:sz="0" w:space="0" w:color="auto"/>
            <w:right w:val="none" w:sz="0" w:space="0" w:color="auto"/>
          </w:divBdr>
        </w:div>
      </w:divsChild>
    </w:div>
    <w:div w:id="990447841">
      <w:bodyDiv w:val="1"/>
      <w:marLeft w:val="0"/>
      <w:marRight w:val="0"/>
      <w:marTop w:val="0"/>
      <w:marBottom w:val="0"/>
      <w:divBdr>
        <w:top w:val="none" w:sz="0" w:space="0" w:color="auto"/>
        <w:left w:val="none" w:sz="0" w:space="0" w:color="auto"/>
        <w:bottom w:val="none" w:sz="0" w:space="0" w:color="auto"/>
        <w:right w:val="none" w:sz="0" w:space="0" w:color="auto"/>
      </w:divBdr>
    </w:div>
    <w:div w:id="993534193">
      <w:bodyDiv w:val="1"/>
      <w:marLeft w:val="0"/>
      <w:marRight w:val="0"/>
      <w:marTop w:val="0"/>
      <w:marBottom w:val="0"/>
      <w:divBdr>
        <w:top w:val="none" w:sz="0" w:space="0" w:color="auto"/>
        <w:left w:val="none" w:sz="0" w:space="0" w:color="auto"/>
        <w:bottom w:val="none" w:sz="0" w:space="0" w:color="auto"/>
        <w:right w:val="none" w:sz="0" w:space="0" w:color="auto"/>
      </w:divBdr>
      <w:divsChild>
        <w:div w:id="1476490682">
          <w:marLeft w:val="446"/>
          <w:marRight w:val="0"/>
          <w:marTop w:val="0"/>
          <w:marBottom w:val="0"/>
          <w:divBdr>
            <w:top w:val="none" w:sz="0" w:space="0" w:color="auto"/>
            <w:left w:val="none" w:sz="0" w:space="0" w:color="auto"/>
            <w:bottom w:val="none" w:sz="0" w:space="0" w:color="auto"/>
            <w:right w:val="none" w:sz="0" w:space="0" w:color="auto"/>
          </w:divBdr>
        </w:div>
        <w:div w:id="973828518">
          <w:marLeft w:val="446"/>
          <w:marRight w:val="0"/>
          <w:marTop w:val="0"/>
          <w:marBottom w:val="0"/>
          <w:divBdr>
            <w:top w:val="none" w:sz="0" w:space="0" w:color="auto"/>
            <w:left w:val="none" w:sz="0" w:space="0" w:color="auto"/>
            <w:bottom w:val="none" w:sz="0" w:space="0" w:color="auto"/>
            <w:right w:val="none" w:sz="0" w:space="0" w:color="auto"/>
          </w:divBdr>
        </w:div>
        <w:div w:id="1647540122">
          <w:marLeft w:val="446"/>
          <w:marRight w:val="0"/>
          <w:marTop w:val="0"/>
          <w:marBottom w:val="0"/>
          <w:divBdr>
            <w:top w:val="none" w:sz="0" w:space="0" w:color="auto"/>
            <w:left w:val="none" w:sz="0" w:space="0" w:color="auto"/>
            <w:bottom w:val="none" w:sz="0" w:space="0" w:color="auto"/>
            <w:right w:val="none" w:sz="0" w:space="0" w:color="auto"/>
          </w:divBdr>
        </w:div>
        <w:div w:id="1629315367">
          <w:marLeft w:val="446"/>
          <w:marRight w:val="0"/>
          <w:marTop w:val="0"/>
          <w:marBottom w:val="0"/>
          <w:divBdr>
            <w:top w:val="none" w:sz="0" w:space="0" w:color="auto"/>
            <w:left w:val="none" w:sz="0" w:space="0" w:color="auto"/>
            <w:bottom w:val="none" w:sz="0" w:space="0" w:color="auto"/>
            <w:right w:val="none" w:sz="0" w:space="0" w:color="auto"/>
          </w:divBdr>
        </w:div>
        <w:div w:id="594246335">
          <w:marLeft w:val="446"/>
          <w:marRight w:val="0"/>
          <w:marTop w:val="0"/>
          <w:marBottom w:val="0"/>
          <w:divBdr>
            <w:top w:val="none" w:sz="0" w:space="0" w:color="auto"/>
            <w:left w:val="none" w:sz="0" w:space="0" w:color="auto"/>
            <w:bottom w:val="none" w:sz="0" w:space="0" w:color="auto"/>
            <w:right w:val="none" w:sz="0" w:space="0" w:color="auto"/>
          </w:divBdr>
        </w:div>
        <w:div w:id="1073624156">
          <w:marLeft w:val="446"/>
          <w:marRight w:val="0"/>
          <w:marTop w:val="0"/>
          <w:marBottom w:val="0"/>
          <w:divBdr>
            <w:top w:val="none" w:sz="0" w:space="0" w:color="auto"/>
            <w:left w:val="none" w:sz="0" w:space="0" w:color="auto"/>
            <w:bottom w:val="none" w:sz="0" w:space="0" w:color="auto"/>
            <w:right w:val="none" w:sz="0" w:space="0" w:color="auto"/>
          </w:divBdr>
        </w:div>
      </w:divsChild>
    </w:div>
    <w:div w:id="994718969">
      <w:bodyDiv w:val="1"/>
      <w:marLeft w:val="0"/>
      <w:marRight w:val="0"/>
      <w:marTop w:val="0"/>
      <w:marBottom w:val="0"/>
      <w:divBdr>
        <w:top w:val="none" w:sz="0" w:space="0" w:color="auto"/>
        <w:left w:val="none" w:sz="0" w:space="0" w:color="auto"/>
        <w:bottom w:val="none" w:sz="0" w:space="0" w:color="auto"/>
        <w:right w:val="none" w:sz="0" w:space="0" w:color="auto"/>
      </w:divBdr>
    </w:div>
    <w:div w:id="1053427160">
      <w:bodyDiv w:val="1"/>
      <w:marLeft w:val="0"/>
      <w:marRight w:val="0"/>
      <w:marTop w:val="0"/>
      <w:marBottom w:val="0"/>
      <w:divBdr>
        <w:top w:val="none" w:sz="0" w:space="0" w:color="auto"/>
        <w:left w:val="none" w:sz="0" w:space="0" w:color="auto"/>
        <w:bottom w:val="none" w:sz="0" w:space="0" w:color="auto"/>
        <w:right w:val="none" w:sz="0" w:space="0" w:color="auto"/>
      </w:divBdr>
    </w:div>
    <w:div w:id="1071661829">
      <w:bodyDiv w:val="1"/>
      <w:marLeft w:val="0"/>
      <w:marRight w:val="0"/>
      <w:marTop w:val="0"/>
      <w:marBottom w:val="0"/>
      <w:divBdr>
        <w:top w:val="none" w:sz="0" w:space="0" w:color="auto"/>
        <w:left w:val="none" w:sz="0" w:space="0" w:color="auto"/>
        <w:bottom w:val="none" w:sz="0" w:space="0" w:color="auto"/>
        <w:right w:val="none" w:sz="0" w:space="0" w:color="auto"/>
      </w:divBdr>
    </w:div>
    <w:div w:id="1096366459">
      <w:bodyDiv w:val="1"/>
      <w:marLeft w:val="0"/>
      <w:marRight w:val="0"/>
      <w:marTop w:val="0"/>
      <w:marBottom w:val="0"/>
      <w:divBdr>
        <w:top w:val="none" w:sz="0" w:space="0" w:color="auto"/>
        <w:left w:val="none" w:sz="0" w:space="0" w:color="auto"/>
        <w:bottom w:val="none" w:sz="0" w:space="0" w:color="auto"/>
        <w:right w:val="none" w:sz="0" w:space="0" w:color="auto"/>
      </w:divBdr>
      <w:divsChild>
        <w:div w:id="515660775">
          <w:marLeft w:val="1440"/>
          <w:marRight w:val="0"/>
          <w:marTop w:val="0"/>
          <w:marBottom w:val="0"/>
          <w:divBdr>
            <w:top w:val="none" w:sz="0" w:space="0" w:color="auto"/>
            <w:left w:val="none" w:sz="0" w:space="0" w:color="auto"/>
            <w:bottom w:val="none" w:sz="0" w:space="0" w:color="auto"/>
            <w:right w:val="none" w:sz="0" w:space="0" w:color="auto"/>
          </w:divBdr>
        </w:div>
        <w:div w:id="905839136">
          <w:marLeft w:val="1440"/>
          <w:marRight w:val="0"/>
          <w:marTop w:val="0"/>
          <w:marBottom w:val="0"/>
          <w:divBdr>
            <w:top w:val="none" w:sz="0" w:space="0" w:color="auto"/>
            <w:left w:val="none" w:sz="0" w:space="0" w:color="auto"/>
            <w:bottom w:val="none" w:sz="0" w:space="0" w:color="auto"/>
            <w:right w:val="none" w:sz="0" w:space="0" w:color="auto"/>
          </w:divBdr>
        </w:div>
        <w:div w:id="1037194264">
          <w:marLeft w:val="1440"/>
          <w:marRight w:val="0"/>
          <w:marTop w:val="0"/>
          <w:marBottom w:val="0"/>
          <w:divBdr>
            <w:top w:val="none" w:sz="0" w:space="0" w:color="auto"/>
            <w:left w:val="none" w:sz="0" w:space="0" w:color="auto"/>
            <w:bottom w:val="none" w:sz="0" w:space="0" w:color="auto"/>
            <w:right w:val="none" w:sz="0" w:space="0" w:color="auto"/>
          </w:divBdr>
        </w:div>
      </w:divsChild>
    </w:div>
    <w:div w:id="1112431549">
      <w:bodyDiv w:val="1"/>
      <w:marLeft w:val="0"/>
      <w:marRight w:val="0"/>
      <w:marTop w:val="0"/>
      <w:marBottom w:val="0"/>
      <w:divBdr>
        <w:top w:val="none" w:sz="0" w:space="0" w:color="auto"/>
        <w:left w:val="none" w:sz="0" w:space="0" w:color="auto"/>
        <w:bottom w:val="none" w:sz="0" w:space="0" w:color="auto"/>
        <w:right w:val="none" w:sz="0" w:space="0" w:color="auto"/>
      </w:divBdr>
    </w:div>
    <w:div w:id="1134063690">
      <w:bodyDiv w:val="1"/>
      <w:marLeft w:val="0"/>
      <w:marRight w:val="0"/>
      <w:marTop w:val="0"/>
      <w:marBottom w:val="0"/>
      <w:divBdr>
        <w:top w:val="none" w:sz="0" w:space="0" w:color="auto"/>
        <w:left w:val="none" w:sz="0" w:space="0" w:color="auto"/>
        <w:bottom w:val="none" w:sz="0" w:space="0" w:color="auto"/>
        <w:right w:val="none" w:sz="0" w:space="0" w:color="auto"/>
      </w:divBdr>
    </w:div>
    <w:div w:id="1190029154">
      <w:bodyDiv w:val="1"/>
      <w:marLeft w:val="0"/>
      <w:marRight w:val="0"/>
      <w:marTop w:val="0"/>
      <w:marBottom w:val="0"/>
      <w:divBdr>
        <w:top w:val="none" w:sz="0" w:space="0" w:color="auto"/>
        <w:left w:val="none" w:sz="0" w:space="0" w:color="auto"/>
        <w:bottom w:val="none" w:sz="0" w:space="0" w:color="auto"/>
        <w:right w:val="none" w:sz="0" w:space="0" w:color="auto"/>
      </w:divBdr>
    </w:div>
    <w:div w:id="1241015797">
      <w:bodyDiv w:val="1"/>
      <w:marLeft w:val="0"/>
      <w:marRight w:val="0"/>
      <w:marTop w:val="0"/>
      <w:marBottom w:val="0"/>
      <w:divBdr>
        <w:top w:val="none" w:sz="0" w:space="0" w:color="auto"/>
        <w:left w:val="none" w:sz="0" w:space="0" w:color="auto"/>
        <w:bottom w:val="none" w:sz="0" w:space="0" w:color="auto"/>
        <w:right w:val="none" w:sz="0" w:space="0" w:color="auto"/>
      </w:divBdr>
    </w:div>
    <w:div w:id="1243568206">
      <w:bodyDiv w:val="1"/>
      <w:marLeft w:val="0"/>
      <w:marRight w:val="0"/>
      <w:marTop w:val="0"/>
      <w:marBottom w:val="0"/>
      <w:divBdr>
        <w:top w:val="none" w:sz="0" w:space="0" w:color="auto"/>
        <w:left w:val="none" w:sz="0" w:space="0" w:color="auto"/>
        <w:bottom w:val="none" w:sz="0" w:space="0" w:color="auto"/>
        <w:right w:val="none" w:sz="0" w:space="0" w:color="auto"/>
      </w:divBdr>
    </w:div>
    <w:div w:id="1256745567">
      <w:bodyDiv w:val="1"/>
      <w:marLeft w:val="0"/>
      <w:marRight w:val="0"/>
      <w:marTop w:val="0"/>
      <w:marBottom w:val="0"/>
      <w:divBdr>
        <w:top w:val="none" w:sz="0" w:space="0" w:color="auto"/>
        <w:left w:val="none" w:sz="0" w:space="0" w:color="auto"/>
        <w:bottom w:val="none" w:sz="0" w:space="0" w:color="auto"/>
        <w:right w:val="none" w:sz="0" w:space="0" w:color="auto"/>
      </w:divBdr>
    </w:div>
    <w:div w:id="1320578996">
      <w:bodyDiv w:val="1"/>
      <w:marLeft w:val="0"/>
      <w:marRight w:val="0"/>
      <w:marTop w:val="0"/>
      <w:marBottom w:val="0"/>
      <w:divBdr>
        <w:top w:val="none" w:sz="0" w:space="0" w:color="auto"/>
        <w:left w:val="none" w:sz="0" w:space="0" w:color="auto"/>
        <w:bottom w:val="none" w:sz="0" w:space="0" w:color="auto"/>
        <w:right w:val="none" w:sz="0" w:space="0" w:color="auto"/>
      </w:divBdr>
    </w:div>
    <w:div w:id="1329208160">
      <w:bodyDiv w:val="1"/>
      <w:marLeft w:val="0"/>
      <w:marRight w:val="0"/>
      <w:marTop w:val="0"/>
      <w:marBottom w:val="0"/>
      <w:divBdr>
        <w:top w:val="none" w:sz="0" w:space="0" w:color="auto"/>
        <w:left w:val="none" w:sz="0" w:space="0" w:color="auto"/>
        <w:bottom w:val="none" w:sz="0" w:space="0" w:color="auto"/>
        <w:right w:val="none" w:sz="0" w:space="0" w:color="auto"/>
      </w:divBdr>
    </w:div>
    <w:div w:id="1345862033">
      <w:bodyDiv w:val="1"/>
      <w:marLeft w:val="0"/>
      <w:marRight w:val="0"/>
      <w:marTop w:val="0"/>
      <w:marBottom w:val="0"/>
      <w:divBdr>
        <w:top w:val="none" w:sz="0" w:space="0" w:color="auto"/>
        <w:left w:val="none" w:sz="0" w:space="0" w:color="auto"/>
        <w:bottom w:val="none" w:sz="0" w:space="0" w:color="auto"/>
        <w:right w:val="none" w:sz="0" w:space="0" w:color="auto"/>
      </w:divBdr>
    </w:div>
    <w:div w:id="1364525093">
      <w:bodyDiv w:val="1"/>
      <w:marLeft w:val="0"/>
      <w:marRight w:val="0"/>
      <w:marTop w:val="0"/>
      <w:marBottom w:val="0"/>
      <w:divBdr>
        <w:top w:val="none" w:sz="0" w:space="0" w:color="auto"/>
        <w:left w:val="none" w:sz="0" w:space="0" w:color="auto"/>
        <w:bottom w:val="none" w:sz="0" w:space="0" w:color="auto"/>
        <w:right w:val="none" w:sz="0" w:space="0" w:color="auto"/>
      </w:divBdr>
    </w:div>
    <w:div w:id="1374312249">
      <w:bodyDiv w:val="1"/>
      <w:marLeft w:val="0"/>
      <w:marRight w:val="0"/>
      <w:marTop w:val="0"/>
      <w:marBottom w:val="0"/>
      <w:divBdr>
        <w:top w:val="none" w:sz="0" w:space="0" w:color="auto"/>
        <w:left w:val="none" w:sz="0" w:space="0" w:color="auto"/>
        <w:bottom w:val="none" w:sz="0" w:space="0" w:color="auto"/>
        <w:right w:val="none" w:sz="0" w:space="0" w:color="auto"/>
      </w:divBdr>
    </w:div>
    <w:div w:id="1411390911">
      <w:bodyDiv w:val="1"/>
      <w:marLeft w:val="0"/>
      <w:marRight w:val="0"/>
      <w:marTop w:val="0"/>
      <w:marBottom w:val="0"/>
      <w:divBdr>
        <w:top w:val="none" w:sz="0" w:space="0" w:color="auto"/>
        <w:left w:val="none" w:sz="0" w:space="0" w:color="auto"/>
        <w:bottom w:val="none" w:sz="0" w:space="0" w:color="auto"/>
        <w:right w:val="none" w:sz="0" w:space="0" w:color="auto"/>
      </w:divBdr>
    </w:div>
    <w:div w:id="1430931549">
      <w:bodyDiv w:val="1"/>
      <w:marLeft w:val="0"/>
      <w:marRight w:val="0"/>
      <w:marTop w:val="0"/>
      <w:marBottom w:val="0"/>
      <w:divBdr>
        <w:top w:val="none" w:sz="0" w:space="0" w:color="auto"/>
        <w:left w:val="none" w:sz="0" w:space="0" w:color="auto"/>
        <w:bottom w:val="none" w:sz="0" w:space="0" w:color="auto"/>
        <w:right w:val="none" w:sz="0" w:space="0" w:color="auto"/>
      </w:divBdr>
    </w:div>
    <w:div w:id="1507355912">
      <w:bodyDiv w:val="1"/>
      <w:marLeft w:val="0"/>
      <w:marRight w:val="0"/>
      <w:marTop w:val="0"/>
      <w:marBottom w:val="0"/>
      <w:divBdr>
        <w:top w:val="none" w:sz="0" w:space="0" w:color="auto"/>
        <w:left w:val="none" w:sz="0" w:space="0" w:color="auto"/>
        <w:bottom w:val="none" w:sz="0" w:space="0" w:color="auto"/>
        <w:right w:val="none" w:sz="0" w:space="0" w:color="auto"/>
      </w:divBdr>
    </w:div>
    <w:div w:id="1530140230">
      <w:bodyDiv w:val="1"/>
      <w:marLeft w:val="0"/>
      <w:marRight w:val="0"/>
      <w:marTop w:val="0"/>
      <w:marBottom w:val="0"/>
      <w:divBdr>
        <w:top w:val="none" w:sz="0" w:space="0" w:color="auto"/>
        <w:left w:val="none" w:sz="0" w:space="0" w:color="auto"/>
        <w:bottom w:val="none" w:sz="0" w:space="0" w:color="auto"/>
        <w:right w:val="none" w:sz="0" w:space="0" w:color="auto"/>
      </w:divBdr>
    </w:div>
    <w:div w:id="1545174765">
      <w:bodyDiv w:val="1"/>
      <w:marLeft w:val="0"/>
      <w:marRight w:val="0"/>
      <w:marTop w:val="0"/>
      <w:marBottom w:val="0"/>
      <w:divBdr>
        <w:top w:val="none" w:sz="0" w:space="0" w:color="auto"/>
        <w:left w:val="none" w:sz="0" w:space="0" w:color="auto"/>
        <w:bottom w:val="none" w:sz="0" w:space="0" w:color="auto"/>
        <w:right w:val="none" w:sz="0" w:space="0" w:color="auto"/>
      </w:divBdr>
    </w:div>
    <w:div w:id="1570772744">
      <w:bodyDiv w:val="1"/>
      <w:marLeft w:val="0"/>
      <w:marRight w:val="0"/>
      <w:marTop w:val="0"/>
      <w:marBottom w:val="0"/>
      <w:divBdr>
        <w:top w:val="none" w:sz="0" w:space="0" w:color="auto"/>
        <w:left w:val="none" w:sz="0" w:space="0" w:color="auto"/>
        <w:bottom w:val="none" w:sz="0" w:space="0" w:color="auto"/>
        <w:right w:val="none" w:sz="0" w:space="0" w:color="auto"/>
      </w:divBdr>
    </w:div>
    <w:div w:id="1603756869">
      <w:bodyDiv w:val="1"/>
      <w:marLeft w:val="0"/>
      <w:marRight w:val="0"/>
      <w:marTop w:val="0"/>
      <w:marBottom w:val="0"/>
      <w:divBdr>
        <w:top w:val="none" w:sz="0" w:space="0" w:color="auto"/>
        <w:left w:val="none" w:sz="0" w:space="0" w:color="auto"/>
        <w:bottom w:val="none" w:sz="0" w:space="0" w:color="auto"/>
        <w:right w:val="none" w:sz="0" w:space="0" w:color="auto"/>
      </w:divBdr>
    </w:div>
    <w:div w:id="1606813318">
      <w:bodyDiv w:val="1"/>
      <w:marLeft w:val="0"/>
      <w:marRight w:val="0"/>
      <w:marTop w:val="0"/>
      <w:marBottom w:val="0"/>
      <w:divBdr>
        <w:top w:val="none" w:sz="0" w:space="0" w:color="auto"/>
        <w:left w:val="none" w:sz="0" w:space="0" w:color="auto"/>
        <w:bottom w:val="none" w:sz="0" w:space="0" w:color="auto"/>
        <w:right w:val="none" w:sz="0" w:space="0" w:color="auto"/>
      </w:divBdr>
    </w:div>
    <w:div w:id="1612476438">
      <w:bodyDiv w:val="1"/>
      <w:marLeft w:val="0"/>
      <w:marRight w:val="0"/>
      <w:marTop w:val="0"/>
      <w:marBottom w:val="0"/>
      <w:divBdr>
        <w:top w:val="none" w:sz="0" w:space="0" w:color="auto"/>
        <w:left w:val="none" w:sz="0" w:space="0" w:color="auto"/>
        <w:bottom w:val="none" w:sz="0" w:space="0" w:color="auto"/>
        <w:right w:val="none" w:sz="0" w:space="0" w:color="auto"/>
      </w:divBdr>
    </w:div>
    <w:div w:id="1632324828">
      <w:bodyDiv w:val="1"/>
      <w:marLeft w:val="0"/>
      <w:marRight w:val="0"/>
      <w:marTop w:val="0"/>
      <w:marBottom w:val="0"/>
      <w:divBdr>
        <w:top w:val="none" w:sz="0" w:space="0" w:color="auto"/>
        <w:left w:val="none" w:sz="0" w:space="0" w:color="auto"/>
        <w:bottom w:val="none" w:sz="0" w:space="0" w:color="auto"/>
        <w:right w:val="none" w:sz="0" w:space="0" w:color="auto"/>
      </w:divBdr>
      <w:divsChild>
        <w:div w:id="1535072149">
          <w:marLeft w:val="547"/>
          <w:marRight w:val="0"/>
          <w:marTop w:val="0"/>
          <w:marBottom w:val="0"/>
          <w:divBdr>
            <w:top w:val="none" w:sz="0" w:space="0" w:color="auto"/>
            <w:left w:val="none" w:sz="0" w:space="0" w:color="auto"/>
            <w:bottom w:val="none" w:sz="0" w:space="0" w:color="auto"/>
            <w:right w:val="none" w:sz="0" w:space="0" w:color="auto"/>
          </w:divBdr>
        </w:div>
        <w:div w:id="1804427513">
          <w:marLeft w:val="547"/>
          <w:marRight w:val="0"/>
          <w:marTop w:val="0"/>
          <w:marBottom w:val="0"/>
          <w:divBdr>
            <w:top w:val="none" w:sz="0" w:space="0" w:color="auto"/>
            <w:left w:val="none" w:sz="0" w:space="0" w:color="auto"/>
            <w:bottom w:val="none" w:sz="0" w:space="0" w:color="auto"/>
            <w:right w:val="none" w:sz="0" w:space="0" w:color="auto"/>
          </w:divBdr>
        </w:div>
      </w:divsChild>
    </w:div>
    <w:div w:id="1638802336">
      <w:bodyDiv w:val="1"/>
      <w:marLeft w:val="0"/>
      <w:marRight w:val="0"/>
      <w:marTop w:val="0"/>
      <w:marBottom w:val="0"/>
      <w:divBdr>
        <w:top w:val="none" w:sz="0" w:space="0" w:color="auto"/>
        <w:left w:val="none" w:sz="0" w:space="0" w:color="auto"/>
        <w:bottom w:val="none" w:sz="0" w:space="0" w:color="auto"/>
        <w:right w:val="none" w:sz="0" w:space="0" w:color="auto"/>
      </w:divBdr>
    </w:div>
    <w:div w:id="1650280558">
      <w:bodyDiv w:val="1"/>
      <w:marLeft w:val="0"/>
      <w:marRight w:val="0"/>
      <w:marTop w:val="0"/>
      <w:marBottom w:val="0"/>
      <w:divBdr>
        <w:top w:val="none" w:sz="0" w:space="0" w:color="auto"/>
        <w:left w:val="none" w:sz="0" w:space="0" w:color="auto"/>
        <w:bottom w:val="none" w:sz="0" w:space="0" w:color="auto"/>
        <w:right w:val="none" w:sz="0" w:space="0" w:color="auto"/>
      </w:divBdr>
    </w:div>
    <w:div w:id="1664235272">
      <w:bodyDiv w:val="1"/>
      <w:marLeft w:val="0"/>
      <w:marRight w:val="0"/>
      <w:marTop w:val="0"/>
      <w:marBottom w:val="0"/>
      <w:divBdr>
        <w:top w:val="none" w:sz="0" w:space="0" w:color="auto"/>
        <w:left w:val="none" w:sz="0" w:space="0" w:color="auto"/>
        <w:bottom w:val="none" w:sz="0" w:space="0" w:color="auto"/>
        <w:right w:val="none" w:sz="0" w:space="0" w:color="auto"/>
      </w:divBdr>
    </w:div>
    <w:div w:id="1739672451">
      <w:bodyDiv w:val="1"/>
      <w:marLeft w:val="0"/>
      <w:marRight w:val="0"/>
      <w:marTop w:val="0"/>
      <w:marBottom w:val="0"/>
      <w:divBdr>
        <w:top w:val="none" w:sz="0" w:space="0" w:color="auto"/>
        <w:left w:val="none" w:sz="0" w:space="0" w:color="auto"/>
        <w:bottom w:val="none" w:sz="0" w:space="0" w:color="auto"/>
        <w:right w:val="none" w:sz="0" w:space="0" w:color="auto"/>
      </w:divBdr>
    </w:div>
    <w:div w:id="1763532279">
      <w:bodyDiv w:val="1"/>
      <w:marLeft w:val="0"/>
      <w:marRight w:val="0"/>
      <w:marTop w:val="0"/>
      <w:marBottom w:val="0"/>
      <w:divBdr>
        <w:top w:val="none" w:sz="0" w:space="0" w:color="auto"/>
        <w:left w:val="none" w:sz="0" w:space="0" w:color="auto"/>
        <w:bottom w:val="none" w:sz="0" w:space="0" w:color="auto"/>
        <w:right w:val="none" w:sz="0" w:space="0" w:color="auto"/>
      </w:divBdr>
    </w:div>
    <w:div w:id="1797915038">
      <w:bodyDiv w:val="1"/>
      <w:marLeft w:val="0"/>
      <w:marRight w:val="0"/>
      <w:marTop w:val="0"/>
      <w:marBottom w:val="0"/>
      <w:divBdr>
        <w:top w:val="none" w:sz="0" w:space="0" w:color="auto"/>
        <w:left w:val="none" w:sz="0" w:space="0" w:color="auto"/>
        <w:bottom w:val="none" w:sz="0" w:space="0" w:color="auto"/>
        <w:right w:val="none" w:sz="0" w:space="0" w:color="auto"/>
      </w:divBdr>
    </w:div>
    <w:div w:id="1805809179">
      <w:bodyDiv w:val="1"/>
      <w:marLeft w:val="0"/>
      <w:marRight w:val="0"/>
      <w:marTop w:val="0"/>
      <w:marBottom w:val="0"/>
      <w:divBdr>
        <w:top w:val="none" w:sz="0" w:space="0" w:color="auto"/>
        <w:left w:val="none" w:sz="0" w:space="0" w:color="auto"/>
        <w:bottom w:val="none" w:sz="0" w:space="0" w:color="auto"/>
        <w:right w:val="none" w:sz="0" w:space="0" w:color="auto"/>
      </w:divBdr>
    </w:div>
    <w:div w:id="1826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0356248">
          <w:marLeft w:val="547"/>
          <w:marRight w:val="0"/>
          <w:marTop w:val="0"/>
          <w:marBottom w:val="0"/>
          <w:divBdr>
            <w:top w:val="none" w:sz="0" w:space="0" w:color="auto"/>
            <w:left w:val="none" w:sz="0" w:space="0" w:color="auto"/>
            <w:bottom w:val="none" w:sz="0" w:space="0" w:color="auto"/>
            <w:right w:val="none" w:sz="0" w:space="0" w:color="auto"/>
          </w:divBdr>
        </w:div>
      </w:divsChild>
    </w:div>
    <w:div w:id="1883857376">
      <w:bodyDiv w:val="1"/>
      <w:marLeft w:val="0"/>
      <w:marRight w:val="0"/>
      <w:marTop w:val="0"/>
      <w:marBottom w:val="0"/>
      <w:divBdr>
        <w:top w:val="none" w:sz="0" w:space="0" w:color="auto"/>
        <w:left w:val="none" w:sz="0" w:space="0" w:color="auto"/>
        <w:bottom w:val="none" w:sz="0" w:space="0" w:color="auto"/>
        <w:right w:val="none" w:sz="0" w:space="0" w:color="auto"/>
      </w:divBdr>
    </w:div>
    <w:div w:id="1898971804">
      <w:bodyDiv w:val="1"/>
      <w:marLeft w:val="0"/>
      <w:marRight w:val="0"/>
      <w:marTop w:val="0"/>
      <w:marBottom w:val="0"/>
      <w:divBdr>
        <w:top w:val="none" w:sz="0" w:space="0" w:color="auto"/>
        <w:left w:val="none" w:sz="0" w:space="0" w:color="auto"/>
        <w:bottom w:val="none" w:sz="0" w:space="0" w:color="auto"/>
        <w:right w:val="none" w:sz="0" w:space="0" w:color="auto"/>
      </w:divBdr>
    </w:div>
    <w:div w:id="1906258928">
      <w:bodyDiv w:val="1"/>
      <w:marLeft w:val="0"/>
      <w:marRight w:val="0"/>
      <w:marTop w:val="0"/>
      <w:marBottom w:val="0"/>
      <w:divBdr>
        <w:top w:val="none" w:sz="0" w:space="0" w:color="auto"/>
        <w:left w:val="none" w:sz="0" w:space="0" w:color="auto"/>
        <w:bottom w:val="none" w:sz="0" w:space="0" w:color="auto"/>
        <w:right w:val="none" w:sz="0" w:space="0" w:color="auto"/>
      </w:divBdr>
      <w:divsChild>
        <w:div w:id="795149061">
          <w:marLeft w:val="1080"/>
          <w:marRight w:val="0"/>
          <w:marTop w:val="100"/>
          <w:marBottom w:val="0"/>
          <w:divBdr>
            <w:top w:val="none" w:sz="0" w:space="0" w:color="auto"/>
            <w:left w:val="none" w:sz="0" w:space="0" w:color="auto"/>
            <w:bottom w:val="none" w:sz="0" w:space="0" w:color="auto"/>
            <w:right w:val="none" w:sz="0" w:space="0" w:color="auto"/>
          </w:divBdr>
        </w:div>
      </w:divsChild>
    </w:div>
    <w:div w:id="1996520565">
      <w:bodyDiv w:val="1"/>
      <w:marLeft w:val="0"/>
      <w:marRight w:val="0"/>
      <w:marTop w:val="0"/>
      <w:marBottom w:val="0"/>
      <w:divBdr>
        <w:top w:val="none" w:sz="0" w:space="0" w:color="auto"/>
        <w:left w:val="none" w:sz="0" w:space="0" w:color="auto"/>
        <w:bottom w:val="none" w:sz="0" w:space="0" w:color="auto"/>
        <w:right w:val="none" w:sz="0" w:space="0" w:color="auto"/>
      </w:divBdr>
    </w:div>
    <w:div w:id="2015064988">
      <w:bodyDiv w:val="1"/>
      <w:marLeft w:val="0"/>
      <w:marRight w:val="0"/>
      <w:marTop w:val="0"/>
      <w:marBottom w:val="0"/>
      <w:divBdr>
        <w:top w:val="none" w:sz="0" w:space="0" w:color="auto"/>
        <w:left w:val="none" w:sz="0" w:space="0" w:color="auto"/>
        <w:bottom w:val="none" w:sz="0" w:space="0" w:color="auto"/>
        <w:right w:val="none" w:sz="0" w:space="0" w:color="auto"/>
      </w:divBdr>
    </w:div>
    <w:div w:id="2098936956">
      <w:bodyDiv w:val="1"/>
      <w:marLeft w:val="0"/>
      <w:marRight w:val="0"/>
      <w:marTop w:val="0"/>
      <w:marBottom w:val="0"/>
      <w:divBdr>
        <w:top w:val="none" w:sz="0" w:space="0" w:color="auto"/>
        <w:left w:val="none" w:sz="0" w:space="0" w:color="auto"/>
        <w:bottom w:val="none" w:sz="0" w:space="0" w:color="auto"/>
        <w:right w:val="none" w:sz="0" w:space="0" w:color="auto"/>
      </w:divBdr>
      <w:divsChild>
        <w:div w:id="454835384">
          <w:marLeft w:val="547"/>
          <w:marRight w:val="0"/>
          <w:marTop w:val="0"/>
          <w:marBottom w:val="0"/>
          <w:divBdr>
            <w:top w:val="none" w:sz="0" w:space="0" w:color="auto"/>
            <w:left w:val="none" w:sz="0" w:space="0" w:color="auto"/>
            <w:bottom w:val="none" w:sz="0" w:space="0" w:color="auto"/>
            <w:right w:val="none" w:sz="0" w:space="0" w:color="auto"/>
          </w:divBdr>
        </w:div>
        <w:div w:id="566458648">
          <w:marLeft w:val="547"/>
          <w:marRight w:val="0"/>
          <w:marTop w:val="0"/>
          <w:marBottom w:val="0"/>
          <w:divBdr>
            <w:top w:val="none" w:sz="0" w:space="0" w:color="auto"/>
            <w:left w:val="none" w:sz="0" w:space="0" w:color="auto"/>
            <w:bottom w:val="none" w:sz="0" w:space="0" w:color="auto"/>
            <w:right w:val="none" w:sz="0" w:space="0" w:color="auto"/>
          </w:divBdr>
        </w:div>
      </w:divsChild>
    </w:div>
    <w:div w:id="2119177336">
      <w:bodyDiv w:val="1"/>
      <w:marLeft w:val="0"/>
      <w:marRight w:val="0"/>
      <w:marTop w:val="0"/>
      <w:marBottom w:val="0"/>
      <w:divBdr>
        <w:top w:val="none" w:sz="0" w:space="0" w:color="auto"/>
        <w:left w:val="none" w:sz="0" w:space="0" w:color="auto"/>
        <w:bottom w:val="none" w:sz="0" w:space="0" w:color="auto"/>
        <w:right w:val="none" w:sz="0" w:space="0" w:color="auto"/>
      </w:divBdr>
      <w:divsChild>
        <w:div w:id="1304312272">
          <w:marLeft w:val="547"/>
          <w:marRight w:val="0"/>
          <w:marTop w:val="0"/>
          <w:marBottom w:val="0"/>
          <w:divBdr>
            <w:top w:val="none" w:sz="0" w:space="0" w:color="auto"/>
            <w:left w:val="none" w:sz="0" w:space="0" w:color="auto"/>
            <w:bottom w:val="none" w:sz="0" w:space="0" w:color="auto"/>
            <w:right w:val="none" w:sz="0" w:space="0" w:color="auto"/>
          </w:divBdr>
        </w:div>
      </w:divsChild>
    </w:div>
    <w:div w:id="21337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EFCE-D556-D443-9BFE-692018BA909D}">
  <ds:schemaRefs>
    <ds:schemaRef ds:uri="http://schemas.openxmlformats.org/officeDocument/2006/bibliography"/>
  </ds:schemaRefs>
</ds:datastoreItem>
</file>

<file path=customXml/itemProps2.xml><?xml version="1.0" encoding="utf-8"?>
<ds:datastoreItem xmlns:ds="http://schemas.openxmlformats.org/officeDocument/2006/customXml" ds:itemID="{27D575AF-BB17-47AA-A292-16853B171E3F}">
  <ds:schemaRefs>
    <ds:schemaRef ds:uri="http://schemas.openxmlformats.org/officeDocument/2006/bibliography"/>
  </ds:schemaRefs>
</ds:datastoreItem>
</file>

<file path=customXml/itemProps3.xml><?xml version="1.0" encoding="utf-8"?>
<ds:datastoreItem xmlns:ds="http://schemas.openxmlformats.org/officeDocument/2006/customXml" ds:itemID="{1AF79ADC-95CD-4867-B591-4F55EFED47BE}">
  <ds:schemaRefs>
    <ds:schemaRef ds:uri="http://schemas.openxmlformats.org/officeDocument/2006/bibliography"/>
  </ds:schemaRefs>
</ds:datastoreItem>
</file>

<file path=customXml/itemProps4.xml><?xml version="1.0" encoding="utf-8"?>
<ds:datastoreItem xmlns:ds="http://schemas.openxmlformats.org/officeDocument/2006/customXml" ds:itemID="{2FBA5436-E912-4CEB-947E-A13134604046}">
  <ds:schemaRefs>
    <ds:schemaRef ds:uri="http://schemas.openxmlformats.org/officeDocument/2006/bibliography"/>
  </ds:schemaRefs>
</ds:datastoreItem>
</file>

<file path=customXml/itemProps5.xml><?xml version="1.0" encoding="utf-8"?>
<ds:datastoreItem xmlns:ds="http://schemas.openxmlformats.org/officeDocument/2006/customXml" ds:itemID="{9AFFCAEC-4737-4E7A-AA5A-5441024F3851}">
  <ds:schemaRefs>
    <ds:schemaRef ds:uri="http://schemas.openxmlformats.org/officeDocument/2006/bibliography"/>
  </ds:schemaRefs>
</ds:datastoreItem>
</file>

<file path=customXml/itemProps6.xml><?xml version="1.0" encoding="utf-8"?>
<ds:datastoreItem xmlns:ds="http://schemas.openxmlformats.org/officeDocument/2006/customXml" ds:itemID="{E8DE454D-C885-4919-9723-4FBB3655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cp:lastModifiedBy>Svetlana Iazykova</cp:lastModifiedBy>
  <cp:revision>3</cp:revision>
  <cp:lastPrinted>2017-10-03T01:14:00Z</cp:lastPrinted>
  <dcterms:created xsi:type="dcterms:W3CDTF">2017-10-17T15:26:00Z</dcterms:created>
  <dcterms:modified xsi:type="dcterms:W3CDTF">2017-10-17T15:27:00Z</dcterms:modified>
</cp:coreProperties>
</file>