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CB62C" w14:textId="15C76FE7" w:rsidR="003E700A" w:rsidRPr="00B04183" w:rsidRDefault="00910F3F" w:rsidP="00882905">
      <w:pPr>
        <w:spacing w:before="240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B04183">
        <w:rPr>
          <w:rFonts w:ascii="Times New Roman" w:hAnsi="Times New Roman"/>
          <w:b/>
          <w:sz w:val="20"/>
          <w:szCs w:val="20"/>
        </w:rPr>
        <w:t>Criteria supporting IAIG’s audit opinion</w:t>
      </w:r>
    </w:p>
    <w:p w14:paraId="4DA5A3AE" w14:textId="5D51A4A6" w:rsidR="00910F3F" w:rsidRPr="001733D4" w:rsidRDefault="00910F3F" w:rsidP="00910F3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0"/>
          <w:szCs w:val="20"/>
          <w:lang w:val="en-GB"/>
        </w:rPr>
      </w:pPr>
      <w:r w:rsidRPr="001733D4">
        <w:rPr>
          <w:rFonts w:asciiTheme="majorBidi" w:hAnsiTheme="majorBidi" w:cstheme="majorBidi"/>
          <w:sz w:val="20"/>
          <w:szCs w:val="20"/>
          <w:lang w:val="en-GB"/>
        </w:rPr>
        <w:t>In accordance with E</w:t>
      </w:r>
      <w:r w:rsidR="009C6207" w:rsidRPr="001733D4">
        <w:rPr>
          <w:rFonts w:asciiTheme="majorBidi" w:hAnsiTheme="majorBidi" w:cstheme="majorBidi"/>
          <w:sz w:val="20"/>
          <w:szCs w:val="20"/>
          <w:lang w:val="en-GB"/>
        </w:rPr>
        <w:t xml:space="preserve">xecutive Board </w:t>
      </w:r>
      <w:r w:rsidR="001733D4">
        <w:rPr>
          <w:rFonts w:asciiTheme="majorBidi" w:hAnsiTheme="majorBidi" w:cstheme="majorBidi"/>
          <w:sz w:val="20"/>
          <w:szCs w:val="20"/>
          <w:lang w:val="en-GB"/>
        </w:rPr>
        <w:t>d</w:t>
      </w:r>
      <w:r w:rsidR="009C6207" w:rsidRPr="001733D4">
        <w:rPr>
          <w:rFonts w:asciiTheme="majorBidi" w:hAnsiTheme="majorBidi" w:cstheme="majorBidi"/>
          <w:sz w:val="20"/>
          <w:szCs w:val="20"/>
          <w:lang w:val="en-GB"/>
        </w:rPr>
        <w:t>ecision 2015/13</w:t>
      </w:r>
      <w:r w:rsidRPr="001733D4">
        <w:rPr>
          <w:rFonts w:asciiTheme="majorBidi" w:hAnsiTheme="majorBidi" w:cstheme="majorBidi"/>
          <w:sz w:val="20"/>
          <w:szCs w:val="20"/>
          <w:lang w:val="en-GB"/>
        </w:rPr>
        <w:t xml:space="preserve">, IAIG </w:t>
      </w:r>
      <w:r w:rsidR="00B152B2" w:rsidRPr="001733D4">
        <w:rPr>
          <w:rFonts w:asciiTheme="majorBidi" w:hAnsiTheme="majorBidi" w:cstheme="majorBidi"/>
          <w:sz w:val="20"/>
          <w:szCs w:val="20"/>
          <w:lang w:val="en-GB"/>
        </w:rPr>
        <w:t xml:space="preserve">has </w:t>
      </w:r>
      <w:r w:rsidRPr="001733D4">
        <w:rPr>
          <w:rFonts w:asciiTheme="majorBidi" w:hAnsiTheme="majorBidi" w:cstheme="majorBidi"/>
          <w:sz w:val="20"/>
          <w:szCs w:val="20"/>
          <w:lang w:val="en-GB"/>
        </w:rPr>
        <w:t xml:space="preserve">provided an opinion in this </w:t>
      </w:r>
      <w:r w:rsidR="001733D4">
        <w:rPr>
          <w:rFonts w:asciiTheme="majorBidi" w:hAnsiTheme="majorBidi" w:cstheme="majorBidi"/>
          <w:sz w:val="20"/>
          <w:szCs w:val="20"/>
          <w:lang w:val="en-GB"/>
        </w:rPr>
        <w:t>a</w:t>
      </w:r>
      <w:r w:rsidRPr="001733D4">
        <w:rPr>
          <w:rFonts w:asciiTheme="majorBidi" w:hAnsiTheme="majorBidi" w:cstheme="majorBidi"/>
          <w:sz w:val="20"/>
          <w:szCs w:val="20"/>
          <w:lang w:val="en-GB"/>
        </w:rPr>
        <w:t xml:space="preserve">nnual </w:t>
      </w:r>
      <w:r w:rsidR="001733D4">
        <w:rPr>
          <w:rFonts w:asciiTheme="majorBidi" w:hAnsiTheme="majorBidi" w:cstheme="majorBidi"/>
          <w:sz w:val="20"/>
          <w:szCs w:val="20"/>
          <w:lang w:val="en-GB"/>
        </w:rPr>
        <w:t>r</w:t>
      </w:r>
      <w:r w:rsidRPr="001733D4">
        <w:rPr>
          <w:rFonts w:asciiTheme="majorBidi" w:hAnsiTheme="majorBidi" w:cstheme="majorBidi"/>
          <w:sz w:val="20"/>
          <w:szCs w:val="20"/>
          <w:lang w:val="en-GB"/>
        </w:rPr>
        <w:t>eport, based on</w:t>
      </w:r>
      <w:r w:rsidR="001733D4">
        <w:rPr>
          <w:rFonts w:asciiTheme="majorBidi" w:hAnsiTheme="majorBidi" w:cstheme="majorBidi"/>
          <w:sz w:val="20"/>
          <w:szCs w:val="20"/>
          <w:lang w:val="en-GB"/>
        </w:rPr>
        <w:t>:</w:t>
      </w:r>
      <w:r w:rsidRPr="001733D4">
        <w:rPr>
          <w:rFonts w:asciiTheme="majorBidi" w:hAnsiTheme="majorBidi" w:cstheme="majorBidi"/>
          <w:sz w:val="20"/>
          <w:szCs w:val="20"/>
          <w:lang w:val="en-GB"/>
        </w:rPr>
        <w:t xml:space="preserve"> the scope of work undertaken, </w:t>
      </w:r>
      <w:r w:rsidR="001733D4">
        <w:rPr>
          <w:rFonts w:asciiTheme="majorBidi" w:hAnsiTheme="majorBidi" w:cstheme="majorBidi"/>
          <w:sz w:val="20"/>
          <w:szCs w:val="20"/>
          <w:lang w:val="en-GB"/>
        </w:rPr>
        <w:t xml:space="preserve">and </w:t>
      </w:r>
      <w:r w:rsidRPr="001733D4">
        <w:rPr>
          <w:rFonts w:asciiTheme="majorBidi" w:hAnsiTheme="majorBidi" w:cstheme="majorBidi"/>
          <w:sz w:val="20"/>
          <w:szCs w:val="20"/>
          <w:lang w:val="en-GB"/>
        </w:rPr>
        <w:t>the adequacy and effectiveness of the organization’s framework of governance, ris</w:t>
      </w:r>
      <w:r w:rsidR="009C6207" w:rsidRPr="001733D4">
        <w:rPr>
          <w:rFonts w:asciiTheme="majorBidi" w:hAnsiTheme="majorBidi" w:cstheme="majorBidi"/>
          <w:sz w:val="20"/>
          <w:szCs w:val="20"/>
          <w:lang w:val="en-GB"/>
        </w:rPr>
        <w:t>k management and control. Further</w:t>
      </w:r>
      <w:r w:rsidR="001733D4">
        <w:rPr>
          <w:rFonts w:asciiTheme="majorBidi" w:hAnsiTheme="majorBidi" w:cstheme="majorBidi"/>
          <w:sz w:val="20"/>
          <w:szCs w:val="20"/>
          <w:lang w:val="en-GB"/>
        </w:rPr>
        <w:t>more</w:t>
      </w:r>
      <w:r w:rsidR="009C6207" w:rsidRPr="001733D4">
        <w:rPr>
          <w:rFonts w:asciiTheme="majorBidi" w:hAnsiTheme="majorBidi" w:cstheme="majorBidi"/>
          <w:sz w:val="20"/>
          <w:szCs w:val="20"/>
          <w:lang w:val="en-GB"/>
        </w:rPr>
        <w:t xml:space="preserve">, in accordance with Executive Board </w:t>
      </w:r>
      <w:r w:rsidR="001733D4">
        <w:rPr>
          <w:rFonts w:asciiTheme="majorBidi" w:hAnsiTheme="majorBidi" w:cstheme="majorBidi"/>
          <w:sz w:val="20"/>
          <w:szCs w:val="20"/>
          <w:lang w:val="en-GB"/>
        </w:rPr>
        <w:t>d</w:t>
      </w:r>
      <w:r w:rsidR="009C6207" w:rsidRPr="001733D4">
        <w:rPr>
          <w:rFonts w:asciiTheme="majorBidi" w:hAnsiTheme="majorBidi" w:cstheme="majorBidi"/>
          <w:sz w:val="20"/>
          <w:szCs w:val="20"/>
          <w:lang w:val="en-GB"/>
        </w:rPr>
        <w:t xml:space="preserve">ecision 2016/13, IAIG herewith provides the rationale for </w:t>
      </w:r>
      <w:r w:rsidR="00B152B2" w:rsidRPr="001733D4">
        <w:rPr>
          <w:rFonts w:asciiTheme="majorBidi" w:hAnsiTheme="majorBidi" w:cstheme="majorBidi"/>
          <w:sz w:val="20"/>
          <w:szCs w:val="20"/>
          <w:lang w:val="en-GB"/>
        </w:rPr>
        <w:t xml:space="preserve">this </w:t>
      </w:r>
      <w:r w:rsidR="009C6207" w:rsidRPr="001733D4">
        <w:rPr>
          <w:rFonts w:asciiTheme="majorBidi" w:hAnsiTheme="majorBidi" w:cstheme="majorBidi"/>
          <w:sz w:val="20"/>
          <w:szCs w:val="20"/>
          <w:lang w:val="en-GB"/>
        </w:rPr>
        <w:t xml:space="preserve">opinion. </w:t>
      </w:r>
      <w:r w:rsidRPr="001733D4">
        <w:rPr>
          <w:rFonts w:asciiTheme="majorBidi" w:hAnsiTheme="majorBidi" w:cstheme="majorBidi"/>
          <w:sz w:val="20"/>
          <w:szCs w:val="20"/>
          <w:lang w:val="en-GB"/>
        </w:rPr>
        <w:t xml:space="preserve">The summary of the audit work performed is provided in the body of the </w:t>
      </w:r>
      <w:r w:rsidR="001733D4">
        <w:rPr>
          <w:rFonts w:asciiTheme="majorBidi" w:hAnsiTheme="majorBidi" w:cstheme="majorBidi"/>
          <w:sz w:val="20"/>
          <w:szCs w:val="20"/>
          <w:lang w:val="en-GB"/>
        </w:rPr>
        <w:t>a</w:t>
      </w:r>
      <w:r w:rsidR="00B152B2" w:rsidRPr="001733D4">
        <w:rPr>
          <w:rFonts w:asciiTheme="majorBidi" w:hAnsiTheme="majorBidi" w:cstheme="majorBidi"/>
          <w:sz w:val="20"/>
          <w:szCs w:val="20"/>
          <w:lang w:val="en-GB"/>
        </w:rPr>
        <w:t xml:space="preserve">nnual </w:t>
      </w:r>
      <w:r w:rsidR="001733D4">
        <w:rPr>
          <w:rFonts w:asciiTheme="majorBidi" w:hAnsiTheme="majorBidi" w:cstheme="majorBidi"/>
          <w:sz w:val="20"/>
          <w:szCs w:val="20"/>
          <w:lang w:val="en-GB"/>
        </w:rPr>
        <w:t>r</w:t>
      </w:r>
      <w:r w:rsidR="00B152B2" w:rsidRPr="001733D4">
        <w:rPr>
          <w:rFonts w:asciiTheme="majorBidi" w:hAnsiTheme="majorBidi" w:cstheme="majorBidi"/>
          <w:sz w:val="20"/>
          <w:szCs w:val="20"/>
          <w:lang w:val="en-GB"/>
        </w:rPr>
        <w:t>eport</w:t>
      </w:r>
      <w:r w:rsidRPr="001733D4">
        <w:rPr>
          <w:rFonts w:asciiTheme="majorBidi" w:hAnsiTheme="majorBidi" w:cstheme="majorBidi"/>
          <w:sz w:val="20"/>
          <w:szCs w:val="20"/>
          <w:lang w:val="en-GB"/>
        </w:rPr>
        <w:t xml:space="preserve">, essentially under </w:t>
      </w:r>
      <w:r w:rsidR="001733D4">
        <w:rPr>
          <w:rFonts w:asciiTheme="majorBidi" w:hAnsiTheme="majorBidi" w:cstheme="majorBidi"/>
          <w:sz w:val="20"/>
          <w:szCs w:val="20"/>
          <w:lang w:val="en-GB"/>
        </w:rPr>
        <w:t>s</w:t>
      </w:r>
      <w:r w:rsidRPr="001733D4">
        <w:rPr>
          <w:rFonts w:asciiTheme="majorBidi" w:hAnsiTheme="majorBidi" w:cstheme="majorBidi"/>
          <w:sz w:val="20"/>
          <w:szCs w:val="20"/>
          <w:lang w:val="en-GB"/>
        </w:rPr>
        <w:t>ection V. This annex provide</w:t>
      </w:r>
      <w:r w:rsidR="00204845" w:rsidRPr="001733D4">
        <w:rPr>
          <w:rFonts w:asciiTheme="majorBidi" w:hAnsiTheme="majorBidi" w:cstheme="majorBidi"/>
          <w:sz w:val="20"/>
          <w:szCs w:val="20"/>
          <w:lang w:val="en-GB"/>
        </w:rPr>
        <w:t>s</w:t>
      </w:r>
      <w:r w:rsidRPr="001733D4">
        <w:rPr>
          <w:rFonts w:asciiTheme="majorBidi" w:hAnsiTheme="majorBidi" w:cstheme="majorBidi"/>
          <w:sz w:val="20"/>
          <w:szCs w:val="20"/>
          <w:lang w:val="en-GB"/>
        </w:rPr>
        <w:t xml:space="preserve"> a brief description of the criteria used to support the IAIG opinion.</w:t>
      </w:r>
    </w:p>
    <w:p w14:paraId="6685210D" w14:textId="77777777" w:rsidR="00910F3F" w:rsidRPr="001733D4" w:rsidRDefault="00910F3F" w:rsidP="00910F3F">
      <w:pPr>
        <w:pStyle w:val="ListParagraph"/>
        <w:rPr>
          <w:rFonts w:asciiTheme="majorBidi" w:hAnsiTheme="majorBidi" w:cstheme="majorBidi"/>
          <w:sz w:val="20"/>
          <w:szCs w:val="20"/>
          <w:lang w:val="en-GB"/>
        </w:rPr>
      </w:pPr>
    </w:p>
    <w:p w14:paraId="1C51DD92" w14:textId="20264AD9" w:rsidR="00910F3F" w:rsidRPr="001733D4" w:rsidRDefault="00910F3F" w:rsidP="00910F3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0"/>
          <w:szCs w:val="20"/>
          <w:lang w:val="en-GB"/>
        </w:rPr>
      </w:pPr>
      <w:r w:rsidRPr="001733D4">
        <w:rPr>
          <w:rFonts w:asciiTheme="majorBidi" w:hAnsiTheme="majorBidi" w:cstheme="majorBidi"/>
          <w:sz w:val="20"/>
          <w:szCs w:val="20"/>
          <w:lang w:val="en-GB"/>
        </w:rPr>
        <w:t>The results of the following are ta</w:t>
      </w:r>
      <w:r w:rsidR="00E070B7" w:rsidRPr="001733D4">
        <w:rPr>
          <w:rFonts w:asciiTheme="majorBidi" w:hAnsiTheme="majorBidi" w:cstheme="majorBidi"/>
          <w:sz w:val="20"/>
          <w:szCs w:val="20"/>
          <w:lang w:val="en-GB"/>
        </w:rPr>
        <w:t xml:space="preserve">ken into account to support </w:t>
      </w:r>
      <w:r w:rsidR="001733D4">
        <w:rPr>
          <w:rFonts w:asciiTheme="majorBidi" w:hAnsiTheme="majorBidi" w:cstheme="majorBidi"/>
          <w:sz w:val="20"/>
          <w:szCs w:val="20"/>
          <w:lang w:val="en-GB"/>
        </w:rPr>
        <w:t xml:space="preserve">the </w:t>
      </w:r>
      <w:r w:rsidR="00E070B7" w:rsidRPr="001733D4">
        <w:rPr>
          <w:rFonts w:asciiTheme="majorBidi" w:hAnsiTheme="majorBidi" w:cstheme="majorBidi"/>
          <w:sz w:val="20"/>
          <w:szCs w:val="20"/>
          <w:lang w:val="en-GB"/>
        </w:rPr>
        <w:t xml:space="preserve">IAIG </w:t>
      </w:r>
      <w:r w:rsidRPr="001733D4">
        <w:rPr>
          <w:rFonts w:asciiTheme="majorBidi" w:hAnsiTheme="majorBidi" w:cstheme="majorBidi"/>
          <w:sz w:val="20"/>
          <w:szCs w:val="20"/>
          <w:lang w:val="en-GB"/>
        </w:rPr>
        <w:t xml:space="preserve">opinion:   </w:t>
      </w:r>
    </w:p>
    <w:p w14:paraId="0BADE875" w14:textId="77777777" w:rsidR="00910F3F" w:rsidRPr="001733D4" w:rsidRDefault="00910F3F" w:rsidP="00B04183">
      <w:pPr>
        <w:pStyle w:val="SingleTxt"/>
        <w:numPr>
          <w:ilvl w:val="1"/>
          <w:numId w:val="5"/>
        </w:numPr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pos="-426"/>
          <w:tab w:val="left" w:pos="-284"/>
          <w:tab w:val="left" w:pos="1800"/>
        </w:tabs>
        <w:spacing w:after="60"/>
        <w:ind w:right="0"/>
        <w:rPr>
          <w:bCs/>
        </w:rPr>
      </w:pPr>
      <w:r w:rsidRPr="001733D4">
        <w:t xml:space="preserve">Audits of field offices; </w:t>
      </w:r>
    </w:p>
    <w:p w14:paraId="29BB8FBF" w14:textId="77777777" w:rsidR="00910F3F" w:rsidRPr="001733D4" w:rsidRDefault="00910F3F" w:rsidP="00B04183">
      <w:pPr>
        <w:pStyle w:val="SingleTxt"/>
        <w:numPr>
          <w:ilvl w:val="1"/>
          <w:numId w:val="5"/>
        </w:numPr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pos="-426"/>
          <w:tab w:val="left" w:pos="-284"/>
          <w:tab w:val="left" w:pos="1800"/>
        </w:tabs>
        <w:spacing w:after="60"/>
        <w:ind w:right="0"/>
        <w:rPr>
          <w:bCs/>
        </w:rPr>
      </w:pPr>
      <w:r w:rsidRPr="001733D4">
        <w:t>Audits of cross-functional themes;</w:t>
      </w:r>
    </w:p>
    <w:p w14:paraId="3B741053" w14:textId="77777777" w:rsidR="00882D63" w:rsidRPr="001733D4" w:rsidRDefault="00910F3F" w:rsidP="00B04183">
      <w:pPr>
        <w:pStyle w:val="SingleTxt"/>
        <w:numPr>
          <w:ilvl w:val="1"/>
          <w:numId w:val="5"/>
        </w:numPr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pos="-426"/>
          <w:tab w:val="left" w:pos="-284"/>
          <w:tab w:val="left" w:pos="1800"/>
        </w:tabs>
        <w:spacing w:after="60"/>
        <w:ind w:right="0"/>
        <w:rPr>
          <w:bCs/>
        </w:rPr>
      </w:pPr>
      <w:r w:rsidRPr="001733D4">
        <w:t>Audits of projects;</w:t>
      </w:r>
    </w:p>
    <w:p w14:paraId="1B86518E" w14:textId="781238CD" w:rsidR="00910F3F" w:rsidRPr="001733D4" w:rsidRDefault="00882D63" w:rsidP="00B04183">
      <w:pPr>
        <w:pStyle w:val="SingleTxt"/>
        <w:numPr>
          <w:ilvl w:val="1"/>
          <w:numId w:val="5"/>
        </w:numPr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pos="-426"/>
          <w:tab w:val="left" w:pos="-284"/>
          <w:tab w:val="left" w:pos="1800"/>
        </w:tabs>
        <w:spacing w:after="60"/>
        <w:ind w:right="0"/>
        <w:rPr>
          <w:bCs/>
        </w:rPr>
      </w:pPr>
      <w:r w:rsidRPr="001733D4">
        <w:t>IAIG continuous auditing and data analytics programme; and</w:t>
      </w:r>
    </w:p>
    <w:p w14:paraId="0AF36CC9" w14:textId="77777777" w:rsidR="00910F3F" w:rsidRPr="001733D4" w:rsidRDefault="00910F3F" w:rsidP="00B04183">
      <w:pPr>
        <w:pStyle w:val="SingleTxt"/>
        <w:numPr>
          <w:ilvl w:val="1"/>
          <w:numId w:val="5"/>
        </w:numPr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pos="-426"/>
          <w:tab w:val="left" w:pos="-284"/>
          <w:tab w:val="left" w:pos="1800"/>
        </w:tabs>
        <w:spacing w:after="60"/>
        <w:ind w:right="0"/>
        <w:rPr>
          <w:bCs/>
        </w:rPr>
      </w:pPr>
      <w:r w:rsidRPr="001733D4">
        <w:t>The implementation status of audit recommendations as at the end of the calendar year.</w:t>
      </w:r>
    </w:p>
    <w:p w14:paraId="37A11756" w14:textId="77777777" w:rsidR="00910F3F" w:rsidRPr="001733D4" w:rsidRDefault="00910F3F" w:rsidP="00910F3F">
      <w:pPr>
        <w:pStyle w:val="ListParagraph"/>
        <w:rPr>
          <w:rFonts w:asciiTheme="majorBidi" w:hAnsiTheme="majorBidi" w:cstheme="majorBidi"/>
          <w:sz w:val="20"/>
          <w:szCs w:val="20"/>
          <w:lang w:val="en-GB"/>
        </w:rPr>
      </w:pPr>
    </w:p>
    <w:p w14:paraId="3A09208C" w14:textId="6036BA28" w:rsidR="00910F3F" w:rsidRPr="001733D4" w:rsidRDefault="00910F3F" w:rsidP="00374F1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0"/>
          <w:szCs w:val="20"/>
          <w:lang w:val="en-GB"/>
        </w:rPr>
      </w:pPr>
      <w:r w:rsidRPr="001733D4">
        <w:rPr>
          <w:rFonts w:asciiTheme="majorBidi" w:hAnsiTheme="majorBidi" w:cstheme="majorBidi"/>
          <w:sz w:val="20"/>
          <w:szCs w:val="20"/>
          <w:lang w:val="en-GB"/>
        </w:rPr>
        <w:t>The distribution of</w:t>
      </w:r>
      <w:r w:rsidR="00374F13" w:rsidRPr="001733D4">
        <w:rPr>
          <w:sz w:val="20"/>
          <w:szCs w:val="20"/>
          <w:lang w:val="en-GB"/>
        </w:rPr>
        <w:t xml:space="preserve"> </w:t>
      </w:r>
      <w:r w:rsidR="00CC1698" w:rsidRPr="001733D4">
        <w:rPr>
          <w:sz w:val="20"/>
          <w:szCs w:val="20"/>
          <w:lang w:val="en-GB"/>
        </w:rPr>
        <w:t xml:space="preserve">2017 </w:t>
      </w:r>
      <w:r w:rsidRPr="001733D4">
        <w:rPr>
          <w:sz w:val="20"/>
          <w:szCs w:val="20"/>
          <w:lang w:val="en-GB"/>
        </w:rPr>
        <w:t>audit results regarding the adequacy and effectiveness of the governance, risk management and control at the audited entity level</w:t>
      </w:r>
      <w:r w:rsidRPr="001733D4">
        <w:rPr>
          <w:rFonts w:asciiTheme="majorBidi" w:hAnsiTheme="majorBidi" w:cstheme="majorBidi"/>
          <w:sz w:val="20"/>
          <w:szCs w:val="20"/>
          <w:lang w:val="en-GB"/>
        </w:rPr>
        <w:t xml:space="preserve"> is shown in </w:t>
      </w:r>
      <w:r w:rsidR="001733D4">
        <w:rPr>
          <w:rFonts w:asciiTheme="majorBidi" w:hAnsiTheme="majorBidi" w:cstheme="majorBidi"/>
          <w:sz w:val="20"/>
          <w:szCs w:val="20"/>
          <w:lang w:val="en-GB"/>
        </w:rPr>
        <w:t>t</w:t>
      </w:r>
      <w:r w:rsidR="00374F13" w:rsidRPr="001733D4">
        <w:rPr>
          <w:rFonts w:asciiTheme="majorBidi" w:hAnsiTheme="majorBidi" w:cstheme="majorBidi"/>
          <w:sz w:val="20"/>
          <w:szCs w:val="20"/>
          <w:lang w:val="en-GB"/>
        </w:rPr>
        <w:t>able 2</w:t>
      </w:r>
      <w:r w:rsidR="008435B0" w:rsidRPr="001733D4">
        <w:rPr>
          <w:rFonts w:asciiTheme="majorBidi" w:hAnsiTheme="majorBidi" w:cstheme="majorBidi"/>
          <w:sz w:val="20"/>
          <w:szCs w:val="20"/>
          <w:lang w:val="en-GB"/>
        </w:rPr>
        <w:t>. Further</w:t>
      </w:r>
      <w:r w:rsidR="001733D4">
        <w:rPr>
          <w:rFonts w:asciiTheme="majorBidi" w:hAnsiTheme="majorBidi" w:cstheme="majorBidi"/>
          <w:sz w:val="20"/>
          <w:szCs w:val="20"/>
          <w:lang w:val="en-GB"/>
        </w:rPr>
        <w:t>more</w:t>
      </w:r>
      <w:r w:rsidR="008435B0" w:rsidRPr="001733D4">
        <w:rPr>
          <w:rFonts w:asciiTheme="majorBidi" w:hAnsiTheme="majorBidi" w:cstheme="majorBidi"/>
          <w:sz w:val="20"/>
          <w:szCs w:val="20"/>
          <w:lang w:val="en-GB"/>
        </w:rPr>
        <w:t xml:space="preserve">, </w:t>
      </w:r>
      <w:r w:rsidR="001733D4">
        <w:rPr>
          <w:rFonts w:asciiTheme="majorBidi" w:hAnsiTheme="majorBidi" w:cstheme="majorBidi"/>
          <w:sz w:val="20"/>
          <w:szCs w:val="20"/>
          <w:lang w:val="en-GB"/>
        </w:rPr>
        <w:t>t</w:t>
      </w:r>
      <w:r w:rsidR="00374F13" w:rsidRPr="001733D4">
        <w:rPr>
          <w:rFonts w:asciiTheme="majorBidi" w:hAnsiTheme="majorBidi" w:cstheme="majorBidi"/>
          <w:sz w:val="20"/>
          <w:szCs w:val="20"/>
          <w:lang w:val="en-GB"/>
        </w:rPr>
        <w:t>able 5</w:t>
      </w:r>
      <w:r w:rsidRPr="001733D4">
        <w:rPr>
          <w:rFonts w:asciiTheme="majorBidi" w:hAnsiTheme="majorBidi" w:cstheme="majorBidi"/>
          <w:sz w:val="20"/>
          <w:szCs w:val="20"/>
          <w:lang w:val="en-GB"/>
        </w:rPr>
        <w:t xml:space="preserve"> in </w:t>
      </w:r>
      <w:r w:rsidR="001733D4">
        <w:rPr>
          <w:rFonts w:asciiTheme="majorBidi" w:hAnsiTheme="majorBidi" w:cstheme="majorBidi"/>
          <w:sz w:val="20"/>
          <w:szCs w:val="20"/>
          <w:lang w:val="en-GB"/>
        </w:rPr>
        <w:t xml:space="preserve">the </w:t>
      </w:r>
      <w:r w:rsidR="00374F13" w:rsidRPr="001733D4">
        <w:rPr>
          <w:rFonts w:asciiTheme="majorBidi" w:hAnsiTheme="majorBidi" w:cstheme="majorBidi"/>
          <w:sz w:val="20"/>
          <w:szCs w:val="20"/>
          <w:lang w:val="en-GB"/>
        </w:rPr>
        <w:t xml:space="preserve">IAIG </w:t>
      </w:r>
      <w:r w:rsidR="001733D4">
        <w:rPr>
          <w:rFonts w:asciiTheme="majorBidi" w:hAnsiTheme="majorBidi" w:cstheme="majorBidi"/>
          <w:sz w:val="20"/>
          <w:szCs w:val="20"/>
          <w:lang w:val="en-GB"/>
        </w:rPr>
        <w:t>a</w:t>
      </w:r>
      <w:r w:rsidR="00374F13" w:rsidRPr="001733D4">
        <w:rPr>
          <w:rFonts w:asciiTheme="majorBidi" w:hAnsiTheme="majorBidi" w:cstheme="majorBidi"/>
          <w:sz w:val="20"/>
          <w:szCs w:val="20"/>
          <w:lang w:val="en-GB"/>
        </w:rPr>
        <w:t xml:space="preserve">nnual </w:t>
      </w:r>
      <w:r w:rsidR="001733D4">
        <w:rPr>
          <w:rFonts w:asciiTheme="majorBidi" w:hAnsiTheme="majorBidi" w:cstheme="majorBidi"/>
          <w:sz w:val="20"/>
          <w:szCs w:val="20"/>
          <w:lang w:val="en-GB"/>
        </w:rPr>
        <w:t>a</w:t>
      </w:r>
      <w:r w:rsidR="00374F13" w:rsidRPr="001733D4">
        <w:rPr>
          <w:rFonts w:asciiTheme="majorBidi" w:hAnsiTheme="majorBidi" w:cstheme="majorBidi"/>
          <w:sz w:val="20"/>
          <w:szCs w:val="20"/>
          <w:lang w:val="en-GB"/>
        </w:rPr>
        <w:t xml:space="preserve">ctivity </w:t>
      </w:r>
      <w:r w:rsidR="001733D4">
        <w:rPr>
          <w:rFonts w:asciiTheme="majorBidi" w:hAnsiTheme="majorBidi" w:cstheme="majorBidi"/>
          <w:sz w:val="20"/>
          <w:szCs w:val="20"/>
          <w:lang w:val="en-GB"/>
        </w:rPr>
        <w:t>r</w:t>
      </w:r>
      <w:r w:rsidR="00374F13" w:rsidRPr="001733D4">
        <w:rPr>
          <w:rFonts w:asciiTheme="majorBidi" w:hAnsiTheme="majorBidi" w:cstheme="majorBidi"/>
          <w:sz w:val="20"/>
          <w:szCs w:val="20"/>
          <w:lang w:val="en-GB"/>
        </w:rPr>
        <w:t>eport</w:t>
      </w:r>
      <w:r w:rsidRPr="001733D4">
        <w:rPr>
          <w:rFonts w:asciiTheme="majorBidi" w:hAnsiTheme="majorBidi" w:cstheme="majorBidi"/>
          <w:sz w:val="20"/>
          <w:szCs w:val="20"/>
          <w:lang w:val="en-GB"/>
        </w:rPr>
        <w:t xml:space="preserve"> shows the distribution of the number of audit</w:t>
      </w:r>
      <w:r w:rsidR="00374F13" w:rsidRPr="001733D4">
        <w:rPr>
          <w:rFonts w:asciiTheme="majorBidi" w:hAnsiTheme="majorBidi" w:cstheme="majorBidi"/>
          <w:sz w:val="20"/>
          <w:szCs w:val="20"/>
          <w:lang w:val="en-GB"/>
        </w:rPr>
        <w:t xml:space="preserve"> reports that were issued by IAIG in </w:t>
      </w:r>
      <w:r w:rsidR="00CC1698" w:rsidRPr="001733D4">
        <w:rPr>
          <w:rFonts w:asciiTheme="majorBidi" w:hAnsiTheme="majorBidi" w:cstheme="majorBidi"/>
          <w:sz w:val="20"/>
          <w:szCs w:val="20"/>
          <w:lang w:val="en-GB"/>
        </w:rPr>
        <w:t xml:space="preserve">2017 </w:t>
      </w:r>
      <w:r w:rsidRPr="001733D4">
        <w:rPr>
          <w:rFonts w:asciiTheme="majorBidi" w:hAnsiTheme="majorBidi" w:cstheme="majorBidi"/>
          <w:sz w:val="20"/>
          <w:szCs w:val="20"/>
          <w:lang w:val="en-GB"/>
        </w:rPr>
        <w:t>by type of audit rating, “satisfactory”, “partially satisfactory”</w:t>
      </w:r>
      <w:r w:rsidR="00760B38" w:rsidRPr="001733D4">
        <w:rPr>
          <w:rFonts w:asciiTheme="majorBidi" w:hAnsiTheme="majorBidi" w:cstheme="majorBidi"/>
          <w:sz w:val="20"/>
          <w:szCs w:val="20"/>
          <w:lang w:val="en-GB"/>
        </w:rPr>
        <w:t>,</w:t>
      </w:r>
      <w:r w:rsidRPr="001733D4">
        <w:rPr>
          <w:rFonts w:asciiTheme="majorBidi" w:hAnsiTheme="majorBidi" w:cstheme="majorBidi"/>
          <w:sz w:val="20"/>
          <w:szCs w:val="20"/>
          <w:lang w:val="en-GB"/>
        </w:rPr>
        <w:t xml:space="preserve"> and “unsatisfactory”.</w:t>
      </w:r>
    </w:p>
    <w:p w14:paraId="0B3280B1" w14:textId="77777777" w:rsidR="00374F13" w:rsidRPr="001733D4" w:rsidRDefault="00374F13" w:rsidP="00374F13">
      <w:pPr>
        <w:pStyle w:val="ListParagraph"/>
        <w:rPr>
          <w:rFonts w:asciiTheme="majorBidi" w:hAnsiTheme="majorBidi" w:cstheme="majorBidi"/>
          <w:sz w:val="20"/>
          <w:szCs w:val="20"/>
          <w:lang w:val="en-GB"/>
        </w:rPr>
      </w:pPr>
    </w:p>
    <w:p w14:paraId="2B7FB402" w14:textId="298EAEC3" w:rsidR="00910F3F" w:rsidRPr="001733D4" w:rsidRDefault="00910F3F" w:rsidP="00910F3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0"/>
          <w:szCs w:val="20"/>
          <w:lang w:val="en-GB"/>
        </w:rPr>
      </w:pPr>
      <w:r w:rsidRPr="001733D4">
        <w:rPr>
          <w:rFonts w:asciiTheme="majorBidi" w:hAnsiTheme="majorBidi" w:cstheme="majorBidi"/>
          <w:sz w:val="20"/>
          <w:szCs w:val="20"/>
          <w:lang w:val="en-GB"/>
        </w:rPr>
        <w:t>The distribution of audit ratings for 201</w:t>
      </w:r>
      <w:r w:rsidR="00B444FE" w:rsidRPr="001733D4">
        <w:rPr>
          <w:rFonts w:asciiTheme="majorBidi" w:hAnsiTheme="majorBidi" w:cstheme="majorBidi"/>
          <w:sz w:val="20"/>
          <w:szCs w:val="20"/>
          <w:lang w:val="en-GB"/>
        </w:rPr>
        <w:t>7</w:t>
      </w:r>
      <w:r w:rsidRPr="001733D4">
        <w:rPr>
          <w:rFonts w:asciiTheme="majorBidi" w:hAnsiTheme="majorBidi" w:cstheme="majorBidi"/>
          <w:sz w:val="20"/>
          <w:szCs w:val="20"/>
          <w:lang w:val="en-GB"/>
        </w:rPr>
        <w:t xml:space="preserve"> is as follows:</w:t>
      </w:r>
    </w:p>
    <w:tbl>
      <w:tblPr>
        <w:tblStyle w:val="TableGrid2"/>
        <w:tblW w:w="7059" w:type="dxa"/>
        <w:tblInd w:w="846" w:type="dxa"/>
        <w:tblLook w:val="04A0" w:firstRow="1" w:lastRow="0" w:firstColumn="1" w:lastColumn="0" w:noHBand="0" w:noVBand="1"/>
      </w:tblPr>
      <w:tblGrid>
        <w:gridCol w:w="3624"/>
        <w:gridCol w:w="1559"/>
        <w:gridCol w:w="1876"/>
      </w:tblGrid>
      <w:tr w:rsidR="00374F13" w:rsidRPr="001733D4" w14:paraId="4D5943C0" w14:textId="77777777" w:rsidTr="00881E70">
        <w:tc>
          <w:tcPr>
            <w:tcW w:w="3624" w:type="dxa"/>
            <w:shd w:val="clear" w:color="auto" w:fill="D9D9D9" w:themeFill="background1" w:themeFillShade="D9"/>
            <w:vAlign w:val="center"/>
          </w:tcPr>
          <w:p w14:paraId="5D2982EC" w14:textId="77777777" w:rsidR="00374F13" w:rsidRPr="001733D4" w:rsidRDefault="00374F13" w:rsidP="006852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1733D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Rating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C907B8B" w14:textId="77777777" w:rsidR="00374F13" w:rsidRPr="001733D4" w:rsidRDefault="00374F13" w:rsidP="006852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  <w:r w:rsidRPr="001733D4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Number of ratings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6DE034DF" w14:textId="2E9076F6" w:rsidR="00374F13" w:rsidRPr="001733D4" w:rsidRDefault="004B6F7C" w:rsidP="006852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1733D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Per</w:t>
            </w:r>
            <w:r w:rsidR="001733D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1733D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cent of </w:t>
            </w:r>
            <w:r w:rsidR="00881E70" w:rsidRPr="001733D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grand </w:t>
            </w:r>
            <w:r w:rsidRPr="001733D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total</w:t>
            </w:r>
          </w:p>
        </w:tc>
      </w:tr>
      <w:tr w:rsidR="00C009B2" w:rsidRPr="001733D4" w14:paraId="27613065" w14:textId="77777777" w:rsidTr="00881E70">
        <w:tc>
          <w:tcPr>
            <w:tcW w:w="7059" w:type="dxa"/>
            <w:gridSpan w:val="3"/>
            <w:shd w:val="clear" w:color="auto" w:fill="F2F2F2" w:themeFill="background1" w:themeFillShade="F2"/>
            <w:vAlign w:val="center"/>
          </w:tcPr>
          <w:p w14:paraId="680F2090" w14:textId="77307A74" w:rsidR="00C009B2" w:rsidRPr="001733D4" w:rsidRDefault="00C009B2" w:rsidP="00D55EAD">
            <w:pPr>
              <w:spacing w:before="60" w:after="60" w:line="240" w:lineRule="auto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733D4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Internal </w:t>
            </w:r>
            <w:r w:rsidR="001733D4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</w:t>
            </w:r>
            <w:r w:rsidRPr="001733D4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udits</w:t>
            </w:r>
          </w:p>
        </w:tc>
      </w:tr>
      <w:tr w:rsidR="00374F13" w:rsidRPr="001733D4" w14:paraId="6FFAC44A" w14:textId="77777777" w:rsidTr="00881E70">
        <w:tc>
          <w:tcPr>
            <w:tcW w:w="3624" w:type="dxa"/>
            <w:vAlign w:val="center"/>
          </w:tcPr>
          <w:p w14:paraId="7488F696" w14:textId="77777777" w:rsidR="00374F13" w:rsidRPr="001733D4" w:rsidRDefault="00374F13" w:rsidP="00D55E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733D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Satisfactory</w:t>
            </w:r>
          </w:p>
        </w:tc>
        <w:tc>
          <w:tcPr>
            <w:tcW w:w="1559" w:type="dxa"/>
            <w:vAlign w:val="center"/>
          </w:tcPr>
          <w:p w14:paraId="4568D087" w14:textId="2E9DAD64" w:rsidR="00374F13" w:rsidRPr="001733D4" w:rsidRDefault="007F0787" w:rsidP="00D55EAD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733D4">
              <w:rPr>
                <w:rFonts w:ascii="Times New Roman" w:hAnsi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876" w:type="dxa"/>
            <w:vAlign w:val="center"/>
          </w:tcPr>
          <w:p w14:paraId="6114A495" w14:textId="28E793E9" w:rsidR="00374F13" w:rsidRPr="001733D4" w:rsidRDefault="001E7215" w:rsidP="00D55E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733D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0%</w:t>
            </w:r>
          </w:p>
        </w:tc>
      </w:tr>
      <w:tr w:rsidR="00374F13" w:rsidRPr="001733D4" w14:paraId="26D80780" w14:textId="77777777" w:rsidTr="00881E70">
        <w:trPr>
          <w:trHeight w:val="221"/>
        </w:trPr>
        <w:tc>
          <w:tcPr>
            <w:tcW w:w="3624" w:type="dxa"/>
            <w:vAlign w:val="center"/>
          </w:tcPr>
          <w:p w14:paraId="024934C3" w14:textId="7BF7951D" w:rsidR="00374F13" w:rsidRPr="001733D4" w:rsidRDefault="00374F13" w:rsidP="00D55E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733D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Partially </w:t>
            </w:r>
            <w:r w:rsidR="001733D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</w:t>
            </w:r>
            <w:r w:rsidRPr="001733D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atisfactory</w:t>
            </w:r>
            <w:r w:rsidR="00B444FE" w:rsidRPr="001733D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– Some </w:t>
            </w:r>
            <w:r w:rsidR="001733D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</w:t>
            </w:r>
            <w:r w:rsidR="00B444FE" w:rsidRPr="001733D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mprovement </w:t>
            </w:r>
            <w:r w:rsidR="001733D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</w:t>
            </w:r>
            <w:r w:rsidR="00B444FE" w:rsidRPr="001733D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eeded</w:t>
            </w:r>
          </w:p>
        </w:tc>
        <w:tc>
          <w:tcPr>
            <w:tcW w:w="1559" w:type="dxa"/>
            <w:vAlign w:val="center"/>
          </w:tcPr>
          <w:p w14:paraId="4D79C347" w14:textId="57221BBF" w:rsidR="00374F13" w:rsidRPr="001733D4" w:rsidRDefault="007F0787" w:rsidP="00D55EAD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733D4">
              <w:rPr>
                <w:rFonts w:ascii="Times New Roman" w:hAnsi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1876" w:type="dxa"/>
            <w:vAlign w:val="center"/>
          </w:tcPr>
          <w:p w14:paraId="53455B9A" w14:textId="61846031" w:rsidR="00374F13" w:rsidRPr="001733D4" w:rsidRDefault="001E7215" w:rsidP="00D55E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733D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10%</w:t>
            </w:r>
          </w:p>
        </w:tc>
      </w:tr>
      <w:tr w:rsidR="00B444FE" w:rsidRPr="001733D4" w14:paraId="46D6DBA3" w14:textId="77777777" w:rsidTr="00881E70">
        <w:tc>
          <w:tcPr>
            <w:tcW w:w="3624" w:type="dxa"/>
            <w:vAlign w:val="center"/>
          </w:tcPr>
          <w:p w14:paraId="48A48A33" w14:textId="6C096A84" w:rsidR="00B444FE" w:rsidRPr="001733D4" w:rsidRDefault="00B444FE" w:rsidP="00D55EAD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733D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Partially </w:t>
            </w:r>
            <w:r w:rsidR="001733D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</w:t>
            </w:r>
            <w:r w:rsidRPr="001733D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atisfactory – Major </w:t>
            </w:r>
            <w:r w:rsidR="001733D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</w:t>
            </w:r>
            <w:r w:rsidRPr="001733D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mprovement </w:t>
            </w:r>
            <w:r w:rsidR="001733D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</w:t>
            </w:r>
            <w:r w:rsidRPr="001733D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eeded</w:t>
            </w:r>
          </w:p>
        </w:tc>
        <w:tc>
          <w:tcPr>
            <w:tcW w:w="1559" w:type="dxa"/>
            <w:vAlign w:val="center"/>
          </w:tcPr>
          <w:p w14:paraId="6B56920E" w14:textId="60480771" w:rsidR="00B444FE" w:rsidRPr="001733D4" w:rsidRDefault="007F0787" w:rsidP="00D55EAD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733D4">
              <w:rPr>
                <w:rFonts w:ascii="Times New Roman" w:hAnsi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1876" w:type="dxa"/>
            <w:vAlign w:val="center"/>
          </w:tcPr>
          <w:p w14:paraId="732E0085" w14:textId="46526473" w:rsidR="00B444FE" w:rsidRPr="001733D4" w:rsidRDefault="001E7215" w:rsidP="00D55EAD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733D4">
              <w:rPr>
                <w:rFonts w:ascii="Times New Roman" w:hAnsi="Times New Roman"/>
                <w:sz w:val="16"/>
                <w:szCs w:val="16"/>
                <w:lang w:val="en-GB"/>
              </w:rPr>
              <w:t>8%</w:t>
            </w:r>
          </w:p>
        </w:tc>
      </w:tr>
      <w:tr w:rsidR="00374F13" w:rsidRPr="001733D4" w14:paraId="199ABFB4" w14:textId="77777777" w:rsidTr="00881E70">
        <w:tc>
          <w:tcPr>
            <w:tcW w:w="3624" w:type="dxa"/>
            <w:vAlign w:val="center"/>
          </w:tcPr>
          <w:p w14:paraId="6EDD6D14" w14:textId="77777777" w:rsidR="00374F13" w:rsidRPr="001733D4" w:rsidRDefault="00374F13" w:rsidP="00D55E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733D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Unsatisfactory</w:t>
            </w:r>
          </w:p>
        </w:tc>
        <w:tc>
          <w:tcPr>
            <w:tcW w:w="1559" w:type="dxa"/>
            <w:vAlign w:val="center"/>
          </w:tcPr>
          <w:p w14:paraId="3FAE7F4B" w14:textId="61E466EB" w:rsidR="00374F13" w:rsidRPr="001733D4" w:rsidRDefault="007F0787" w:rsidP="00D55EAD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733D4">
              <w:rPr>
                <w:rFonts w:ascii="Times New Roman" w:hAnsi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1876" w:type="dxa"/>
            <w:vAlign w:val="center"/>
          </w:tcPr>
          <w:p w14:paraId="245630CC" w14:textId="35203BDE" w:rsidR="00374F13" w:rsidRPr="001733D4" w:rsidRDefault="001E7215" w:rsidP="00D55E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733D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4%</w:t>
            </w:r>
          </w:p>
        </w:tc>
      </w:tr>
      <w:tr w:rsidR="00374F13" w:rsidRPr="001733D4" w14:paraId="53437AF9" w14:textId="77777777" w:rsidTr="00881E70">
        <w:tc>
          <w:tcPr>
            <w:tcW w:w="3624" w:type="dxa"/>
            <w:vAlign w:val="center"/>
          </w:tcPr>
          <w:p w14:paraId="60B91BB4" w14:textId="77777777" w:rsidR="00374F13" w:rsidRPr="001733D4" w:rsidRDefault="00374F13" w:rsidP="00D55EAD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733D4">
              <w:rPr>
                <w:rFonts w:ascii="Times New Roman" w:hAnsi="Times New Roman"/>
                <w:sz w:val="16"/>
                <w:szCs w:val="16"/>
                <w:lang w:val="en-GB"/>
              </w:rPr>
              <w:t>No rating*</w:t>
            </w:r>
          </w:p>
        </w:tc>
        <w:tc>
          <w:tcPr>
            <w:tcW w:w="1559" w:type="dxa"/>
            <w:vAlign w:val="center"/>
          </w:tcPr>
          <w:p w14:paraId="3868B4E3" w14:textId="30A57463" w:rsidR="00374F13" w:rsidRPr="001733D4" w:rsidRDefault="007F0787" w:rsidP="00D55EAD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733D4">
              <w:rPr>
                <w:rFonts w:ascii="Times New Roman" w:hAnsi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1876" w:type="dxa"/>
            <w:vAlign w:val="center"/>
          </w:tcPr>
          <w:p w14:paraId="23F042E8" w14:textId="566ED168" w:rsidR="00374F13" w:rsidRPr="001733D4" w:rsidRDefault="001E7215" w:rsidP="00D55EAD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733D4">
              <w:rPr>
                <w:rFonts w:ascii="Times New Roman" w:hAnsi="Times New Roman"/>
                <w:sz w:val="16"/>
                <w:szCs w:val="16"/>
                <w:lang w:val="en-GB"/>
              </w:rPr>
              <w:t>13%</w:t>
            </w:r>
          </w:p>
        </w:tc>
      </w:tr>
      <w:tr w:rsidR="00374F13" w:rsidRPr="001733D4" w14:paraId="35B0B678" w14:textId="77777777" w:rsidTr="00881E70">
        <w:tc>
          <w:tcPr>
            <w:tcW w:w="3624" w:type="dxa"/>
            <w:vAlign w:val="center"/>
          </w:tcPr>
          <w:p w14:paraId="5ED1813D" w14:textId="30BEED5D" w:rsidR="00374F13" w:rsidRPr="001733D4" w:rsidRDefault="007F0787" w:rsidP="00D55E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1733D4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Internal </w:t>
            </w:r>
            <w:r w:rsidR="001733D4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</w:t>
            </w:r>
            <w:r w:rsidRPr="001733D4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udit </w:t>
            </w:r>
            <w:r w:rsidR="001733D4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</w:t>
            </w:r>
            <w:r w:rsidRPr="001733D4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otal</w:t>
            </w:r>
          </w:p>
        </w:tc>
        <w:tc>
          <w:tcPr>
            <w:tcW w:w="1559" w:type="dxa"/>
            <w:vAlign w:val="center"/>
          </w:tcPr>
          <w:p w14:paraId="2657F8BF" w14:textId="491CB31D" w:rsidR="00374F13" w:rsidRPr="001733D4" w:rsidRDefault="007F0787" w:rsidP="00D55EA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  <w:r w:rsidRPr="001733D4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17</w:t>
            </w:r>
          </w:p>
        </w:tc>
        <w:tc>
          <w:tcPr>
            <w:tcW w:w="1876" w:type="dxa"/>
            <w:vAlign w:val="center"/>
          </w:tcPr>
          <w:p w14:paraId="17EE8D55" w14:textId="6D104835" w:rsidR="00374F13" w:rsidRPr="001733D4" w:rsidRDefault="00F9179A" w:rsidP="00D55EA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1733D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35%</w:t>
            </w:r>
          </w:p>
        </w:tc>
      </w:tr>
      <w:tr w:rsidR="007F0787" w:rsidRPr="001733D4" w14:paraId="395AF7D9" w14:textId="77777777" w:rsidTr="00881E70">
        <w:tc>
          <w:tcPr>
            <w:tcW w:w="7059" w:type="dxa"/>
            <w:gridSpan w:val="3"/>
            <w:shd w:val="clear" w:color="auto" w:fill="F2F2F2" w:themeFill="background1" w:themeFillShade="F2"/>
            <w:vAlign w:val="center"/>
          </w:tcPr>
          <w:p w14:paraId="2EBD9070" w14:textId="27A4E5FF" w:rsidR="007F0787" w:rsidRPr="001733D4" w:rsidRDefault="007F0787" w:rsidP="00D55EAD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  <w:r w:rsidRPr="001733D4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Project </w:t>
            </w:r>
            <w:r w:rsidR="001733D4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</w:t>
            </w:r>
            <w:r w:rsidRPr="001733D4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udits</w:t>
            </w:r>
          </w:p>
        </w:tc>
      </w:tr>
      <w:tr w:rsidR="007F0787" w:rsidRPr="001733D4" w14:paraId="4F0D9E5A" w14:textId="77777777" w:rsidTr="00881E70">
        <w:tc>
          <w:tcPr>
            <w:tcW w:w="3624" w:type="dxa"/>
            <w:vAlign w:val="center"/>
          </w:tcPr>
          <w:p w14:paraId="2DD9C8D0" w14:textId="17E58D0C" w:rsidR="007F0787" w:rsidRPr="001733D4" w:rsidRDefault="007F0787" w:rsidP="007F078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733D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Satisfactory</w:t>
            </w:r>
          </w:p>
        </w:tc>
        <w:tc>
          <w:tcPr>
            <w:tcW w:w="1559" w:type="dxa"/>
            <w:vAlign w:val="center"/>
          </w:tcPr>
          <w:p w14:paraId="16F9A623" w14:textId="171E713E" w:rsidR="007F0787" w:rsidRPr="001733D4" w:rsidRDefault="007F0787" w:rsidP="007F0787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GB"/>
              </w:rPr>
            </w:pPr>
            <w:r w:rsidRPr="001733D4"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>14</w:t>
            </w:r>
          </w:p>
        </w:tc>
        <w:tc>
          <w:tcPr>
            <w:tcW w:w="1876" w:type="dxa"/>
            <w:vAlign w:val="center"/>
          </w:tcPr>
          <w:p w14:paraId="026746A3" w14:textId="534C773E" w:rsidR="007F0787" w:rsidRPr="001733D4" w:rsidRDefault="001E7215" w:rsidP="007F0787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GB"/>
              </w:rPr>
            </w:pPr>
            <w:r w:rsidRPr="001733D4"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>29%</w:t>
            </w:r>
          </w:p>
        </w:tc>
      </w:tr>
      <w:tr w:rsidR="007F0787" w:rsidRPr="001733D4" w14:paraId="5FFADE0D" w14:textId="77777777" w:rsidTr="00881E70">
        <w:tc>
          <w:tcPr>
            <w:tcW w:w="3624" w:type="dxa"/>
            <w:vAlign w:val="center"/>
          </w:tcPr>
          <w:p w14:paraId="07C8C365" w14:textId="4BBCC200" w:rsidR="007F0787" w:rsidRPr="001733D4" w:rsidRDefault="007F0787" w:rsidP="007F078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733D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Partially </w:t>
            </w:r>
            <w:r w:rsidR="001733D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</w:t>
            </w:r>
            <w:r w:rsidRPr="001733D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atisfactory – Some </w:t>
            </w:r>
            <w:r w:rsidR="001733D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</w:t>
            </w:r>
            <w:r w:rsidRPr="001733D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mprovement </w:t>
            </w:r>
            <w:r w:rsidR="001733D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</w:t>
            </w:r>
            <w:r w:rsidRPr="001733D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eeded</w:t>
            </w:r>
          </w:p>
        </w:tc>
        <w:tc>
          <w:tcPr>
            <w:tcW w:w="1559" w:type="dxa"/>
            <w:vAlign w:val="center"/>
          </w:tcPr>
          <w:p w14:paraId="3BFCA351" w14:textId="67A55C5F" w:rsidR="007F0787" w:rsidRPr="001733D4" w:rsidRDefault="001E7215" w:rsidP="007F0787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GB"/>
              </w:rPr>
            </w:pPr>
            <w:r w:rsidRPr="001733D4"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>3</w:t>
            </w:r>
          </w:p>
        </w:tc>
        <w:tc>
          <w:tcPr>
            <w:tcW w:w="1876" w:type="dxa"/>
            <w:vAlign w:val="center"/>
          </w:tcPr>
          <w:p w14:paraId="66121D4C" w14:textId="072CCE46" w:rsidR="007F0787" w:rsidRPr="001733D4" w:rsidRDefault="00F9179A" w:rsidP="007F0787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GB"/>
              </w:rPr>
            </w:pPr>
            <w:r w:rsidRPr="001733D4"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>7</w:t>
            </w:r>
            <w:r w:rsidR="001E7215" w:rsidRPr="001733D4"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>%</w:t>
            </w:r>
          </w:p>
        </w:tc>
      </w:tr>
      <w:tr w:rsidR="007F0787" w:rsidRPr="001733D4" w14:paraId="1D89B89F" w14:textId="77777777" w:rsidTr="00881E70">
        <w:tc>
          <w:tcPr>
            <w:tcW w:w="3624" w:type="dxa"/>
            <w:vAlign w:val="center"/>
          </w:tcPr>
          <w:p w14:paraId="59B198D1" w14:textId="696D9139" w:rsidR="007F0787" w:rsidRPr="001733D4" w:rsidRDefault="007F0787" w:rsidP="007F078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733D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Partially </w:t>
            </w:r>
            <w:r w:rsidR="001733D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</w:t>
            </w:r>
            <w:r w:rsidRPr="001733D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atisfactory – Major </w:t>
            </w:r>
            <w:r w:rsidR="001733D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</w:t>
            </w:r>
            <w:r w:rsidRPr="001733D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mprovement </w:t>
            </w:r>
            <w:r w:rsidR="001733D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</w:t>
            </w:r>
            <w:r w:rsidRPr="001733D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eeded</w:t>
            </w:r>
          </w:p>
        </w:tc>
        <w:tc>
          <w:tcPr>
            <w:tcW w:w="1559" w:type="dxa"/>
            <w:vAlign w:val="center"/>
          </w:tcPr>
          <w:p w14:paraId="0D407500" w14:textId="05EB0CF4" w:rsidR="007F0787" w:rsidRPr="001733D4" w:rsidRDefault="007F0787" w:rsidP="007F0787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GB"/>
              </w:rPr>
            </w:pPr>
            <w:r w:rsidRPr="001733D4"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1876" w:type="dxa"/>
            <w:vAlign w:val="center"/>
          </w:tcPr>
          <w:p w14:paraId="7CD54A20" w14:textId="061FB5EF" w:rsidR="007F0787" w:rsidRPr="001733D4" w:rsidRDefault="001E7215" w:rsidP="007F0787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GB"/>
              </w:rPr>
            </w:pPr>
            <w:r w:rsidRPr="001733D4"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>0%</w:t>
            </w:r>
          </w:p>
        </w:tc>
      </w:tr>
      <w:tr w:rsidR="007F0787" w:rsidRPr="001733D4" w14:paraId="12FC88FF" w14:textId="77777777" w:rsidTr="00881E70">
        <w:tc>
          <w:tcPr>
            <w:tcW w:w="3624" w:type="dxa"/>
            <w:vAlign w:val="center"/>
          </w:tcPr>
          <w:p w14:paraId="1AA785B0" w14:textId="2B6938CF" w:rsidR="007F0787" w:rsidRPr="001733D4" w:rsidRDefault="001E7215" w:rsidP="007F078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733D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Partially </w:t>
            </w:r>
            <w:r w:rsidR="001733D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</w:t>
            </w:r>
            <w:r w:rsidRPr="001733D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atisfactory (old rating system)</w:t>
            </w:r>
          </w:p>
        </w:tc>
        <w:tc>
          <w:tcPr>
            <w:tcW w:w="1559" w:type="dxa"/>
            <w:vAlign w:val="center"/>
          </w:tcPr>
          <w:p w14:paraId="27C06949" w14:textId="509CD48D" w:rsidR="007F0787" w:rsidRPr="001733D4" w:rsidRDefault="001E7215" w:rsidP="007F0787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GB"/>
              </w:rPr>
            </w:pPr>
            <w:r w:rsidRPr="001733D4"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>5</w:t>
            </w:r>
          </w:p>
        </w:tc>
        <w:tc>
          <w:tcPr>
            <w:tcW w:w="1876" w:type="dxa"/>
            <w:vAlign w:val="center"/>
          </w:tcPr>
          <w:p w14:paraId="1B93DFC7" w14:textId="2ED6C4E7" w:rsidR="007F0787" w:rsidRPr="001733D4" w:rsidRDefault="001E7215" w:rsidP="007F0787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GB"/>
              </w:rPr>
            </w:pPr>
            <w:r w:rsidRPr="001733D4"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>10%</w:t>
            </w:r>
          </w:p>
        </w:tc>
      </w:tr>
      <w:tr w:rsidR="001E7215" w:rsidRPr="001733D4" w14:paraId="29B31E82" w14:textId="77777777" w:rsidTr="00881E70">
        <w:tc>
          <w:tcPr>
            <w:tcW w:w="3624" w:type="dxa"/>
            <w:vAlign w:val="center"/>
          </w:tcPr>
          <w:p w14:paraId="4289C0A3" w14:textId="4B6A2C80" w:rsidR="001E7215" w:rsidRPr="001733D4" w:rsidRDefault="001E7215" w:rsidP="001E721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733D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Unsatisfactory</w:t>
            </w:r>
          </w:p>
        </w:tc>
        <w:tc>
          <w:tcPr>
            <w:tcW w:w="1559" w:type="dxa"/>
            <w:vAlign w:val="center"/>
          </w:tcPr>
          <w:p w14:paraId="39B0081B" w14:textId="2B92FEFD" w:rsidR="001E7215" w:rsidRPr="001733D4" w:rsidRDefault="001E7215" w:rsidP="001E7215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GB"/>
              </w:rPr>
            </w:pPr>
            <w:r w:rsidRPr="001733D4"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>2</w:t>
            </w:r>
          </w:p>
        </w:tc>
        <w:tc>
          <w:tcPr>
            <w:tcW w:w="1876" w:type="dxa"/>
            <w:vAlign w:val="center"/>
          </w:tcPr>
          <w:p w14:paraId="3133C256" w14:textId="0141ED39" w:rsidR="001E7215" w:rsidRPr="001733D4" w:rsidRDefault="00F9179A" w:rsidP="001E7215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GB"/>
              </w:rPr>
            </w:pPr>
            <w:r w:rsidRPr="001733D4"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>4%</w:t>
            </w:r>
          </w:p>
        </w:tc>
      </w:tr>
      <w:tr w:rsidR="001E7215" w:rsidRPr="001733D4" w14:paraId="54C5E0E0" w14:textId="77777777" w:rsidTr="00881E70">
        <w:tc>
          <w:tcPr>
            <w:tcW w:w="3624" w:type="dxa"/>
            <w:vAlign w:val="center"/>
          </w:tcPr>
          <w:p w14:paraId="64F0FA1D" w14:textId="433A1978" w:rsidR="001E7215" w:rsidRPr="001733D4" w:rsidRDefault="001E7215" w:rsidP="001E721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733D4">
              <w:rPr>
                <w:rFonts w:ascii="Times New Roman" w:hAnsi="Times New Roman"/>
                <w:sz w:val="16"/>
                <w:szCs w:val="16"/>
                <w:lang w:val="en-GB"/>
              </w:rPr>
              <w:t>No rating*</w:t>
            </w:r>
          </w:p>
        </w:tc>
        <w:tc>
          <w:tcPr>
            <w:tcW w:w="1559" w:type="dxa"/>
            <w:vAlign w:val="center"/>
          </w:tcPr>
          <w:p w14:paraId="0BB80C2C" w14:textId="73323093" w:rsidR="001E7215" w:rsidRPr="001733D4" w:rsidRDefault="001E7215" w:rsidP="001E7215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GB"/>
              </w:rPr>
            </w:pPr>
            <w:r w:rsidRPr="001733D4"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1876" w:type="dxa"/>
            <w:vAlign w:val="center"/>
          </w:tcPr>
          <w:p w14:paraId="2EB79B19" w14:textId="40185310" w:rsidR="001E7215" w:rsidRPr="001733D4" w:rsidRDefault="00F9179A" w:rsidP="001E7215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GB"/>
              </w:rPr>
            </w:pPr>
            <w:r w:rsidRPr="001733D4"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>15%</w:t>
            </w:r>
          </w:p>
        </w:tc>
      </w:tr>
      <w:tr w:rsidR="001E7215" w:rsidRPr="001733D4" w14:paraId="5316B105" w14:textId="77777777" w:rsidTr="00881E70">
        <w:tc>
          <w:tcPr>
            <w:tcW w:w="3624" w:type="dxa"/>
            <w:vAlign w:val="center"/>
          </w:tcPr>
          <w:p w14:paraId="1E245B1D" w14:textId="08DC6E82" w:rsidR="001E7215" w:rsidRPr="001733D4" w:rsidRDefault="001E7215" w:rsidP="001E721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733D4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Project </w:t>
            </w:r>
            <w:r w:rsidR="001733D4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</w:t>
            </w:r>
            <w:r w:rsidRPr="001733D4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udit </w:t>
            </w:r>
            <w:r w:rsidR="001733D4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</w:t>
            </w:r>
            <w:r w:rsidRPr="001733D4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otal</w:t>
            </w:r>
          </w:p>
        </w:tc>
        <w:tc>
          <w:tcPr>
            <w:tcW w:w="1559" w:type="dxa"/>
            <w:vAlign w:val="center"/>
          </w:tcPr>
          <w:p w14:paraId="73C82E57" w14:textId="031DE3E5" w:rsidR="001E7215" w:rsidRPr="001733D4" w:rsidRDefault="001E7215" w:rsidP="001E721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  <w:r w:rsidRPr="001733D4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31</w:t>
            </w:r>
          </w:p>
        </w:tc>
        <w:tc>
          <w:tcPr>
            <w:tcW w:w="1876" w:type="dxa"/>
            <w:vAlign w:val="center"/>
          </w:tcPr>
          <w:p w14:paraId="61A6B265" w14:textId="24311273" w:rsidR="001E7215" w:rsidRPr="001733D4" w:rsidRDefault="00F9179A" w:rsidP="001E7215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GB"/>
              </w:rPr>
            </w:pPr>
            <w:r w:rsidRPr="001733D4"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>65%</w:t>
            </w:r>
          </w:p>
        </w:tc>
      </w:tr>
      <w:tr w:rsidR="001E7215" w:rsidRPr="001733D4" w14:paraId="3C7E1FFE" w14:textId="77777777" w:rsidTr="00881E70">
        <w:tc>
          <w:tcPr>
            <w:tcW w:w="3624" w:type="dxa"/>
            <w:vAlign w:val="center"/>
          </w:tcPr>
          <w:p w14:paraId="0F6EDF00" w14:textId="30314D6F" w:rsidR="001E7215" w:rsidRPr="001733D4" w:rsidRDefault="001E7215" w:rsidP="001E721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733D4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GRAND TOTAL</w:t>
            </w:r>
          </w:p>
        </w:tc>
        <w:tc>
          <w:tcPr>
            <w:tcW w:w="1559" w:type="dxa"/>
            <w:vAlign w:val="center"/>
          </w:tcPr>
          <w:p w14:paraId="2B6DBB0C" w14:textId="4B98489C" w:rsidR="001E7215" w:rsidRPr="001733D4" w:rsidRDefault="001E7215" w:rsidP="001E721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  <w:r w:rsidRPr="001733D4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48</w:t>
            </w:r>
            <w:r w:rsidR="00F9179A" w:rsidRPr="001733D4">
              <w:rPr>
                <w:rStyle w:val="FootnoteReference"/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footnoteReference w:id="1"/>
            </w:r>
          </w:p>
        </w:tc>
        <w:tc>
          <w:tcPr>
            <w:tcW w:w="1876" w:type="dxa"/>
            <w:vAlign w:val="center"/>
          </w:tcPr>
          <w:p w14:paraId="2BAD901B" w14:textId="3BBE1633" w:rsidR="001E7215" w:rsidRPr="001733D4" w:rsidRDefault="001E7215" w:rsidP="001E721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  <w:r w:rsidRPr="001733D4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100%</w:t>
            </w:r>
          </w:p>
        </w:tc>
      </w:tr>
    </w:tbl>
    <w:p w14:paraId="5754E319" w14:textId="77777777" w:rsidR="00910F3F" w:rsidRPr="001733D4" w:rsidRDefault="00171E29" w:rsidP="00171E29">
      <w:pPr>
        <w:rPr>
          <w:rFonts w:ascii="Times New Roman" w:hAnsi="Times New Roman"/>
          <w:sz w:val="16"/>
          <w:szCs w:val="16"/>
        </w:rPr>
      </w:pPr>
      <w:r w:rsidRPr="001733D4">
        <w:rPr>
          <w:sz w:val="20"/>
          <w:szCs w:val="20"/>
        </w:rPr>
        <w:tab/>
        <w:t xml:space="preserve">     </w:t>
      </w:r>
      <w:r w:rsidR="00374F13" w:rsidRPr="001733D4">
        <w:rPr>
          <w:rFonts w:ascii="Times New Roman" w:hAnsi="Times New Roman"/>
          <w:sz w:val="16"/>
          <w:szCs w:val="16"/>
        </w:rPr>
        <w:t xml:space="preserve">*No rating is provided for </w:t>
      </w:r>
      <w:r w:rsidRPr="001733D4">
        <w:rPr>
          <w:rFonts w:ascii="Times New Roman" w:hAnsi="Times New Roman"/>
          <w:sz w:val="16"/>
          <w:szCs w:val="16"/>
        </w:rPr>
        <w:t xml:space="preserve">reviews, </w:t>
      </w:r>
      <w:r w:rsidR="004B6F7C" w:rsidRPr="001733D4">
        <w:rPr>
          <w:rFonts w:ascii="Times New Roman" w:hAnsi="Times New Roman"/>
          <w:sz w:val="16"/>
          <w:szCs w:val="16"/>
        </w:rPr>
        <w:t>consultancy engagements</w:t>
      </w:r>
      <w:r w:rsidRPr="001733D4">
        <w:rPr>
          <w:rFonts w:ascii="Times New Roman" w:hAnsi="Times New Roman"/>
          <w:sz w:val="16"/>
          <w:szCs w:val="16"/>
        </w:rPr>
        <w:t xml:space="preserve"> and project financial audits without an internal audit component</w:t>
      </w:r>
    </w:p>
    <w:p w14:paraId="6E991730" w14:textId="2E5BD623" w:rsidR="00910F3F" w:rsidRPr="001733D4" w:rsidRDefault="006852D6" w:rsidP="00910F3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0"/>
          <w:szCs w:val="20"/>
          <w:lang w:val="en-GB"/>
        </w:rPr>
      </w:pPr>
      <w:r w:rsidRPr="001733D4">
        <w:rPr>
          <w:rFonts w:asciiTheme="majorBidi" w:hAnsiTheme="majorBidi" w:cstheme="majorBidi"/>
          <w:sz w:val="20"/>
          <w:szCs w:val="20"/>
          <w:lang w:val="en-GB"/>
        </w:rPr>
        <w:t>The table above shows that</w:t>
      </w:r>
      <w:r w:rsidR="000E4A65" w:rsidRPr="001733D4">
        <w:rPr>
          <w:rFonts w:asciiTheme="majorBidi" w:hAnsiTheme="majorBidi" w:cstheme="majorBidi"/>
          <w:sz w:val="20"/>
          <w:szCs w:val="20"/>
          <w:lang w:val="en-GB"/>
        </w:rPr>
        <w:t xml:space="preserve"> there were </w:t>
      </w:r>
      <w:r w:rsidR="001733D4">
        <w:rPr>
          <w:rFonts w:asciiTheme="majorBidi" w:hAnsiTheme="majorBidi" w:cstheme="majorBidi"/>
          <w:sz w:val="20"/>
          <w:szCs w:val="20"/>
          <w:lang w:val="en-GB"/>
        </w:rPr>
        <w:t>four</w:t>
      </w:r>
      <w:r w:rsidR="000E4A65" w:rsidRPr="001733D4">
        <w:rPr>
          <w:rFonts w:asciiTheme="majorBidi" w:hAnsiTheme="majorBidi" w:cstheme="majorBidi"/>
          <w:sz w:val="20"/>
          <w:szCs w:val="20"/>
          <w:lang w:val="en-GB"/>
        </w:rPr>
        <w:t xml:space="preserve"> unsatisfactory ratings in 2017, up from zero in 2016. In addition,</w:t>
      </w:r>
      <w:r w:rsidRPr="001733D4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="007F081F" w:rsidRPr="001733D4">
        <w:rPr>
          <w:rFonts w:asciiTheme="majorBidi" w:hAnsiTheme="majorBidi" w:cstheme="majorBidi"/>
          <w:sz w:val="20"/>
          <w:szCs w:val="20"/>
          <w:lang w:val="en-GB"/>
        </w:rPr>
        <w:t>3</w:t>
      </w:r>
      <w:r w:rsidR="00760B38" w:rsidRPr="001733D4">
        <w:rPr>
          <w:rFonts w:asciiTheme="majorBidi" w:hAnsiTheme="majorBidi" w:cstheme="majorBidi"/>
          <w:sz w:val="20"/>
          <w:szCs w:val="20"/>
          <w:lang w:val="en-GB"/>
        </w:rPr>
        <w:t>5</w:t>
      </w:r>
      <w:r w:rsidR="007F0787" w:rsidRPr="001733D4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="00CC1698" w:rsidRPr="001733D4">
        <w:rPr>
          <w:rFonts w:asciiTheme="majorBidi" w:hAnsiTheme="majorBidi" w:cstheme="majorBidi"/>
          <w:sz w:val="20"/>
          <w:szCs w:val="20"/>
          <w:lang w:val="en-GB"/>
        </w:rPr>
        <w:t>per</w:t>
      </w:r>
      <w:r w:rsidR="008A0469" w:rsidRPr="001733D4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="00CC1698" w:rsidRPr="001733D4">
        <w:rPr>
          <w:rFonts w:asciiTheme="majorBidi" w:hAnsiTheme="majorBidi" w:cstheme="majorBidi"/>
          <w:sz w:val="20"/>
          <w:szCs w:val="20"/>
          <w:lang w:val="en-GB"/>
        </w:rPr>
        <w:t>cent</w:t>
      </w:r>
      <w:r w:rsidRPr="001733D4">
        <w:rPr>
          <w:rFonts w:asciiTheme="majorBidi" w:hAnsiTheme="majorBidi" w:cstheme="majorBidi"/>
          <w:sz w:val="20"/>
          <w:szCs w:val="20"/>
          <w:lang w:val="en-GB"/>
        </w:rPr>
        <w:t xml:space="preserve"> of all audits have a rating</w:t>
      </w:r>
      <w:r w:rsidR="00910F3F" w:rsidRPr="001733D4">
        <w:rPr>
          <w:rFonts w:asciiTheme="majorBidi" w:hAnsiTheme="majorBidi" w:cstheme="majorBidi"/>
          <w:sz w:val="20"/>
          <w:szCs w:val="20"/>
          <w:lang w:val="en-GB"/>
        </w:rPr>
        <w:t xml:space="preserve"> “partially satisfactory”</w:t>
      </w:r>
      <w:r w:rsidR="007F081F" w:rsidRPr="001733D4">
        <w:rPr>
          <w:rFonts w:asciiTheme="majorBidi" w:hAnsiTheme="majorBidi" w:cstheme="majorBidi"/>
          <w:sz w:val="20"/>
          <w:szCs w:val="20"/>
          <w:lang w:val="en-GB"/>
        </w:rPr>
        <w:t xml:space="preserve"> (</w:t>
      </w:r>
      <w:r w:rsidR="00760B38" w:rsidRPr="001733D4">
        <w:rPr>
          <w:rFonts w:asciiTheme="majorBidi" w:hAnsiTheme="majorBidi" w:cstheme="majorBidi"/>
          <w:sz w:val="20"/>
          <w:szCs w:val="20"/>
          <w:lang w:val="en-GB"/>
        </w:rPr>
        <w:t>2</w:t>
      </w:r>
      <w:r w:rsidR="007F081F" w:rsidRPr="001733D4">
        <w:rPr>
          <w:rFonts w:asciiTheme="majorBidi" w:hAnsiTheme="majorBidi" w:cstheme="majorBidi"/>
          <w:sz w:val="20"/>
          <w:szCs w:val="20"/>
          <w:lang w:val="en-GB"/>
        </w:rPr>
        <w:t>5</w:t>
      </w:r>
      <w:r w:rsidR="00CC1698" w:rsidRPr="001733D4">
        <w:rPr>
          <w:rFonts w:asciiTheme="majorBidi" w:hAnsiTheme="majorBidi" w:cstheme="majorBidi"/>
          <w:sz w:val="20"/>
          <w:szCs w:val="20"/>
          <w:lang w:val="en-GB"/>
        </w:rPr>
        <w:t xml:space="preserve"> per</w:t>
      </w:r>
      <w:r w:rsidR="001733D4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="00CC1698" w:rsidRPr="001733D4">
        <w:rPr>
          <w:rFonts w:asciiTheme="majorBidi" w:hAnsiTheme="majorBidi" w:cstheme="majorBidi"/>
          <w:sz w:val="20"/>
          <w:szCs w:val="20"/>
          <w:lang w:val="en-GB"/>
        </w:rPr>
        <w:t xml:space="preserve">cent </w:t>
      </w:r>
      <w:r w:rsidR="007F081F" w:rsidRPr="001733D4">
        <w:rPr>
          <w:rFonts w:asciiTheme="majorBidi" w:hAnsiTheme="majorBidi" w:cstheme="majorBidi"/>
          <w:sz w:val="20"/>
          <w:szCs w:val="20"/>
          <w:lang w:val="en-GB"/>
        </w:rPr>
        <w:t>in 2016)</w:t>
      </w:r>
      <w:r w:rsidR="008A0469" w:rsidRPr="001733D4">
        <w:rPr>
          <w:rFonts w:asciiTheme="majorBidi" w:hAnsiTheme="majorBidi" w:cstheme="majorBidi"/>
          <w:sz w:val="20"/>
          <w:szCs w:val="20"/>
          <w:lang w:val="en-GB"/>
        </w:rPr>
        <w:t>;</w:t>
      </w:r>
      <w:r w:rsidRPr="001733D4">
        <w:rPr>
          <w:rFonts w:asciiTheme="majorBidi" w:hAnsiTheme="majorBidi" w:cstheme="majorBidi"/>
          <w:sz w:val="20"/>
          <w:szCs w:val="20"/>
          <w:lang w:val="en-GB"/>
        </w:rPr>
        <w:t xml:space="preserve"> where </w:t>
      </w:r>
      <w:r w:rsidR="00910F3F" w:rsidRPr="001733D4">
        <w:rPr>
          <w:rFonts w:asciiTheme="majorBidi" w:hAnsiTheme="majorBidi" w:cstheme="majorBidi"/>
          <w:sz w:val="20"/>
          <w:szCs w:val="20"/>
          <w:lang w:val="en-GB"/>
        </w:rPr>
        <w:t>there are deficiencies in governance, risk management and controls which need to be addressed.</w:t>
      </w:r>
      <w:r w:rsidRPr="001733D4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="00760B38" w:rsidRPr="001733D4">
        <w:rPr>
          <w:rFonts w:asciiTheme="majorBidi" w:hAnsiTheme="majorBidi" w:cstheme="majorBidi"/>
          <w:sz w:val="20"/>
          <w:szCs w:val="20"/>
          <w:lang w:val="en-GB"/>
        </w:rPr>
        <w:t>While 29</w:t>
      </w:r>
      <w:r w:rsidR="00CC1698" w:rsidRPr="001733D4">
        <w:rPr>
          <w:rFonts w:asciiTheme="majorBidi" w:hAnsiTheme="majorBidi" w:cstheme="majorBidi"/>
          <w:sz w:val="20"/>
          <w:szCs w:val="20"/>
          <w:lang w:val="en-GB"/>
        </w:rPr>
        <w:t xml:space="preserve"> per</w:t>
      </w:r>
      <w:r w:rsidR="001733D4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="00CC1698" w:rsidRPr="001733D4">
        <w:rPr>
          <w:rFonts w:asciiTheme="majorBidi" w:hAnsiTheme="majorBidi" w:cstheme="majorBidi"/>
          <w:sz w:val="20"/>
          <w:szCs w:val="20"/>
          <w:lang w:val="en-GB"/>
        </w:rPr>
        <w:t>cent</w:t>
      </w:r>
      <w:r w:rsidRPr="001733D4">
        <w:rPr>
          <w:rFonts w:asciiTheme="majorBidi" w:hAnsiTheme="majorBidi" w:cstheme="majorBidi"/>
          <w:sz w:val="20"/>
          <w:szCs w:val="20"/>
          <w:lang w:val="en-GB"/>
        </w:rPr>
        <w:t xml:space="preserve"> of </w:t>
      </w:r>
      <w:r w:rsidRPr="001733D4">
        <w:rPr>
          <w:rFonts w:asciiTheme="majorBidi" w:hAnsiTheme="majorBidi" w:cstheme="majorBidi"/>
          <w:sz w:val="20"/>
          <w:szCs w:val="20"/>
          <w:lang w:val="en-GB"/>
        </w:rPr>
        <w:lastRenderedPageBreak/>
        <w:t xml:space="preserve">audits </w:t>
      </w:r>
      <w:r w:rsidR="00760B38" w:rsidRPr="001733D4">
        <w:rPr>
          <w:rFonts w:asciiTheme="majorBidi" w:hAnsiTheme="majorBidi" w:cstheme="majorBidi"/>
          <w:sz w:val="20"/>
          <w:szCs w:val="20"/>
          <w:lang w:val="en-GB"/>
        </w:rPr>
        <w:t xml:space="preserve">had </w:t>
      </w:r>
      <w:r w:rsidRPr="001733D4">
        <w:rPr>
          <w:rFonts w:asciiTheme="majorBidi" w:hAnsiTheme="majorBidi" w:cstheme="majorBidi"/>
          <w:sz w:val="20"/>
          <w:szCs w:val="20"/>
          <w:lang w:val="en-GB"/>
        </w:rPr>
        <w:t>a satisfactory rating</w:t>
      </w:r>
      <w:r w:rsidR="007F081F" w:rsidRPr="001733D4">
        <w:rPr>
          <w:rFonts w:asciiTheme="majorBidi" w:hAnsiTheme="majorBidi" w:cstheme="majorBidi"/>
          <w:sz w:val="20"/>
          <w:szCs w:val="20"/>
          <w:lang w:val="en-GB"/>
        </w:rPr>
        <w:t xml:space="preserve"> (62</w:t>
      </w:r>
      <w:r w:rsidR="00CC1698" w:rsidRPr="001733D4">
        <w:rPr>
          <w:rFonts w:asciiTheme="majorBidi" w:hAnsiTheme="majorBidi" w:cstheme="majorBidi"/>
          <w:sz w:val="20"/>
          <w:szCs w:val="20"/>
          <w:lang w:val="en-GB"/>
        </w:rPr>
        <w:t xml:space="preserve"> per</w:t>
      </w:r>
      <w:r w:rsidR="001733D4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="00CC1698" w:rsidRPr="001733D4">
        <w:rPr>
          <w:rFonts w:asciiTheme="majorBidi" w:hAnsiTheme="majorBidi" w:cstheme="majorBidi"/>
          <w:sz w:val="20"/>
          <w:szCs w:val="20"/>
          <w:lang w:val="en-GB"/>
        </w:rPr>
        <w:t xml:space="preserve">cent </w:t>
      </w:r>
      <w:r w:rsidR="007F081F" w:rsidRPr="001733D4">
        <w:rPr>
          <w:rFonts w:asciiTheme="majorBidi" w:hAnsiTheme="majorBidi" w:cstheme="majorBidi"/>
          <w:sz w:val="20"/>
          <w:szCs w:val="20"/>
          <w:lang w:val="en-GB"/>
        </w:rPr>
        <w:t>in 2016)</w:t>
      </w:r>
      <w:r w:rsidRPr="001733D4">
        <w:rPr>
          <w:rFonts w:asciiTheme="majorBidi" w:hAnsiTheme="majorBidi" w:cstheme="majorBidi"/>
          <w:sz w:val="20"/>
          <w:szCs w:val="20"/>
          <w:lang w:val="en-GB"/>
        </w:rPr>
        <w:t xml:space="preserve">, </w:t>
      </w:r>
      <w:r w:rsidR="00760B38" w:rsidRPr="001733D4">
        <w:rPr>
          <w:rFonts w:asciiTheme="majorBidi" w:hAnsiTheme="majorBidi" w:cstheme="majorBidi"/>
          <w:sz w:val="20"/>
          <w:szCs w:val="20"/>
          <w:lang w:val="en-GB"/>
        </w:rPr>
        <w:t xml:space="preserve">the audits nonetheless </w:t>
      </w:r>
      <w:r w:rsidRPr="001733D4">
        <w:rPr>
          <w:rFonts w:asciiTheme="majorBidi" w:hAnsiTheme="majorBidi" w:cstheme="majorBidi"/>
          <w:sz w:val="20"/>
          <w:szCs w:val="20"/>
          <w:lang w:val="en-GB"/>
        </w:rPr>
        <w:t>identified</w:t>
      </w:r>
      <w:r w:rsidR="00760B38" w:rsidRPr="001733D4">
        <w:rPr>
          <w:rFonts w:asciiTheme="majorBidi" w:hAnsiTheme="majorBidi" w:cstheme="majorBidi"/>
          <w:sz w:val="20"/>
          <w:szCs w:val="20"/>
          <w:lang w:val="en-GB"/>
        </w:rPr>
        <w:t xml:space="preserve"> areas for improvement</w:t>
      </w:r>
      <w:r w:rsidRPr="001733D4">
        <w:rPr>
          <w:rFonts w:asciiTheme="majorBidi" w:hAnsiTheme="majorBidi" w:cstheme="majorBidi"/>
          <w:sz w:val="20"/>
          <w:szCs w:val="20"/>
          <w:lang w:val="en-GB"/>
        </w:rPr>
        <w:t>.</w:t>
      </w:r>
      <w:r w:rsidR="00760B38" w:rsidRPr="001733D4">
        <w:rPr>
          <w:rFonts w:asciiTheme="majorBidi" w:hAnsiTheme="majorBidi" w:cstheme="majorBidi"/>
          <w:sz w:val="20"/>
          <w:szCs w:val="20"/>
          <w:lang w:val="en-GB"/>
        </w:rPr>
        <w:t xml:space="preserve"> Moreover, the reduced percentage of satisfactory ratings since 2016 is a negative trend.</w:t>
      </w:r>
      <w:r w:rsidR="000E4A65" w:rsidRPr="001733D4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</w:p>
    <w:p w14:paraId="021B75DE" w14:textId="77777777" w:rsidR="00910F3F" w:rsidRPr="001733D4" w:rsidRDefault="00910F3F" w:rsidP="00910F3F">
      <w:pPr>
        <w:pStyle w:val="ListParagraph"/>
        <w:rPr>
          <w:rFonts w:asciiTheme="majorBidi" w:hAnsiTheme="majorBidi" w:cstheme="majorBidi"/>
          <w:sz w:val="20"/>
          <w:szCs w:val="20"/>
          <w:lang w:val="en-GB"/>
        </w:rPr>
      </w:pPr>
    </w:p>
    <w:p w14:paraId="6B6D7F81" w14:textId="5C2FB2E7" w:rsidR="00A5288D" w:rsidRPr="001733D4" w:rsidRDefault="00A5288D" w:rsidP="00910F3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0"/>
          <w:szCs w:val="20"/>
          <w:lang w:val="en-GB"/>
        </w:rPr>
      </w:pPr>
      <w:r w:rsidRPr="001733D4">
        <w:rPr>
          <w:rFonts w:asciiTheme="majorBidi" w:hAnsiTheme="majorBidi" w:cstheme="majorBidi"/>
          <w:sz w:val="20"/>
          <w:szCs w:val="20"/>
          <w:lang w:val="en-GB"/>
        </w:rPr>
        <w:t>In project audits in 2017, the cumulative financial impact of project audit reports with a qualified opinion was $139,315 (zero in 2016). For internal control reports, the financial impact on audit observations was $171,247 ($52,973 in 2016).</w:t>
      </w:r>
      <w:r w:rsidR="005A2642" w:rsidRPr="001733D4">
        <w:rPr>
          <w:rFonts w:asciiTheme="majorBidi" w:hAnsiTheme="majorBidi" w:cstheme="majorBidi"/>
          <w:sz w:val="20"/>
          <w:szCs w:val="20"/>
          <w:lang w:val="en-GB"/>
        </w:rPr>
        <w:t xml:space="preserve"> This </w:t>
      </w:r>
      <w:r w:rsidR="00D843F3" w:rsidRPr="001733D4">
        <w:rPr>
          <w:rFonts w:asciiTheme="majorBidi" w:hAnsiTheme="majorBidi" w:cstheme="majorBidi"/>
          <w:sz w:val="20"/>
          <w:szCs w:val="20"/>
          <w:lang w:val="en-GB"/>
        </w:rPr>
        <w:t xml:space="preserve">negative </w:t>
      </w:r>
      <w:r w:rsidRPr="001733D4">
        <w:rPr>
          <w:rFonts w:asciiTheme="majorBidi" w:hAnsiTheme="majorBidi" w:cstheme="majorBidi"/>
          <w:sz w:val="20"/>
          <w:szCs w:val="20"/>
          <w:lang w:val="en-GB"/>
        </w:rPr>
        <w:t>trend demonstrates a need for improvement.</w:t>
      </w:r>
    </w:p>
    <w:p w14:paraId="6D703B54" w14:textId="77777777" w:rsidR="00C24798" w:rsidRPr="001733D4" w:rsidRDefault="00C24798" w:rsidP="003F2B83">
      <w:pPr>
        <w:pStyle w:val="ListParagraph"/>
        <w:rPr>
          <w:rFonts w:asciiTheme="majorBidi" w:hAnsiTheme="majorBidi" w:cstheme="majorBidi"/>
          <w:sz w:val="20"/>
          <w:szCs w:val="20"/>
          <w:lang w:val="en-GB"/>
        </w:rPr>
      </w:pPr>
    </w:p>
    <w:p w14:paraId="2CEF2521" w14:textId="1432D5F5" w:rsidR="00C24798" w:rsidRPr="001733D4" w:rsidRDefault="001733D4" w:rsidP="00910F3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0"/>
          <w:szCs w:val="20"/>
          <w:lang w:val="en-GB"/>
        </w:rPr>
      </w:pPr>
      <w:r>
        <w:rPr>
          <w:rFonts w:asciiTheme="majorBidi" w:hAnsiTheme="majorBidi" w:cstheme="majorBidi"/>
          <w:sz w:val="20"/>
          <w:szCs w:val="20"/>
          <w:lang w:val="en-GB"/>
        </w:rPr>
        <w:t xml:space="preserve">The </w:t>
      </w:r>
      <w:r w:rsidR="00C24798" w:rsidRPr="001733D4">
        <w:rPr>
          <w:rFonts w:asciiTheme="majorBidi" w:hAnsiTheme="majorBidi" w:cstheme="majorBidi"/>
          <w:sz w:val="20"/>
          <w:szCs w:val="20"/>
          <w:lang w:val="en-GB"/>
        </w:rPr>
        <w:t xml:space="preserve">IAIG data analytics programme identified serious issues in the vendor management </w:t>
      </w:r>
      <w:r w:rsidR="003F2B83" w:rsidRPr="001733D4">
        <w:rPr>
          <w:rFonts w:asciiTheme="majorBidi" w:hAnsiTheme="majorBidi" w:cstheme="majorBidi"/>
          <w:sz w:val="20"/>
          <w:szCs w:val="20"/>
          <w:lang w:val="en-GB"/>
        </w:rPr>
        <w:t>system, which</w:t>
      </w:r>
      <w:r w:rsidR="00C24798" w:rsidRPr="001733D4">
        <w:rPr>
          <w:rFonts w:asciiTheme="majorBidi" w:hAnsiTheme="majorBidi" w:cstheme="majorBidi"/>
          <w:sz w:val="20"/>
          <w:szCs w:val="20"/>
          <w:lang w:val="en-GB"/>
        </w:rPr>
        <w:t xml:space="preserve"> required the closure of more than 16,000 vendor accounts that were duplicated or inactive. System data integrity issues also exist.</w:t>
      </w:r>
    </w:p>
    <w:p w14:paraId="62C179A3" w14:textId="77777777" w:rsidR="00A5288D" w:rsidRPr="001733D4" w:rsidRDefault="00A5288D" w:rsidP="003F2B83">
      <w:pPr>
        <w:pStyle w:val="ListParagraph"/>
        <w:rPr>
          <w:rFonts w:asciiTheme="majorBidi" w:hAnsiTheme="majorBidi" w:cstheme="majorBidi"/>
          <w:sz w:val="20"/>
          <w:szCs w:val="20"/>
          <w:lang w:val="en-GB"/>
        </w:rPr>
      </w:pPr>
    </w:p>
    <w:p w14:paraId="728568A3" w14:textId="7D46D84A" w:rsidR="006852D6" w:rsidRPr="001733D4" w:rsidRDefault="00910F3F" w:rsidP="00910F3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0"/>
          <w:szCs w:val="20"/>
          <w:lang w:val="en-GB"/>
        </w:rPr>
      </w:pPr>
      <w:r w:rsidRPr="001733D4">
        <w:rPr>
          <w:rFonts w:asciiTheme="majorBidi" w:hAnsiTheme="majorBidi" w:cstheme="majorBidi"/>
          <w:sz w:val="20"/>
          <w:szCs w:val="20"/>
          <w:lang w:val="en-GB"/>
        </w:rPr>
        <w:t xml:space="preserve">In addition to the above comparison, the qualitative nature of the audit </w:t>
      </w:r>
      <w:r w:rsidR="00882D63" w:rsidRPr="001733D4">
        <w:rPr>
          <w:rFonts w:asciiTheme="majorBidi" w:hAnsiTheme="majorBidi" w:cstheme="majorBidi"/>
          <w:sz w:val="20"/>
          <w:szCs w:val="20"/>
          <w:lang w:val="en-GB"/>
        </w:rPr>
        <w:t xml:space="preserve">and other </w:t>
      </w:r>
      <w:r w:rsidRPr="001733D4">
        <w:rPr>
          <w:rFonts w:asciiTheme="majorBidi" w:hAnsiTheme="majorBidi" w:cstheme="majorBidi"/>
          <w:sz w:val="20"/>
          <w:szCs w:val="20"/>
          <w:lang w:val="en-GB"/>
        </w:rPr>
        <w:t xml:space="preserve">results were also given due consideration. This is done to the extent that serious shortcomings on the corporate level may have been identified during the reporting </w:t>
      </w:r>
      <w:r w:rsidR="003F2B83" w:rsidRPr="001733D4">
        <w:rPr>
          <w:rFonts w:asciiTheme="majorBidi" w:hAnsiTheme="majorBidi" w:cstheme="majorBidi"/>
          <w:sz w:val="20"/>
          <w:szCs w:val="20"/>
          <w:lang w:val="en-GB"/>
        </w:rPr>
        <w:t>period, which</w:t>
      </w:r>
      <w:r w:rsidR="006852D6" w:rsidRPr="001733D4">
        <w:rPr>
          <w:rFonts w:asciiTheme="majorBidi" w:hAnsiTheme="majorBidi" w:cstheme="majorBidi"/>
          <w:sz w:val="20"/>
          <w:szCs w:val="20"/>
          <w:lang w:val="en-GB"/>
        </w:rPr>
        <w:t>, in the opinion of IAIG</w:t>
      </w:r>
      <w:r w:rsidRPr="001733D4">
        <w:rPr>
          <w:rFonts w:asciiTheme="majorBidi" w:hAnsiTheme="majorBidi" w:cstheme="majorBidi"/>
          <w:sz w:val="20"/>
          <w:szCs w:val="20"/>
          <w:lang w:val="en-GB"/>
        </w:rPr>
        <w:t xml:space="preserve">, could have a pervasive and serious negative impact across the organization. </w:t>
      </w:r>
      <w:r w:rsidR="00882D63" w:rsidRPr="001733D4">
        <w:rPr>
          <w:rFonts w:asciiTheme="majorBidi" w:hAnsiTheme="majorBidi" w:cstheme="majorBidi"/>
          <w:sz w:val="20"/>
          <w:szCs w:val="20"/>
          <w:lang w:val="en-GB"/>
        </w:rPr>
        <w:t>Further</w:t>
      </w:r>
      <w:r w:rsidR="001733D4">
        <w:rPr>
          <w:rFonts w:asciiTheme="majorBidi" w:hAnsiTheme="majorBidi" w:cstheme="majorBidi"/>
          <w:sz w:val="20"/>
          <w:szCs w:val="20"/>
          <w:lang w:val="en-GB"/>
        </w:rPr>
        <w:t>more</w:t>
      </w:r>
      <w:r w:rsidR="00882D63" w:rsidRPr="001733D4">
        <w:rPr>
          <w:rFonts w:asciiTheme="majorBidi" w:hAnsiTheme="majorBidi" w:cstheme="majorBidi"/>
          <w:sz w:val="20"/>
          <w:szCs w:val="20"/>
          <w:lang w:val="en-GB"/>
        </w:rPr>
        <w:t xml:space="preserve">, qualitative matters arising from investigations have been considered in the </w:t>
      </w:r>
      <w:r w:rsidR="00C009B2" w:rsidRPr="001733D4">
        <w:rPr>
          <w:rFonts w:asciiTheme="majorBidi" w:hAnsiTheme="majorBidi" w:cstheme="majorBidi"/>
          <w:sz w:val="20"/>
          <w:szCs w:val="20"/>
          <w:lang w:val="en-GB"/>
        </w:rPr>
        <w:t>opinion.</w:t>
      </w:r>
    </w:p>
    <w:p w14:paraId="030C2EC1" w14:textId="77777777" w:rsidR="006852D6" w:rsidRPr="001733D4" w:rsidRDefault="006852D6" w:rsidP="006852D6">
      <w:pPr>
        <w:pStyle w:val="ListParagraph"/>
        <w:rPr>
          <w:rFonts w:asciiTheme="majorBidi" w:hAnsiTheme="majorBidi" w:cstheme="majorBidi"/>
          <w:sz w:val="20"/>
          <w:szCs w:val="20"/>
          <w:lang w:val="en-GB"/>
        </w:rPr>
      </w:pPr>
    </w:p>
    <w:p w14:paraId="056A5E22" w14:textId="45E4BF8C" w:rsidR="00910F3F" w:rsidRPr="001733D4" w:rsidRDefault="00910F3F" w:rsidP="006852D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0"/>
          <w:szCs w:val="20"/>
          <w:lang w:val="en-GB"/>
        </w:rPr>
      </w:pPr>
      <w:r w:rsidRPr="001733D4">
        <w:rPr>
          <w:rFonts w:asciiTheme="majorBidi" w:hAnsiTheme="majorBidi" w:cstheme="majorBidi"/>
          <w:sz w:val="20"/>
          <w:szCs w:val="20"/>
          <w:lang w:val="en-GB"/>
        </w:rPr>
        <w:t>The implementation rate of internal audit recommendations was also taken into consideration</w:t>
      </w:r>
      <w:r w:rsidR="006852D6" w:rsidRPr="001733D4">
        <w:rPr>
          <w:rFonts w:asciiTheme="majorBidi" w:hAnsiTheme="majorBidi" w:cstheme="majorBidi"/>
          <w:sz w:val="20"/>
          <w:szCs w:val="20"/>
          <w:lang w:val="en-GB"/>
        </w:rPr>
        <w:t xml:space="preserve">. </w:t>
      </w:r>
      <w:r w:rsidRPr="001733D4">
        <w:rPr>
          <w:rFonts w:asciiTheme="majorBidi" w:hAnsiTheme="majorBidi" w:cstheme="majorBidi"/>
          <w:sz w:val="20"/>
          <w:szCs w:val="20"/>
          <w:lang w:val="en-GB"/>
        </w:rPr>
        <w:t>The actual implementation rate of internal audit re</w:t>
      </w:r>
      <w:r w:rsidR="006852D6" w:rsidRPr="001733D4">
        <w:rPr>
          <w:rFonts w:asciiTheme="majorBidi" w:hAnsiTheme="majorBidi" w:cstheme="majorBidi"/>
          <w:sz w:val="20"/>
          <w:szCs w:val="20"/>
          <w:lang w:val="en-GB"/>
        </w:rPr>
        <w:t>commendations at the end of 201</w:t>
      </w:r>
      <w:r w:rsidR="007F081F" w:rsidRPr="001733D4">
        <w:rPr>
          <w:rFonts w:asciiTheme="majorBidi" w:hAnsiTheme="majorBidi" w:cstheme="majorBidi"/>
          <w:sz w:val="20"/>
          <w:szCs w:val="20"/>
          <w:lang w:val="en-GB"/>
        </w:rPr>
        <w:t>7</w:t>
      </w:r>
      <w:r w:rsidR="006852D6" w:rsidRPr="001733D4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="001733D4">
        <w:rPr>
          <w:rFonts w:asciiTheme="majorBidi" w:hAnsiTheme="majorBidi" w:cstheme="majorBidi"/>
          <w:sz w:val="20"/>
          <w:szCs w:val="20"/>
          <w:lang w:val="en-GB"/>
        </w:rPr>
        <w:t xml:space="preserve">was </w:t>
      </w:r>
      <w:r w:rsidR="006852D6" w:rsidRPr="001733D4">
        <w:rPr>
          <w:rFonts w:asciiTheme="majorBidi" w:hAnsiTheme="majorBidi" w:cstheme="majorBidi"/>
          <w:sz w:val="20"/>
          <w:szCs w:val="20"/>
          <w:lang w:val="en-GB"/>
        </w:rPr>
        <w:t>9</w:t>
      </w:r>
      <w:r w:rsidR="00760B38" w:rsidRPr="001733D4">
        <w:rPr>
          <w:rFonts w:asciiTheme="majorBidi" w:hAnsiTheme="majorBidi" w:cstheme="majorBidi"/>
          <w:sz w:val="20"/>
          <w:szCs w:val="20"/>
          <w:lang w:val="en-GB"/>
        </w:rPr>
        <w:t>2</w:t>
      </w:r>
      <w:r w:rsidRPr="001733D4">
        <w:rPr>
          <w:rFonts w:asciiTheme="majorBidi" w:hAnsiTheme="majorBidi" w:cstheme="majorBidi"/>
          <w:sz w:val="20"/>
          <w:szCs w:val="20"/>
          <w:lang w:val="en-GB"/>
        </w:rPr>
        <w:t xml:space="preserve"> per</w:t>
      </w:r>
      <w:r w:rsidR="001733D4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Pr="001733D4">
        <w:rPr>
          <w:rFonts w:asciiTheme="majorBidi" w:hAnsiTheme="majorBidi" w:cstheme="majorBidi"/>
          <w:sz w:val="20"/>
          <w:szCs w:val="20"/>
          <w:lang w:val="en-GB"/>
        </w:rPr>
        <w:t xml:space="preserve">cent and therefore </w:t>
      </w:r>
      <w:r w:rsidR="001545BF">
        <w:rPr>
          <w:rFonts w:asciiTheme="majorBidi" w:hAnsiTheme="majorBidi" w:cstheme="majorBidi"/>
          <w:sz w:val="20"/>
          <w:szCs w:val="20"/>
          <w:lang w:val="en-GB"/>
        </w:rPr>
        <w:t>“</w:t>
      </w:r>
      <w:r w:rsidRPr="001733D4">
        <w:rPr>
          <w:rFonts w:asciiTheme="majorBidi" w:hAnsiTheme="majorBidi" w:cstheme="majorBidi"/>
          <w:sz w:val="20"/>
          <w:szCs w:val="20"/>
          <w:lang w:val="en-GB"/>
        </w:rPr>
        <w:t>s</w:t>
      </w:r>
      <w:r w:rsidR="006852D6" w:rsidRPr="001733D4">
        <w:rPr>
          <w:rFonts w:asciiTheme="majorBidi" w:hAnsiTheme="majorBidi" w:cstheme="majorBidi"/>
          <w:sz w:val="20"/>
          <w:szCs w:val="20"/>
          <w:lang w:val="en-GB"/>
        </w:rPr>
        <w:t>atisfactory</w:t>
      </w:r>
      <w:r w:rsidR="001545BF">
        <w:rPr>
          <w:rFonts w:asciiTheme="majorBidi" w:hAnsiTheme="majorBidi" w:cstheme="majorBidi"/>
          <w:sz w:val="20"/>
          <w:szCs w:val="20"/>
          <w:lang w:val="en-GB"/>
        </w:rPr>
        <w:t>”</w:t>
      </w:r>
      <w:r w:rsidRPr="001733D4">
        <w:rPr>
          <w:rFonts w:asciiTheme="majorBidi" w:hAnsiTheme="majorBidi" w:cstheme="majorBidi"/>
          <w:sz w:val="20"/>
          <w:szCs w:val="20"/>
          <w:lang w:val="en-GB"/>
        </w:rPr>
        <w:t>.</w:t>
      </w:r>
      <w:r w:rsidR="006852D6" w:rsidRPr="001733D4">
        <w:rPr>
          <w:rFonts w:asciiTheme="majorBidi" w:hAnsiTheme="majorBidi" w:cstheme="majorBidi"/>
          <w:sz w:val="20"/>
          <w:szCs w:val="20"/>
          <w:lang w:val="en-GB"/>
        </w:rPr>
        <w:t xml:space="preserve"> The rate of 9</w:t>
      </w:r>
      <w:r w:rsidR="00760B38" w:rsidRPr="001733D4">
        <w:rPr>
          <w:rFonts w:asciiTheme="majorBidi" w:hAnsiTheme="majorBidi" w:cstheme="majorBidi"/>
          <w:sz w:val="20"/>
          <w:szCs w:val="20"/>
          <w:lang w:val="en-GB"/>
        </w:rPr>
        <w:t>2</w:t>
      </w:r>
      <w:r w:rsidRPr="001733D4">
        <w:rPr>
          <w:rFonts w:asciiTheme="majorBidi" w:hAnsiTheme="majorBidi" w:cstheme="majorBidi"/>
          <w:sz w:val="20"/>
          <w:szCs w:val="20"/>
          <w:lang w:val="en-GB"/>
        </w:rPr>
        <w:t xml:space="preserve"> per</w:t>
      </w:r>
      <w:r w:rsidR="001733D4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Pr="001733D4">
        <w:rPr>
          <w:rFonts w:asciiTheme="majorBidi" w:hAnsiTheme="majorBidi" w:cstheme="majorBidi"/>
          <w:sz w:val="20"/>
          <w:szCs w:val="20"/>
          <w:lang w:val="en-GB"/>
        </w:rPr>
        <w:t>cent gives comfort that the organization takes effective and timely action to address deficiencies identified in audits.</w:t>
      </w:r>
      <w:r w:rsidR="00760B38" w:rsidRPr="001733D4">
        <w:rPr>
          <w:rFonts w:asciiTheme="majorBidi" w:hAnsiTheme="majorBidi" w:cstheme="majorBidi"/>
          <w:sz w:val="20"/>
          <w:szCs w:val="20"/>
          <w:lang w:val="en-GB"/>
        </w:rPr>
        <w:t xml:space="preserve"> Nonetheless, IAIG notes a </w:t>
      </w:r>
      <w:r w:rsidR="001733D4">
        <w:rPr>
          <w:rFonts w:asciiTheme="majorBidi" w:hAnsiTheme="majorBidi" w:cstheme="majorBidi"/>
          <w:sz w:val="20"/>
          <w:szCs w:val="20"/>
          <w:lang w:val="en-GB"/>
        </w:rPr>
        <w:t xml:space="preserve">1 </w:t>
      </w:r>
      <w:r w:rsidR="00760B38" w:rsidRPr="001733D4">
        <w:rPr>
          <w:rFonts w:asciiTheme="majorBidi" w:hAnsiTheme="majorBidi" w:cstheme="majorBidi"/>
          <w:sz w:val="20"/>
          <w:szCs w:val="20"/>
          <w:lang w:val="en-GB"/>
        </w:rPr>
        <w:t>per</w:t>
      </w:r>
      <w:r w:rsidR="001733D4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="00760B38" w:rsidRPr="001733D4">
        <w:rPr>
          <w:rFonts w:asciiTheme="majorBidi" w:hAnsiTheme="majorBidi" w:cstheme="majorBidi"/>
          <w:sz w:val="20"/>
          <w:szCs w:val="20"/>
          <w:lang w:val="en-GB"/>
        </w:rPr>
        <w:t>cent decrease in the implementation rate from 93 per</w:t>
      </w:r>
      <w:r w:rsidR="001733D4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="00760B38" w:rsidRPr="001733D4">
        <w:rPr>
          <w:rFonts w:asciiTheme="majorBidi" w:hAnsiTheme="majorBidi" w:cstheme="majorBidi"/>
          <w:sz w:val="20"/>
          <w:szCs w:val="20"/>
          <w:lang w:val="en-GB"/>
        </w:rPr>
        <w:t>cent in 2016.</w:t>
      </w:r>
    </w:p>
    <w:p w14:paraId="5CAA04C9" w14:textId="77777777" w:rsidR="006852D6" w:rsidRPr="001733D4" w:rsidRDefault="006852D6" w:rsidP="006852D6">
      <w:pPr>
        <w:pStyle w:val="ListParagraph"/>
        <w:rPr>
          <w:rFonts w:asciiTheme="majorBidi" w:hAnsiTheme="majorBidi" w:cstheme="majorBidi"/>
          <w:sz w:val="20"/>
          <w:szCs w:val="20"/>
          <w:lang w:val="en-GB"/>
        </w:rPr>
      </w:pPr>
    </w:p>
    <w:p w14:paraId="018679F7" w14:textId="3D89AB15" w:rsidR="00910F3F" w:rsidRPr="001733D4" w:rsidRDefault="00910F3F" w:rsidP="006852D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0"/>
          <w:szCs w:val="20"/>
          <w:lang w:val="en-GB"/>
        </w:rPr>
      </w:pPr>
      <w:r w:rsidRPr="001733D4">
        <w:rPr>
          <w:rFonts w:asciiTheme="majorBidi" w:hAnsiTheme="majorBidi" w:cstheme="majorBidi"/>
          <w:sz w:val="20"/>
          <w:szCs w:val="20"/>
          <w:lang w:val="en-GB"/>
        </w:rPr>
        <w:t xml:space="preserve">Consequently, based on the </w:t>
      </w:r>
      <w:r w:rsidR="006852D6" w:rsidRPr="001733D4">
        <w:rPr>
          <w:rFonts w:asciiTheme="majorBidi" w:hAnsiTheme="majorBidi" w:cstheme="majorBidi"/>
          <w:sz w:val="20"/>
          <w:szCs w:val="20"/>
          <w:lang w:val="en-GB"/>
        </w:rPr>
        <w:t>scope of work undertaken in 201</w:t>
      </w:r>
      <w:r w:rsidR="007F081F" w:rsidRPr="001733D4">
        <w:rPr>
          <w:rFonts w:asciiTheme="majorBidi" w:hAnsiTheme="majorBidi" w:cstheme="majorBidi"/>
          <w:sz w:val="20"/>
          <w:szCs w:val="20"/>
          <w:lang w:val="en-GB"/>
        </w:rPr>
        <w:t>7</w:t>
      </w:r>
      <w:r w:rsidR="00E070B7" w:rsidRPr="001733D4">
        <w:rPr>
          <w:rFonts w:asciiTheme="majorBidi" w:hAnsiTheme="majorBidi" w:cstheme="majorBidi"/>
          <w:sz w:val="20"/>
          <w:szCs w:val="20"/>
          <w:lang w:val="en-GB"/>
        </w:rPr>
        <w:t>, in IAIG</w:t>
      </w:r>
      <w:r w:rsidRPr="001733D4">
        <w:rPr>
          <w:rFonts w:asciiTheme="majorBidi" w:hAnsiTheme="majorBidi" w:cstheme="majorBidi"/>
          <w:sz w:val="20"/>
          <w:szCs w:val="20"/>
          <w:lang w:val="en-GB"/>
        </w:rPr>
        <w:t xml:space="preserve"> opinion, the adequacy and effectiveness of the governance, risk management and control in </w:t>
      </w:r>
      <w:r w:rsidR="006852D6" w:rsidRPr="001733D4">
        <w:rPr>
          <w:rFonts w:asciiTheme="majorBidi" w:hAnsiTheme="majorBidi" w:cstheme="majorBidi"/>
          <w:sz w:val="20"/>
          <w:szCs w:val="20"/>
          <w:lang w:val="en-GB"/>
        </w:rPr>
        <w:t xml:space="preserve">the audit reports issued in </w:t>
      </w:r>
      <w:r w:rsidR="00CC1698" w:rsidRPr="001733D4">
        <w:rPr>
          <w:rFonts w:asciiTheme="majorBidi" w:hAnsiTheme="majorBidi" w:cstheme="majorBidi"/>
          <w:sz w:val="20"/>
          <w:szCs w:val="20"/>
          <w:lang w:val="en-GB"/>
        </w:rPr>
        <w:t xml:space="preserve">2017 </w:t>
      </w:r>
      <w:r w:rsidR="0084571A" w:rsidRPr="001733D4">
        <w:rPr>
          <w:rFonts w:asciiTheme="majorBidi" w:hAnsiTheme="majorBidi" w:cstheme="majorBidi"/>
          <w:sz w:val="20"/>
          <w:szCs w:val="20"/>
          <w:lang w:val="en-GB"/>
        </w:rPr>
        <w:t>were, in aggregate, “p</w:t>
      </w:r>
      <w:r w:rsidRPr="001733D4">
        <w:rPr>
          <w:rFonts w:asciiTheme="majorBidi" w:hAnsiTheme="majorBidi" w:cstheme="majorBidi"/>
          <w:sz w:val="20"/>
          <w:szCs w:val="20"/>
          <w:lang w:val="en-GB"/>
        </w:rPr>
        <w:t>artially satisfactory</w:t>
      </w:r>
      <w:r w:rsidR="0084571A" w:rsidRPr="001733D4">
        <w:rPr>
          <w:rFonts w:asciiTheme="majorBidi" w:hAnsiTheme="majorBidi" w:cstheme="majorBidi"/>
          <w:sz w:val="20"/>
          <w:szCs w:val="20"/>
          <w:lang w:val="en-GB"/>
        </w:rPr>
        <w:t xml:space="preserve"> (major improvement needed)</w:t>
      </w:r>
      <w:r w:rsidRPr="001733D4">
        <w:rPr>
          <w:rFonts w:asciiTheme="majorBidi" w:hAnsiTheme="majorBidi" w:cstheme="majorBidi"/>
          <w:sz w:val="20"/>
          <w:szCs w:val="20"/>
          <w:lang w:val="en-GB"/>
        </w:rPr>
        <w:t>”</w:t>
      </w:r>
      <w:r w:rsidR="008A41C2" w:rsidRPr="001733D4">
        <w:rPr>
          <w:rFonts w:asciiTheme="majorBidi" w:hAnsiTheme="majorBidi" w:cstheme="majorBidi"/>
          <w:sz w:val="20"/>
          <w:szCs w:val="20"/>
          <w:lang w:val="en-GB"/>
        </w:rPr>
        <w:t xml:space="preserve">. This </w:t>
      </w:r>
      <w:r w:rsidRPr="001733D4">
        <w:rPr>
          <w:rFonts w:asciiTheme="majorBidi" w:hAnsiTheme="majorBidi" w:cstheme="majorBidi"/>
          <w:sz w:val="20"/>
          <w:szCs w:val="20"/>
          <w:lang w:val="en-GB"/>
        </w:rPr>
        <w:t>means that they were generally established and functioning but needed</w:t>
      </w:r>
      <w:r w:rsidR="0084571A" w:rsidRPr="001733D4">
        <w:rPr>
          <w:rFonts w:asciiTheme="majorBidi" w:hAnsiTheme="majorBidi" w:cstheme="majorBidi"/>
          <w:sz w:val="20"/>
          <w:szCs w:val="20"/>
          <w:lang w:val="en-GB"/>
        </w:rPr>
        <w:t xml:space="preserve"> major</w:t>
      </w:r>
      <w:r w:rsidRPr="001733D4">
        <w:rPr>
          <w:rFonts w:asciiTheme="majorBidi" w:hAnsiTheme="majorBidi" w:cstheme="majorBidi"/>
          <w:sz w:val="20"/>
          <w:szCs w:val="20"/>
          <w:lang w:val="en-GB"/>
        </w:rPr>
        <w:t xml:space="preserve"> improvement.</w:t>
      </w:r>
      <w:r w:rsidR="0084571A" w:rsidRPr="001733D4">
        <w:rPr>
          <w:rFonts w:asciiTheme="majorBidi" w:hAnsiTheme="majorBidi" w:cstheme="majorBidi"/>
          <w:sz w:val="20"/>
          <w:szCs w:val="20"/>
          <w:lang w:val="en-GB"/>
        </w:rPr>
        <w:t xml:space="preserve"> Issues identified could significantly affect the achievement of the objectives of the organization.</w:t>
      </w:r>
    </w:p>
    <w:sectPr w:rsidR="00910F3F" w:rsidRPr="001733D4" w:rsidSect="00882905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86B17" w14:textId="77777777" w:rsidR="00382726" w:rsidRDefault="00382726" w:rsidP="00CF0B73">
      <w:pPr>
        <w:spacing w:after="0" w:line="240" w:lineRule="auto"/>
      </w:pPr>
      <w:r>
        <w:separator/>
      </w:r>
    </w:p>
  </w:endnote>
  <w:endnote w:type="continuationSeparator" w:id="0">
    <w:p w14:paraId="4E04CB8C" w14:textId="77777777" w:rsidR="00382726" w:rsidRDefault="00382726" w:rsidP="00CF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E55C6" w14:textId="77777777" w:rsidR="00382726" w:rsidRDefault="00382726" w:rsidP="00CF0B73">
      <w:pPr>
        <w:spacing w:after="0" w:line="240" w:lineRule="auto"/>
      </w:pPr>
      <w:r>
        <w:separator/>
      </w:r>
    </w:p>
  </w:footnote>
  <w:footnote w:type="continuationSeparator" w:id="0">
    <w:p w14:paraId="3486B60D" w14:textId="77777777" w:rsidR="00382726" w:rsidRDefault="00382726" w:rsidP="00CF0B73">
      <w:pPr>
        <w:spacing w:after="0" w:line="240" w:lineRule="auto"/>
      </w:pPr>
      <w:r>
        <w:continuationSeparator/>
      </w:r>
    </w:p>
  </w:footnote>
  <w:footnote w:id="1">
    <w:p w14:paraId="2C265CF8" w14:textId="33B29825" w:rsidR="00F9179A" w:rsidRPr="00D55EAD" w:rsidRDefault="00F9179A">
      <w:pPr>
        <w:pStyle w:val="FootnoteText"/>
        <w:rPr>
          <w:lang w:val="en-GB"/>
        </w:rPr>
      </w:pPr>
      <w:r w:rsidRPr="00D55EAD">
        <w:rPr>
          <w:rStyle w:val="FootnoteReference"/>
          <w:sz w:val="16"/>
        </w:rPr>
        <w:footnoteRef/>
      </w:r>
      <w:r w:rsidRPr="00D55EAD">
        <w:rPr>
          <w:sz w:val="16"/>
        </w:rPr>
        <w:t xml:space="preserve"> </w:t>
      </w:r>
      <w:r w:rsidRPr="00D55EAD">
        <w:rPr>
          <w:sz w:val="16"/>
          <w:lang w:val="en-GB"/>
        </w:rPr>
        <w:t xml:space="preserve">There are 48 ratings, but only 45 reports. This is because the </w:t>
      </w:r>
      <w:r w:rsidR="001733D4">
        <w:rPr>
          <w:sz w:val="16"/>
          <w:lang w:val="en-GB"/>
        </w:rPr>
        <w:t>i</w:t>
      </w:r>
      <w:r w:rsidRPr="00D55EAD">
        <w:rPr>
          <w:sz w:val="16"/>
          <w:lang w:val="en-GB"/>
        </w:rPr>
        <w:t xml:space="preserve">nternal </w:t>
      </w:r>
      <w:r w:rsidR="001733D4">
        <w:rPr>
          <w:sz w:val="16"/>
          <w:lang w:val="en-GB"/>
        </w:rPr>
        <w:t>a</w:t>
      </w:r>
      <w:r w:rsidRPr="00D55EAD">
        <w:rPr>
          <w:sz w:val="16"/>
          <w:lang w:val="en-GB"/>
        </w:rPr>
        <w:t xml:space="preserve">udit of Panama contains </w:t>
      </w:r>
      <w:r w:rsidR="003F2B83" w:rsidRPr="00D55EAD">
        <w:rPr>
          <w:sz w:val="16"/>
          <w:lang w:val="en-GB"/>
        </w:rPr>
        <w:t>four</w:t>
      </w:r>
      <w:r w:rsidRPr="00D55EAD">
        <w:rPr>
          <w:sz w:val="16"/>
          <w:lang w:val="en-GB"/>
        </w:rPr>
        <w:t xml:space="preserve"> separate ratings.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E1035" w14:textId="77777777" w:rsidR="00E77D4E" w:rsidRDefault="00E77D4E" w:rsidP="00E77D4E">
    <w:r>
      <w:rPr>
        <w:rFonts w:ascii="Arial" w:hAnsi="Arial" w:cs="Arial"/>
        <w:noProof/>
        <w:color w:val="000000"/>
        <w:sz w:val="20"/>
        <w:szCs w:val="20"/>
        <w:lang w:val="en-US"/>
      </w:rPr>
      <w:drawing>
        <wp:inline distT="0" distB="0" distL="0" distR="0" wp14:anchorId="1ECB1C24" wp14:editId="71035842">
          <wp:extent cx="2981325" cy="638175"/>
          <wp:effectExtent l="0" t="0" r="9525" b="952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0A97C" w14:textId="77777777" w:rsidR="00E77D4E" w:rsidRDefault="00E77D4E" w:rsidP="00E77D4E">
    <w:pPr>
      <w:spacing w:after="0" w:line="240" w:lineRule="auto"/>
      <w:rPr>
        <w:rFonts w:ascii="Times New Roman" w:hAnsi="Times New Roman"/>
        <w:sz w:val="20"/>
        <w:szCs w:val="20"/>
      </w:rPr>
    </w:pPr>
    <w:r w:rsidRPr="00487431">
      <w:rPr>
        <w:rFonts w:ascii="Times New Roman" w:hAnsi="Times New Roman"/>
        <w:sz w:val="20"/>
        <w:szCs w:val="20"/>
      </w:rPr>
      <w:t>Internal Audit and Investigation</w:t>
    </w:r>
    <w:r>
      <w:rPr>
        <w:rFonts w:ascii="Times New Roman" w:hAnsi="Times New Roman"/>
        <w:sz w:val="20"/>
        <w:szCs w:val="20"/>
      </w:rPr>
      <w:t>s</w:t>
    </w:r>
    <w:r w:rsidRPr="00487431">
      <w:rPr>
        <w:rFonts w:ascii="Times New Roman" w:hAnsi="Times New Roman"/>
        <w:sz w:val="20"/>
        <w:szCs w:val="20"/>
      </w:rPr>
      <w:t xml:space="preserve"> Group</w:t>
    </w:r>
  </w:p>
  <w:p w14:paraId="1FA2A090" w14:textId="77777777" w:rsidR="00CF0B73" w:rsidRPr="00E77D4E" w:rsidRDefault="00E77D4E" w:rsidP="00E77D4E">
    <w:pPr>
      <w:tabs>
        <w:tab w:val="right" w:pos="8505"/>
      </w:tabs>
      <w:spacing w:after="0" w:line="240" w:lineRule="auto"/>
      <w:rPr>
        <w:rFonts w:ascii="Times New Roman" w:hAnsi="Times New Roman"/>
        <w:b/>
        <w:sz w:val="20"/>
        <w:szCs w:val="20"/>
      </w:rPr>
    </w:pPr>
    <w:r w:rsidRPr="00B04183">
      <w:rPr>
        <w:rFonts w:ascii="Times New Roman" w:hAnsi="Times New Roman"/>
        <w:b/>
        <w:sz w:val="20"/>
        <w:szCs w:val="20"/>
      </w:rPr>
      <w:t>IAIG Activity Report for 201</w:t>
    </w:r>
    <w:r w:rsidR="00B444FE" w:rsidRPr="00B04183">
      <w:rPr>
        <w:rFonts w:ascii="Times New Roman" w:hAnsi="Times New Roman"/>
        <w:b/>
        <w:sz w:val="20"/>
        <w:szCs w:val="20"/>
      </w:rPr>
      <w:t>7</w:t>
    </w:r>
    <w:r w:rsidR="00910F3F">
      <w:rPr>
        <w:rFonts w:ascii="Times New Roman" w:hAnsi="Times New Roman"/>
        <w:b/>
        <w:sz w:val="20"/>
        <w:szCs w:val="20"/>
      </w:rPr>
      <w:tab/>
      <w:t>Annex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26C2D"/>
    <w:multiLevelType w:val="hybridMultilevel"/>
    <w:tmpl w:val="524E0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CD5038"/>
    <w:multiLevelType w:val="hybridMultilevel"/>
    <w:tmpl w:val="C11CCA2E"/>
    <w:lvl w:ilvl="0" w:tplc="2BEEA28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76" w:hanging="360"/>
      </w:pPr>
    </w:lvl>
    <w:lvl w:ilvl="2" w:tplc="0809001B" w:tentative="1">
      <w:start w:val="1"/>
      <w:numFmt w:val="lowerRoman"/>
      <w:lvlText w:val="%3."/>
      <w:lvlJc w:val="right"/>
      <w:pPr>
        <w:ind w:left="3096" w:hanging="180"/>
      </w:pPr>
    </w:lvl>
    <w:lvl w:ilvl="3" w:tplc="0809000F" w:tentative="1">
      <w:start w:val="1"/>
      <w:numFmt w:val="decimal"/>
      <w:lvlText w:val="%4."/>
      <w:lvlJc w:val="left"/>
      <w:pPr>
        <w:ind w:left="3816" w:hanging="360"/>
      </w:pPr>
    </w:lvl>
    <w:lvl w:ilvl="4" w:tplc="08090019" w:tentative="1">
      <w:start w:val="1"/>
      <w:numFmt w:val="lowerLetter"/>
      <w:lvlText w:val="%5."/>
      <w:lvlJc w:val="left"/>
      <w:pPr>
        <w:ind w:left="4536" w:hanging="360"/>
      </w:pPr>
    </w:lvl>
    <w:lvl w:ilvl="5" w:tplc="0809001B" w:tentative="1">
      <w:start w:val="1"/>
      <w:numFmt w:val="lowerRoman"/>
      <w:lvlText w:val="%6."/>
      <w:lvlJc w:val="right"/>
      <w:pPr>
        <w:ind w:left="5256" w:hanging="180"/>
      </w:pPr>
    </w:lvl>
    <w:lvl w:ilvl="6" w:tplc="0809000F" w:tentative="1">
      <w:start w:val="1"/>
      <w:numFmt w:val="decimal"/>
      <w:lvlText w:val="%7."/>
      <w:lvlJc w:val="left"/>
      <w:pPr>
        <w:ind w:left="5976" w:hanging="360"/>
      </w:pPr>
    </w:lvl>
    <w:lvl w:ilvl="7" w:tplc="08090019" w:tentative="1">
      <w:start w:val="1"/>
      <w:numFmt w:val="lowerLetter"/>
      <w:lvlText w:val="%8."/>
      <w:lvlJc w:val="left"/>
      <w:pPr>
        <w:ind w:left="6696" w:hanging="360"/>
      </w:pPr>
    </w:lvl>
    <w:lvl w:ilvl="8" w:tplc="08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31F95D76"/>
    <w:multiLevelType w:val="hybridMultilevel"/>
    <w:tmpl w:val="B7829948"/>
    <w:lvl w:ilvl="0" w:tplc="D9682526">
      <w:start w:val="1"/>
      <w:numFmt w:val="lowerLetter"/>
      <w:lvlText w:val="(%1)"/>
      <w:lvlJc w:val="left"/>
      <w:pPr>
        <w:ind w:left="1636" w:hanging="360"/>
      </w:pPr>
      <w:rPr>
        <w:rFonts w:ascii="Times New Roman" w:hAnsi="Times New Roman" w:cs="Times New Roman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367727AF"/>
    <w:multiLevelType w:val="hybridMultilevel"/>
    <w:tmpl w:val="377E3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BEA6756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AD3F1D"/>
    <w:multiLevelType w:val="hybridMultilevel"/>
    <w:tmpl w:val="125A86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13"/>
    <w:rsid w:val="00027D94"/>
    <w:rsid w:val="00036515"/>
    <w:rsid w:val="00066CA2"/>
    <w:rsid w:val="00087E45"/>
    <w:rsid w:val="000A2621"/>
    <w:rsid w:val="000A79CC"/>
    <w:rsid w:val="000B1219"/>
    <w:rsid w:val="000B2F50"/>
    <w:rsid w:val="000B396F"/>
    <w:rsid w:val="000B49A7"/>
    <w:rsid w:val="000B4B5C"/>
    <w:rsid w:val="000C49C2"/>
    <w:rsid w:val="000D1D69"/>
    <w:rsid w:val="000D735E"/>
    <w:rsid w:val="000E4A65"/>
    <w:rsid w:val="00145D40"/>
    <w:rsid w:val="00146773"/>
    <w:rsid w:val="00152BF8"/>
    <w:rsid w:val="001545BF"/>
    <w:rsid w:val="0015798C"/>
    <w:rsid w:val="00171E29"/>
    <w:rsid w:val="001733D4"/>
    <w:rsid w:val="0019412A"/>
    <w:rsid w:val="001A6ECA"/>
    <w:rsid w:val="001B7AAA"/>
    <w:rsid w:val="001D0B13"/>
    <w:rsid w:val="001D41EF"/>
    <w:rsid w:val="001E7215"/>
    <w:rsid w:val="001F7D9C"/>
    <w:rsid w:val="00204845"/>
    <w:rsid w:val="0022710D"/>
    <w:rsid w:val="00233663"/>
    <w:rsid w:val="002542A2"/>
    <w:rsid w:val="002773B3"/>
    <w:rsid w:val="00295A22"/>
    <w:rsid w:val="002A7457"/>
    <w:rsid w:val="002D3566"/>
    <w:rsid w:val="002E2B86"/>
    <w:rsid w:val="002F588E"/>
    <w:rsid w:val="003019DB"/>
    <w:rsid w:val="00322A7A"/>
    <w:rsid w:val="00374F13"/>
    <w:rsid w:val="00376201"/>
    <w:rsid w:val="0038155D"/>
    <w:rsid w:val="00382726"/>
    <w:rsid w:val="00386E96"/>
    <w:rsid w:val="003A479A"/>
    <w:rsid w:val="003C4BB5"/>
    <w:rsid w:val="003D0918"/>
    <w:rsid w:val="003D118C"/>
    <w:rsid w:val="003E6EF8"/>
    <w:rsid w:val="003E700A"/>
    <w:rsid w:val="003F2B83"/>
    <w:rsid w:val="003F3A3C"/>
    <w:rsid w:val="004112AE"/>
    <w:rsid w:val="00412AB4"/>
    <w:rsid w:val="00413895"/>
    <w:rsid w:val="00450978"/>
    <w:rsid w:val="004B1029"/>
    <w:rsid w:val="004B6F7C"/>
    <w:rsid w:val="004C55C3"/>
    <w:rsid w:val="004C7C36"/>
    <w:rsid w:val="004D2538"/>
    <w:rsid w:val="004D5A88"/>
    <w:rsid w:val="004E22C0"/>
    <w:rsid w:val="004F2A15"/>
    <w:rsid w:val="0052483D"/>
    <w:rsid w:val="005324C7"/>
    <w:rsid w:val="0056369B"/>
    <w:rsid w:val="005812F8"/>
    <w:rsid w:val="005A2642"/>
    <w:rsid w:val="005B6D3A"/>
    <w:rsid w:val="005D4366"/>
    <w:rsid w:val="005D6873"/>
    <w:rsid w:val="005F330D"/>
    <w:rsid w:val="006237CC"/>
    <w:rsid w:val="00670324"/>
    <w:rsid w:val="006852D6"/>
    <w:rsid w:val="006A3A88"/>
    <w:rsid w:val="006A6481"/>
    <w:rsid w:val="00705F9E"/>
    <w:rsid w:val="00735565"/>
    <w:rsid w:val="007443C8"/>
    <w:rsid w:val="00760B38"/>
    <w:rsid w:val="0079360C"/>
    <w:rsid w:val="007E0451"/>
    <w:rsid w:val="007F0787"/>
    <w:rsid w:val="007F081F"/>
    <w:rsid w:val="007F615D"/>
    <w:rsid w:val="007F6349"/>
    <w:rsid w:val="0080247D"/>
    <w:rsid w:val="0080307F"/>
    <w:rsid w:val="008138AA"/>
    <w:rsid w:val="00825D61"/>
    <w:rsid w:val="00833534"/>
    <w:rsid w:val="00835EBC"/>
    <w:rsid w:val="008435B0"/>
    <w:rsid w:val="0084571A"/>
    <w:rsid w:val="00865486"/>
    <w:rsid w:val="00881E70"/>
    <w:rsid w:val="00882905"/>
    <w:rsid w:val="00882D63"/>
    <w:rsid w:val="00894C18"/>
    <w:rsid w:val="008A0469"/>
    <w:rsid w:val="008A41C2"/>
    <w:rsid w:val="008E4CE9"/>
    <w:rsid w:val="008F1124"/>
    <w:rsid w:val="00910F3F"/>
    <w:rsid w:val="009C6207"/>
    <w:rsid w:val="009D2507"/>
    <w:rsid w:val="009D5736"/>
    <w:rsid w:val="009D7602"/>
    <w:rsid w:val="009D78C2"/>
    <w:rsid w:val="009E2A51"/>
    <w:rsid w:val="00A31468"/>
    <w:rsid w:val="00A35100"/>
    <w:rsid w:val="00A5288D"/>
    <w:rsid w:val="00A61393"/>
    <w:rsid w:val="00A646CB"/>
    <w:rsid w:val="00A83F5E"/>
    <w:rsid w:val="00AA7ACE"/>
    <w:rsid w:val="00AD1A9A"/>
    <w:rsid w:val="00B04183"/>
    <w:rsid w:val="00B152B2"/>
    <w:rsid w:val="00B20334"/>
    <w:rsid w:val="00B444FE"/>
    <w:rsid w:val="00B651D6"/>
    <w:rsid w:val="00B90172"/>
    <w:rsid w:val="00BA700E"/>
    <w:rsid w:val="00BD01F6"/>
    <w:rsid w:val="00BD2541"/>
    <w:rsid w:val="00C009B2"/>
    <w:rsid w:val="00C24798"/>
    <w:rsid w:val="00C31E5A"/>
    <w:rsid w:val="00C41647"/>
    <w:rsid w:val="00C526BE"/>
    <w:rsid w:val="00C63751"/>
    <w:rsid w:val="00C65CAF"/>
    <w:rsid w:val="00C67D51"/>
    <w:rsid w:val="00C7471E"/>
    <w:rsid w:val="00C8097E"/>
    <w:rsid w:val="00C87135"/>
    <w:rsid w:val="00CB26EE"/>
    <w:rsid w:val="00CB6EAC"/>
    <w:rsid w:val="00CC1698"/>
    <w:rsid w:val="00CD08BD"/>
    <w:rsid w:val="00CD6B2F"/>
    <w:rsid w:val="00CE2ACA"/>
    <w:rsid w:val="00CF0B73"/>
    <w:rsid w:val="00D01B84"/>
    <w:rsid w:val="00D154D1"/>
    <w:rsid w:val="00D271BE"/>
    <w:rsid w:val="00D55EAD"/>
    <w:rsid w:val="00D70BC1"/>
    <w:rsid w:val="00D7580F"/>
    <w:rsid w:val="00D843F3"/>
    <w:rsid w:val="00DB79DB"/>
    <w:rsid w:val="00DF476A"/>
    <w:rsid w:val="00E070B7"/>
    <w:rsid w:val="00E119D5"/>
    <w:rsid w:val="00E60D81"/>
    <w:rsid w:val="00E64E5E"/>
    <w:rsid w:val="00E77D4E"/>
    <w:rsid w:val="00EA251D"/>
    <w:rsid w:val="00EC1050"/>
    <w:rsid w:val="00ED23FA"/>
    <w:rsid w:val="00EE475C"/>
    <w:rsid w:val="00F83C37"/>
    <w:rsid w:val="00F87677"/>
    <w:rsid w:val="00F9179A"/>
    <w:rsid w:val="00F97024"/>
    <w:rsid w:val="00FA3E67"/>
    <w:rsid w:val="00FB4419"/>
    <w:rsid w:val="00F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4AFFB0"/>
  <w15:docId w15:val="{2767DED6-2C44-4B64-A505-D2F1BE73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33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B73"/>
  </w:style>
  <w:style w:type="paragraph" w:styleId="Footer">
    <w:name w:val="footer"/>
    <w:basedOn w:val="Normal"/>
    <w:link w:val="FooterChar"/>
    <w:uiPriority w:val="99"/>
    <w:unhideWhenUsed/>
    <w:rsid w:val="00CF0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B73"/>
  </w:style>
  <w:style w:type="paragraph" w:styleId="BalloonText">
    <w:name w:val="Balloon Text"/>
    <w:basedOn w:val="Normal"/>
    <w:link w:val="BalloonTextChar"/>
    <w:uiPriority w:val="99"/>
    <w:semiHidden/>
    <w:unhideWhenUsed/>
    <w:rsid w:val="00CF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0B7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E7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0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E70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0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700A"/>
    <w:rPr>
      <w:b/>
      <w:bCs/>
      <w:sz w:val="20"/>
      <w:szCs w:val="20"/>
    </w:rPr>
  </w:style>
  <w:style w:type="paragraph" w:customStyle="1" w:styleId="Default">
    <w:name w:val="Default"/>
    <w:rsid w:val="00F876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0F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910F3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0F3F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10F3F"/>
    <w:rPr>
      <w:vertAlign w:val="superscript"/>
    </w:rPr>
  </w:style>
  <w:style w:type="table" w:customStyle="1" w:styleId="TableGrid2">
    <w:name w:val="Table Grid2"/>
    <w:basedOn w:val="TableNormal"/>
    <w:next w:val="TableGrid"/>
    <w:uiPriority w:val="39"/>
    <w:rsid w:val="00910F3F"/>
    <w:rPr>
      <w:rFonts w:ascii="Myriad Pro" w:hAnsi="Myriad Pro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">
    <w:name w:val="__Single Txt"/>
    <w:basedOn w:val="Normal"/>
    <w:rsid w:val="00910F3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/>
      <w:spacing w:val="4"/>
      <w:w w:val="103"/>
      <w:kern w:val="14"/>
      <w:sz w:val="20"/>
      <w:szCs w:val="20"/>
    </w:rPr>
  </w:style>
  <w:style w:type="paragraph" w:styleId="Revision">
    <w:name w:val="Revision"/>
    <w:hidden/>
    <w:uiPriority w:val="99"/>
    <w:semiHidden/>
    <w:rsid w:val="008435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535BD-009A-40EC-A0C1-3E4647AA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UNOPS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Neeraj KUMAR</dc:creator>
  <cp:lastModifiedBy>Svetlana Iazykova</cp:lastModifiedBy>
  <cp:revision>2</cp:revision>
  <dcterms:created xsi:type="dcterms:W3CDTF">2018-04-23T16:03:00Z</dcterms:created>
  <dcterms:modified xsi:type="dcterms:W3CDTF">2018-04-23T16:03:00Z</dcterms:modified>
</cp:coreProperties>
</file>