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D68" w:rsidRPr="00451503" w:rsidRDefault="005E2D68" w:rsidP="006C6433">
      <w:pPr>
        <w:tabs>
          <w:tab w:val="left" w:pos="3780"/>
        </w:tabs>
        <w:rPr>
          <w:rFonts w:ascii="Calibri" w:hAnsi="Calibri"/>
          <w:sz w:val="6"/>
          <w:lang w:val="en-GB"/>
        </w:rPr>
      </w:pPr>
    </w:p>
    <w:p w:rsidR="00734630" w:rsidRPr="00451503" w:rsidRDefault="00D437B2" w:rsidP="006C6433">
      <w:pPr>
        <w:rPr>
          <w:b/>
          <w:lang w:val="en-GB"/>
        </w:rPr>
      </w:pPr>
      <w:r>
        <w:rPr>
          <w:b/>
          <w:lang w:val="en-GB"/>
        </w:rPr>
        <w:t>First regular</w:t>
      </w:r>
      <w:r w:rsidR="00461146" w:rsidRPr="00451503">
        <w:rPr>
          <w:b/>
          <w:lang w:val="en-GB"/>
        </w:rPr>
        <w:t xml:space="preserve"> </w:t>
      </w:r>
      <w:r>
        <w:rPr>
          <w:b/>
          <w:lang w:val="en-GB"/>
        </w:rPr>
        <w:t>s</w:t>
      </w:r>
      <w:r w:rsidR="00461146" w:rsidRPr="00451503">
        <w:rPr>
          <w:b/>
          <w:lang w:val="en-GB"/>
        </w:rPr>
        <w:t>ession 201</w:t>
      </w:r>
      <w:r>
        <w:rPr>
          <w:b/>
          <w:lang w:val="en-GB"/>
        </w:rPr>
        <w:t>8</w:t>
      </w:r>
    </w:p>
    <w:p w:rsidR="002A0C26" w:rsidRPr="00451503" w:rsidRDefault="00D437B2" w:rsidP="006C6433">
      <w:pPr>
        <w:rPr>
          <w:lang w:val="en-GB"/>
        </w:rPr>
      </w:pPr>
      <w:r>
        <w:rPr>
          <w:lang w:val="en-GB"/>
        </w:rPr>
        <w:t>22-26 January</w:t>
      </w:r>
      <w:r w:rsidR="00743009" w:rsidRPr="00451503">
        <w:rPr>
          <w:lang w:val="en-GB"/>
        </w:rPr>
        <w:t xml:space="preserve"> 201</w:t>
      </w:r>
      <w:r>
        <w:rPr>
          <w:lang w:val="en-GB"/>
        </w:rPr>
        <w:t>8</w:t>
      </w:r>
      <w:r w:rsidR="00743009" w:rsidRPr="00451503">
        <w:rPr>
          <w:lang w:val="en-GB"/>
        </w:rPr>
        <w:t>, New York</w:t>
      </w:r>
    </w:p>
    <w:p w:rsidR="00734630" w:rsidRPr="00451503" w:rsidRDefault="00EB5C36" w:rsidP="006C6433">
      <w:pPr>
        <w:rPr>
          <w:lang w:val="en-GB"/>
        </w:rPr>
      </w:pPr>
      <w:r w:rsidRPr="00F0431D">
        <w:rPr>
          <w:lang w:val="en-GB"/>
        </w:rPr>
        <w:t xml:space="preserve">Item </w:t>
      </w:r>
      <w:r w:rsidR="00F0431D">
        <w:rPr>
          <w:lang w:val="en-GB"/>
        </w:rPr>
        <w:t>xx</w:t>
      </w:r>
      <w:r w:rsidRPr="00451503">
        <w:rPr>
          <w:lang w:val="en-GB"/>
        </w:rPr>
        <w:t xml:space="preserve"> of the provisional agenda </w:t>
      </w:r>
      <w:r w:rsidR="00734630" w:rsidRPr="00451503">
        <w:rPr>
          <w:lang w:val="en-GB"/>
        </w:rPr>
        <w:t xml:space="preserve"> </w:t>
      </w:r>
    </w:p>
    <w:p w:rsidR="00734630" w:rsidRPr="00451503" w:rsidRDefault="00EB5C36" w:rsidP="006C6433">
      <w:pPr>
        <w:rPr>
          <w:b/>
          <w:lang w:val="en-GB"/>
        </w:rPr>
      </w:pPr>
      <w:r w:rsidRPr="00451503">
        <w:rPr>
          <w:b/>
          <w:lang w:val="en-GB"/>
        </w:rPr>
        <w:t>Country programmes and related matters</w:t>
      </w:r>
    </w:p>
    <w:p w:rsidR="00734630" w:rsidRPr="00451503" w:rsidRDefault="00734630" w:rsidP="006C6433">
      <w:pPr>
        <w:rPr>
          <w:lang w:val="en-GB"/>
        </w:rPr>
      </w:pPr>
    </w:p>
    <w:p w:rsidR="001842B8" w:rsidRPr="00451503" w:rsidRDefault="001842B8" w:rsidP="006C6433">
      <w:pPr>
        <w:rPr>
          <w:b/>
          <w:sz w:val="24"/>
          <w:szCs w:val="24"/>
          <w:lang w:val="en-GB"/>
        </w:rPr>
      </w:pPr>
    </w:p>
    <w:p w:rsidR="00734630" w:rsidRPr="00451503" w:rsidRDefault="00EB5C36" w:rsidP="008C719C">
      <w:pPr>
        <w:ind w:firstLine="709"/>
        <w:rPr>
          <w:b/>
          <w:sz w:val="32"/>
          <w:szCs w:val="32"/>
          <w:lang w:val="en-GB"/>
        </w:rPr>
      </w:pPr>
      <w:r w:rsidRPr="00451503">
        <w:rPr>
          <w:b/>
          <w:sz w:val="32"/>
          <w:szCs w:val="32"/>
          <w:lang w:val="en-GB"/>
        </w:rPr>
        <w:t xml:space="preserve">Draft </w:t>
      </w:r>
      <w:r w:rsidR="006D4AF4">
        <w:rPr>
          <w:b/>
          <w:sz w:val="32"/>
          <w:szCs w:val="32"/>
          <w:lang w:val="en-GB"/>
        </w:rPr>
        <w:t>country p</w:t>
      </w:r>
      <w:r w:rsidRPr="00451503">
        <w:rPr>
          <w:b/>
          <w:sz w:val="32"/>
          <w:szCs w:val="32"/>
          <w:lang w:val="en-GB"/>
        </w:rPr>
        <w:t xml:space="preserve">rogramme </w:t>
      </w:r>
      <w:r w:rsidR="006D4AF4">
        <w:rPr>
          <w:b/>
          <w:sz w:val="32"/>
          <w:szCs w:val="32"/>
          <w:lang w:val="en-GB"/>
        </w:rPr>
        <w:t>d</w:t>
      </w:r>
      <w:r w:rsidRPr="00451503">
        <w:rPr>
          <w:b/>
          <w:sz w:val="32"/>
          <w:szCs w:val="32"/>
          <w:lang w:val="en-GB"/>
        </w:rPr>
        <w:t>o</w:t>
      </w:r>
      <w:r w:rsidR="006C6433" w:rsidRPr="00451503">
        <w:rPr>
          <w:b/>
          <w:sz w:val="32"/>
          <w:szCs w:val="32"/>
          <w:lang w:val="en-GB"/>
        </w:rPr>
        <w:t xml:space="preserve">cument for </w:t>
      </w:r>
      <w:r w:rsidR="00137D62" w:rsidRPr="00451503">
        <w:rPr>
          <w:b/>
          <w:sz w:val="32"/>
          <w:szCs w:val="32"/>
          <w:lang w:val="en-GB"/>
        </w:rPr>
        <w:t xml:space="preserve">Mauritania </w:t>
      </w:r>
      <w:r w:rsidR="008C719C">
        <w:rPr>
          <w:b/>
          <w:sz w:val="32"/>
          <w:szCs w:val="32"/>
          <w:lang w:val="en-GB"/>
        </w:rPr>
        <w:t>(</w:t>
      </w:r>
      <w:r w:rsidR="00461146" w:rsidRPr="00451503">
        <w:rPr>
          <w:b/>
          <w:sz w:val="32"/>
          <w:szCs w:val="32"/>
          <w:lang w:val="en-GB"/>
        </w:rPr>
        <w:t>201</w:t>
      </w:r>
      <w:r w:rsidR="00137D62" w:rsidRPr="00451503">
        <w:rPr>
          <w:b/>
          <w:sz w:val="32"/>
          <w:szCs w:val="32"/>
          <w:lang w:val="en-GB"/>
        </w:rPr>
        <w:t>8</w:t>
      </w:r>
      <w:r w:rsidR="006C6433" w:rsidRPr="00451503">
        <w:rPr>
          <w:b/>
          <w:sz w:val="32"/>
          <w:szCs w:val="32"/>
          <w:lang w:val="en-GB"/>
        </w:rPr>
        <w:t>-</w:t>
      </w:r>
      <w:r w:rsidR="000E3CC4" w:rsidRPr="00451503">
        <w:rPr>
          <w:b/>
          <w:sz w:val="32"/>
          <w:szCs w:val="32"/>
          <w:lang w:val="en-GB"/>
        </w:rPr>
        <w:t>202</w:t>
      </w:r>
      <w:r w:rsidR="00137D62" w:rsidRPr="00451503">
        <w:rPr>
          <w:b/>
          <w:sz w:val="32"/>
          <w:szCs w:val="32"/>
          <w:lang w:val="en-GB"/>
        </w:rPr>
        <w:t>2</w:t>
      </w:r>
      <w:r w:rsidR="008C719C">
        <w:rPr>
          <w:b/>
          <w:sz w:val="32"/>
          <w:szCs w:val="32"/>
          <w:lang w:val="en-GB"/>
        </w:rPr>
        <w:t>)</w:t>
      </w:r>
    </w:p>
    <w:p w:rsidR="001842B8" w:rsidRPr="00451503" w:rsidRDefault="001842B8" w:rsidP="00734630">
      <w:pPr>
        <w:rPr>
          <w:lang w:val="en-GB"/>
        </w:rPr>
      </w:pPr>
    </w:p>
    <w:p w:rsidR="008C719C" w:rsidRPr="008C719C" w:rsidRDefault="008C719C" w:rsidP="008C719C">
      <w:pPr>
        <w:keepNext/>
        <w:keepLines/>
        <w:tabs>
          <w:tab w:val="right" w:pos="1022"/>
          <w:tab w:val="left" w:pos="1267"/>
          <w:tab w:val="left" w:pos="1620"/>
          <w:tab w:val="left" w:pos="180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firstLine="720"/>
        <w:outlineLvl w:val="0"/>
        <w:rPr>
          <w:color w:val="000000"/>
          <w:spacing w:val="-2"/>
          <w:w w:val="103"/>
          <w:kern w:val="14"/>
          <w:sz w:val="28"/>
          <w:lang w:val="en-GB" w:eastAsia="fr-FR"/>
        </w:rPr>
      </w:pPr>
      <w:r w:rsidRPr="008C719C">
        <w:rPr>
          <w:color w:val="000000"/>
          <w:kern w:val="14"/>
          <w:sz w:val="28"/>
          <w:lang w:val="en-GB" w:eastAsia="fr-FR"/>
        </w:rPr>
        <w:t>Contents</w:t>
      </w:r>
    </w:p>
    <w:tbl>
      <w:tblPr>
        <w:tblpPr w:leftFromText="180" w:rightFromText="180" w:vertAnchor="text" w:horzAnchor="margin" w:tblpXSpec="right" w:tblpY="199"/>
        <w:tblOverlap w:val="never"/>
        <w:tblW w:w="9902" w:type="dxa"/>
        <w:tblLayout w:type="fixed"/>
        <w:tblCellMar>
          <w:left w:w="0" w:type="dxa"/>
          <w:right w:w="0" w:type="dxa"/>
        </w:tblCellMar>
        <w:tblLook w:val="0000" w:firstRow="0" w:lastRow="0" w:firstColumn="0" w:lastColumn="0" w:noHBand="0" w:noVBand="0"/>
      </w:tblPr>
      <w:tblGrid>
        <w:gridCol w:w="720"/>
        <w:gridCol w:w="8649"/>
        <w:gridCol w:w="171"/>
        <w:gridCol w:w="362"/>
      </w:tblGrid>
      <w:tr w:rsidR="008C719C" w:rsidRPr="008C719C" w:rsidTr="008C719C">
        <w:tc>
          <w:tcPr>
            <w:tcW w:w="720" w:type="dxa"/>
            <w:shd w:val="clear" w:color="auto" w:fill="auto"/>
          </w:tcPr>
          <w:p w:rsidR="008C719C" w:rsidRPr="008C719C" w:rsidRDefault="008C719C" w:rsidP="008C719C">
            <w:pPr>
              <w:tabs>
                <w:tab w:val="left" w:pos="1620"/>
                <w:tab w:val="left" w:pos="1800"/>
              </w:tabs>
              <w:suppressAutoHyphens/>
              <w:spacing w:after="120"/>
              <w:jc w:val="right"/>
              <w:rPr>
                <w:i/>
                <w:color w:val="000000"/>
                <w:spacing w:val="4"/>
                <w:w w:val="103"/>
                <w:kern w:val="14"/>
                <w:sz w:val="14"/>
                <w:lang w:val="en-GB" w:eastAsia="fr-FR"/>
              </w:rPr>
            </w:pPr>
          </w:p>
        </w:tc>
        <w:tc>
          <w:tcPr>
            <w:tcW w:w="8820" w:type="dxa"/>
            <w:gridSpan w:val="2"/>
            <w:shd w:val="clear" w:color="auto" w:fill="auto"/>
          </w:tcPr>
          <w:p w:rsidR="008C719C" w:rsidRPr="008C719C" w:rsidRDefault="008C719C" w:rsidP="008C719C">
            <w:pPr>
              <w:tabs>
                <w:tab w:val="left" w:pos="1620"/>
                <w:tab w:val="left" w:pos="1800"/>
              </w:tabs>
              <w:suppressAutoHyphens/>
              <w:spacing w:after="120"/>
              <w:rPr>
                <w:i/>
                <w:color w:val="000000"/>
                <w:spacing w:val="4"/>
                <w:w w:val="103"/>
                <w:kern w:val="14"/>
                <w:sz w:val="14"/>
                <w:lang w:val="en-GB" w:eastAsia="fr-FR"/>
              </w:rPr>
            </w:pPr>
            <w:r w:rsidRPr="008C719C">
              <w:rPr>
                <w:i/>
                <w:color w:val="000000"/>
                <w:spacing w:val="4"/>
                <w:w w:val="103"/>
                <w:kern w:val="14"/>
                <w:sz w:val="14"/>
                <w:lang w:val="en-GB" w:eastAsia="fr-FR"/>
              </w:rPr>
              <w:t>Chapter</w:t>
            </w:r>
          </w:p>
        </w:tc>
        <w:tc>
          <w:tcPr>
            <w:tcW w:w="362" w:type="dxa"/>
            <w:shd w:val="clear" w:color="auto" w:fill="auto"/>
          </w:tcPr>
          <w:p w:rsidR="008C719C" w:rsidRPr="008C719C" w:rsidRDefault="008C719C" w:rsidP="008C719C">
            <w:pPr>
              <w:tabs>
                <w:tab w:val="left" w:pos="1620"/>
                <w:tab w:val="left" w:pos="1800"/>
              </w:tabs>
              <w:suppressAutoHyphens/>
              <w:spacing w:after="120"/>
              <w:jc w:val="right"/>
              <w:rPr>
                <w:i/>
                <w:color w:val="000000"/>
                <w:spacing w:val="4"/>
                <w:w w:val="103"/>
                <w:kern w:val="14"/>
                <w:sz w:val="14"/>
                <w:lang w:val="en-GB" w:eastAsia="fr-FR"/>
              </w:rPr>
            </w:pPr>
            <w:r w:rsidRPr="008C719C">
              <w:rPr>
                <w:i/>
                <w:iCs/>
                <w:color w:val="000000"/>
                <w:kern w:val="14"/>
                <w:sz w:val="14"/>
                <w:lang w:val="en-GB" w:eastAsia="fr-FR"/>
              </w:rPr>
              <w:t>Page</w:t>
            </w:r>
          </w:p>
        </w:tc>
      </w:tr>
      <w:tr w:rsidR="008C719C" w:rsidRPr="008C719C" w:rsidTr="008C719C">
        <w:tc>
          <w:tcPr>
            <w:tcW w:w="9540" w:type="dxa"/>
            <w:gridSpan w:val="3"/>
            <w:shd w:val="clear" w:color="auto" w:fill="auto"/>
          </w:tcPr>
          <w:p w:rsidR="008C719C" w:rsidRPr="008C719C" w:rsidRDefault="008C719C" w:rsidP="008C719C">
            <w:pPr>
              <w:numPr>
                <w:ilvl w:val="0"/>
                <w:numId w:val="22"/>
              </w:numPr>
              <w:tabs>
                <w:tab w:val="right" w:pos="1080"/>
                <w:tab w:val="left" w:pos="1296"/>
                <w:tab w:val="left" w:pos="1620"/>
                <w:tab w:val="left" w:pos="180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8C719C">
              <w:rPr>
                <w:color w:val="000000"/>
                <w:kern w:val="14"/>
                <w:lang w:val="en-GB" w:eastAsia="fr-FR"/>
              </w:rPr>
              <w:tab/>
              <w:t>Programme rationale</w:t>
            </w:r>
            <w:r w:rsidRPr="008C719C">
              <w:rPr>
                <w:color w:val="000000"/>
                <w:sz w:val="24"/>
                <w:szCs w:val="24"/>
                <w:lang w:val="en-GB" w:eastAsia="fr-FR"/>
              </w:rPr>
              <w:tab/>
            </w:r>
          </w:p>
        </w:tc>
        <w:tc>
          <w:tcPr>
            <w:tcW w:w="362" w:type="dxa"/>
            <w:vMerge w:val="restart"/>
            <w:shd w:val="clear" w:color="auto" w:fill="auto"/>
            <w:vAlign w:val="bottom"/>
          </w:tcPr>
          <w:p w:rsidR="008C719C" w:rsidRPr="008C719C" w:rsidRDefault="008C719C" w:rsidP="008C719C">
            <w:pPr>
              <w:tabs>
                <w:tab w:val="left" w:pos="1620"/>
                <w:tab w:val="left" w:pos="1800"/>
              </w:tabs>
              <w:suppressAutoHyphens/>
              <w:spacing w:after="120" w:line="240" w:lineRule="exact"/>
              <w:jc w:val="right"/>
              <w:rPr>
                <w:color w:val="000000"/>
                <w:spacing w:val="4"/>
                <w:w w:val="103"/>
                <w:kern w:val="14"/>
                <w:lang w:val="en-GB" w:eastAsia="fr-FR"/>
              </w:rPr>
            </w:pPr>
            <w:r w:rsidRPr="008C719C">
              <w:rPr>
                <w:color w:val="000000"/>
                <w:kern w:val="14"/>
                <w:lang w:val="en-GB" w:eastAsia="fr-FR"/>
              </w:rPr>
              <w:t>2</w:t>
            </w:r>
          </w:p>
          <w:p w:rsidR="008C719C" w:rsidRPr="008C719C" w:rsidRDefault="00D4777F" w:rsidP="008C719C">
            <w:pPr>
              <w:tabs>
                <w:tab w:val="left" w:pos="1620"/>
                <w:tab w:val="left" w:pos="1800"/>
              </w:tabs>
              <w:suppressAutoHyphens/>
              <w:spacing w:after="120" w:line="240" w:lineRule="exact"/>
              <w:jc w:val="right"/>
              <w:rPr>
                <w:color w:val="000000"/>
                <w:spacing w:val="4"/>
                <w:w w:val="103"/>
                <w:kern w:val="14"/>
                <w:lang w:val="en-GB" w:eastAsia="fr-FR"/>
              </w:rPr>
            </w:pPr>
            <w:r>
              <w:rPr>
                <w:color w:val="000000"/>
                <w:kern w:val="14"/>
                <w:lang w:val="en-GB" w:eastAsia="fr-FR"/>
              </w:rPr>
              <w:t>3</w:t>
            </w:r>
          </w:p>
        </w:tc>
      </w:tr>
      <w:tr w:rsidR="008C719C" w:rsidRPr="008C719C" w:rsidTr="008C719C">
        <w:tc>
          <w:tcPr>
            <w:tcW w:w="9540" w:type="dxa"/>
            <w:gridSpan w:val="3"/>
            <w:shd w:val="clear" w:color="auto" w:fill="auto"/>
          </w:tcPr>
          <w:p w:rsidR="008C719C" w:rsidRPr="008C719C" w:rsidRDefault="008C719C" w:rsidP="008C719C">
            <w:pPr>
              <w:numPr>
                <w:ilvl w:val="0"/>
                <w:numId w:val="22"/>
              </w:numPr>
              <w:tabs>
                <w:tab w:val="right" w:pos="1080"/>
                <w:tab w:val="left" w:pos="1296"/>
                <w:tab w:val="left" w:pos="1620"/>
                <w:tab w:val="left" w:pos="180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8C719C">
              <w:rPr>
                <w:color w:val="000000"/>
                <w:kern w:val="14"/>
                <w:lang w:val="en-GB" w:eastAsia="fr-FR"/>
              </w:rPr>
              <w:tab/>
              <w:t>Programme priorities and partnerships………………………………………………….</w:t>
            </w:r>
            <w:r w:rsidRPr="008C719C">
              <w:rPr>
                <w:color w:val="000000"/>
                <w:kern w:val="14"/>
                <w:sz w:val="17"/>
                <w:lang w:val="en-GB" w:eastAsia="fr-FR"/>
              </w:rPr>
              <w:tab/>
            </w:r>
            <w:r w:rsidRPr="008C719C">
              <w:rPr>
                <w:color w:val="000000"/>
                <w:kern w:val="14"/>
                <w:lang w:val="en-GB" w:eastAsia="fr-FR"/>
              </w:rPr>
              <w:t>……….…</w:t>
            </w:r>
          </w:p>
        </w:tc>
        <w:tc>
          <w:tcPr>
            <w:tcW w:w="362" w:type="dxa"/>
            <w:vMerge/>
            <w:shd w:val="clear" w:color="auto" w:fill="auto"/>
            <w:vAlign w:val="bottom"/>
          </w:tcPr>
          <w:p w:rsidR="008C719C" w:rsidRPr="008C719C" w:rsidRDefault="008C719C" w:rsidP="008C719C">
            <w:pPr>
              <w:tabs>
                <w:tab w:val="left" w:pos="1620"/>
                <w:tab w:val="left" w:pos="1800"/>
              </w:tabs>
              <w:suppressAutoHyphens/>
              <w:spacing w:after="120" w:line="240" w:lineRule="exact"/>
              <w:jc w:val="right"/>
              <w:rPr>
                <w:color w:val="000000"/>
                <w:spacing w:val="4"/>
                <w:w w:val="103"/>
                <w:kern w:val="14"/>
                <w:lang w:val="en-GB" w:eastAsia="fr-FR"/>
              </w:rPr>
            </w:pPr>
          </w:p>
        </w:tc>
      </w:tr>
      <w:tr w:rsidR="008C719C" w:rsidRPr="008C719C" w:rsidTr="008C719C">
        <w:tc>
          <w:tcPr>
            <w:tcW w:w="9540" w:type="dxa"/>
            <w:gridSpan w:val="3"/>
            <w:shd w:val="clear" w:color="auto" w:fill="auto"/>
          </w:tcPr>
          <w:p w:rsidR="008C719C" w:rsidRPr="008C719C" w:rsidRDefault="008C719C" w:rsidP="008C719C">
            <w:pPr>
              <w:numPr>
                <w:ilvl w:val="0"/>
                <w:numId w:val="22"/>
              </w:numPr>
              <w:tabs>
                <w:tab w:val="right" w:pos="1080"/>
                <w:tab w:val="left" w:pos="1296"/>
                <w:tab w:val="left" w:pos="1620"/>
                <w:tab w:val="left" w:pos="180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8C719C">
              <w:rPr>
                <w:color w:val="000000"/>
                <w:kern w:val="14"/>
                <w:lang w:val="en-GB" w:eastAsia="fr-FR"/>
              </w:rPr>
              <w:tab/>
              <w:t>Programme and risk management</w:t>
            </w:r>
            <w:r w:rsidRPr="008C719C">
              <w:rPr>
                <w:color w:val="000000"/>
                <w:sz w:val="24"/>
                <w:szCs w:val="24"/>
                <w:lang w:val="en-GB" w:eastAsia="fr-FR"/>
              </w:rPr>
              <w:tab/>
            </w:r>
          </w:p>
        </w:tc>
        <w:tc>
          <w:tcPr>
            <w:tcW w:w="362" w:type="dxa"/>
            <w:vMerge w:val="restart"/>
            <w:shd w:val="clear" w:color="auto" w:fill="auto"/>
            <w:vAlign w:val="bottom"/>
          </w:tcPr>
          <w:p w:rsidR="008C719C" w:rsidRPr="008C719C" w:rsidRDefault="00D4777F" w:rsidP="008C719C">
            <w:pPr>
              <w:tabs>
                <w:tab w:val="left" w:pos="1620"/>
                <w:tab w:val="left" w:pos="180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rsidR="008C719C" w:rsidRPr="008C719C" w:rsidRDefault="003854BE" w:rsidP="008C719C">
            <w:pPr>
              <w:tabs>
                <w:tab w:val="left" w:pos="1620"/>
                <w:tab w:val="left" w:pos="180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8C719C" w:rsidRPr="008C719C" w:rsidTr="008C719C">
        <w:tc>
          <w:tcPr>
            <w:tcW w:w="9540" w:type="dxa"/>
            <w:gridSpan w:val="3"/>
            <w:shd w:val="clear" w:color="auto" w:fill="auto"/>
          </w:tcPr>
          <w:p w:rsidR="008C719C" w:rsidRPr="008C719C" w:rsidRDefault="008C719C" w:rsidP="008C719C">
            <w:pPr>
              <w:numPr>
                <w:ilvl w:val="0"/>
                <w:numId w:val="22"/>
              </w:numPr>
              <w:tabs>
                <w:tab w:val="right" w:pos="1080"/>
                <w:tab w:val="left" w:pos="1296"/>
                <w:tab w:val="left" w:pos="1620"/>
                <w:tab w:val="left" w:pos="180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8C719C">
              <w:rPr>
                <w:color w:val="000000"/>
                <w:kern w:val="14"/>
                <w:lang w:val="en-GB" w:eastAsia="fr-FR"/>
              </w:rPr>
              <w:tab/>
              <w:t>Monitoring and evaluation</w:t>
            </w:r>
            <w:r w:rsidRPr="008C719C">
              <w:rPr>
                <w:color w:val="000000"/>
                <w:sz w:val="24"/>
                <w:szCs w:val="24"/>
                <w:lang w:val="en-GB" w:eastAsia="fr-FR"/>
              </w:rPr>
              <w:tab/>
            </w:r>
            <w:r w:rsidRPr="008C719C">
              <w:rPr>
                <w:color w:val="000000"/>
                <w:lang w:val="en-GB" w:eastAsia="fr-FR"/>
              </w:rPr>
              <w:t>…………………………………………………….……………………</w:t>
            </w:r>
          </w:p>
        </w:tc>
        <w:tc>
          <w:tcPr>
            <w:tcW w:w="362" w:type="dxa"/>
            <w:vMerge/>
            <w:shd w:val="clear" w:color="auto" w:fill="auto"/>
            <w:vAlign w:val="bottom"/>
          </w:tcPr>
          <w:p w:rsidR="008C719C" w:rsidRPr="008C719C" w:rsidRDefault="008C719C" w:rsidP="008C719C">
            <w:pPr>
              <w:tabs>
                <w:tab w:val="left" w:pos="1620"/>
                <w:tab w:val="left" w:pos="1800"/>
              </w:tabs>
              <w:suppressAutoHyphens/>
              <w:spacing w:after="120" w:line="240" w:lineRule="exact"/>
              <w:jc w:val="right"/>
              <w:rPr>
                <w:color w:val="000000"/>
                <w:spacing w:val="4"/>
                <w:w w:val="103"/>
                <w:kern w:val="14"/>
                <w:lang w:val="en-GB" w:eastAsia="fr-FR"/>
              </w:rPr>
            </w:pPr>
          </w:p>
        </w:tc>
      </w:tr>
      <w:tr w:rsidR="008C719C" w:rsidRPr="008C719C" w:rsidTr="008C719C">
        <w:tc>
          <w:tcPr>
            <w:tcW w:w="9369" w:type="dxa"/>
            <w:gridSpan w:val="2"/>
            <w:shd w:val="clear" w:color="auto" w:fill="auto"/>
          </w:tcPr>
          <w:p w:rsidR="008C719C" w:rsidRPr="008C719C" w:rsidRDefault="008C719C" w:rsidP="008C719C">
            <w:pPr>
              <w:tabs>
                <w:tab w:val="right" w:pos="1080"/>
                <w:tab w:val="left" w:pos="1296"/>
                <w:tab w:val="left" w:pos="1620"/>
                <w:tab w:val="right" w:pos="1714"/>
                <w:tab w:val="left" w:pos="1800"/>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8C719C">
              <w:rPr>
                <w:color w:val="000000"/>
                <w:kern w:val="14"/>
                <w:lang w:val="en-GB" w:eastAsia="fr-FR"/>
              </w:rPr>
              <w:t xml:space="preserve">     Annex</w:t>
            </w:r>
          </w:p>
        </w:tc>
        <w:tc>
          <w:tcPr>
            <w:tcW w:w="533" w:type="dxa"/>
            <w:gridSpan w:val="2"/>
            <w:shd w:val="clear" w:color="auto" w:fill="auto"/>
            <w:vAlign w:val="bottom"/>
          </w:tcPr>
          <w:p w:rsidR="008C719C" w:rsidRPr="008C719C" w:rsidRDefault="008C719C" w:rsidP="008C719C">
            <w:pPr>
              <w:tabs>
                <w:tab w:val="left" w:pos="1620"/>
                <w:tab w:val="left" w:pos="1800"/>
              </w:tabs>
              <w:suppressAutoHyphens/>
              <w:spacing w:after="120" w:line="240" w:lineRule="exact"/>
              <w:jc w:val="right"/>
              <w:rPr>
                <w:color w:val="000000"/>
                <w:spacing w:val="4"/>
                <w:w w:val="103"/>
                <w:kern w:val="14"/>
                <w:lang w:val="en-GB" w:eastAsia="fr-FR"/>
              </w:rPr>
            </w:pPr>
          </w:p>
        </w:tc>
      </w:tr>
      <w:tr w:rsidR="008C719C" w:rsidRPr="008C719C" w:rsidTr="008C719C">
        <w:tc>
          <w:tcPr>
            <w:tcW w:w="9369" w:type="dxa"/>
            <w:gridSpan w:val="2"/>
            <w:shd w:val="clear" w:color="auto" w:fill="auto"/>
          </w:tcPr>
          <w:p w:rsidR="008C719C" w:rsidRPr="008C719C" w:rsidRDefault="008C719C" w:rsidP="008C719C">
            <w:pPr>
              <w:tabs>
                <w:tab w:val="right" w:pos="1080"/>
                <w:tab w:val="left" w:pos="1296"/>
                <w:tab w:val="left" w:pos="1620"/>
                <w:tab w:val="left" w:pos="180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8C719C">
              <w:rPr>
                <w:color w:val="000000"/>
                <w:kern w:val="14"/>
                <w:lang w:val="en-GB" w:eastAsia="fr-FR"/>
              </w:rPr>
              <w:t xml:space="preserve">Results and resources framework for </w:t>
            </w:r>
            <w:r>
              <w:rPr>
                <w:color w:val="000000"/>
                <w:kern w:val="14"/>
                <w:lang w:val="en-GB" w:eastAsia="fr-FR"/>
              </w:rPr>
              <w:t>Mauritania</w:t>
            </w:r>
            <w:r w:rsidRPr="008C719C">
              <w:rPr>
                <w:color w:val="000000"/>
                <w:kern w:val="14"/>
                <w:lang w:val="en-GB" w:eastAsia="fr-FR"/>
              </w:rPr>
              <w:t xml:space="preserve"> (2018-2022)</w:t>
            </w:r>
            <w:r w:rsidRPr="008C719C">
              <w:rPr>
                <w:color w:val="000000"/>
                <w:sz w:val="24"/>
                <w:szCs w:val="24"/>
                <w:lang w:val="en-GB" w:eastAsia="fr-FR"/>
              </w:rPr>
              <w:tab/>
            </w:r>
            <w:r w:rsidRPr="008C719C">
              <w:rPr>
                <w:color w:val="000000"/>
                <w:lang w:val="en-GB" w:eastAsia="fr-FR"/>
              </w:rPr>
              <w:t>…………………………</w:t>
            </w:r>
          </w:p>
        </w:tc>
        <w:tc>
          <w:tcPr>
            <w:tcW w:w="533" w:type="dxa"/>
            <w:gridSpan w:val="2"/>
            <w:shd w:val="clear" w:color="auto" w:fill="auto"/>
            <w:vAlign w:val="bottom"/>
          </w:tcPr>
          <w:p w:rsidR="008C719C" w:rsidRPr="008C719C" w:rsidRDefault="008C719C" w:rsidP="008C719C">
            <w:pPr>
              <w:tabs>
                <w:tab w:val="left" w:pos="1620"/>
                <w:tab w:val="left" w:pos="1800"/>
              </w:tabs>
              <w:suppressAutoHyphens/>
              <w:spacing w:after="120" w:line="240" w:lineRule="exact"/>
              <w:jc w:val="right"/>
              <w:rPr>
                <w:color w:val="000000"/>
                <w:spacing w:val="4"/>
                <w:w w:val="103"/>
                <w:kern w:val="14"/>
                <w:lang w:val="en-GB" w:eastAsia="fr-FR"/>
              </w:rPr>
            </w:pPr>
            <w:r w:rsidRPr="008C719C">
              <w:rPr>
                <w:color w:val="000000"/>
                <w:spacing w:val="4"/>
                <w:w w:val="103"/>
                <w:kern w:val="14"/>
                <w:lang w:val="en-GB" w:eastAsia="fr-FR"/>
              </w:rPr>
              <w:t>9</w:t>
            </w:r>
          </w:p>
        </w:tc>
      </w:tr>
    </w:tbl>
    <w:p w:rsidR="0021708A" w:rsidRPr="00451503" w:rsidRDefault="0021708A" w:rsidP="0021708A">
      <w:pPr>
        <w:tabs>
          <w:tab w:val="left" w:pos="2984"/>
        </w:tabs>
        <w:rPr>
          <w:lang w:val="en-GB"/>
        </w:rPr>
      </w:pPr>
    </w:p>
    <w:p w:rsidR="0021708A" w:rsidRPr="00451503" w:rsidRDefault="0021708A" w:rsidP="0021708A">
      <w:pPr>
        <w:rPr>
          <w:lang w:val="en-GB"/>
        </w:rPr>
      </w:pPr>
    </w:p>
    <w:p w:rsidR="00C1796E" w:rsidRPr="00451503" w:rsidRDefault="00C1796E" w:rsidP="0021708A">
      <w:pPr>
        <w:rPr>
          <w:lang w:val="en-GB"/>
        </w:rPr>
        <w:sectPr w:rsidR="00C1796E" w:rsidRPr="00451503" w:rsidSect="00677A8F">
          <w:headerReference w:type="even" r:id="rId10"/>
          <w:headerReference w:type="default"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rsidR="006D4AF4" w:rsidRPr="006D4AF4" w:rsidRDefault="006D4AF4" w:rsidP="006D4AF4">
      <w:pPr>
        <w:pStyle w:val="Heading2"/>
        <w:keepNext w:val="0"/>
        <w:widowControl w:val="0"/>
        <w:tabs>
          <w:tab w:val="left" w:pos="1260"/>
        </w:tabs>
        <w:ind w:left="720" w:right="1267"/>
        <w:jc w:val="both"/>
        <w:rPr>
          <w:rFonts w:ascii="Times New Roman" w:hAnsi="Times New Roman"/>
          <w:b w:val="0"/>
          <w:bCs/>
          <w:sz w:val="16"/>
          <w:szCs w:val="16"/>
          <w:lang w:val="en-GB"/>
        </w:rPr>
      </w:pPr>
      <w:bookmarkStart w:id="0" w:name="_Toc479680376"/>
    </w:p>
    <w:p w:rsidR="006756DA" w:rsidRPr="00D71B13" w:rsidRDefault="00A007E0" w:rsidP="006D4AF4">
      <w:pPr>
        <w:pStyle w:val="Heading2"/>
        <w:keepNext w:val="0"/>
        <w:widowControl w:val="0"/>
        <w:numPr>
          <w:ilvl w:val="0"/>
          <w:numId w:val="2"/>
        </w:numPr>
        <w:tabs>
          <w:tab w:val="left" w:pos="1260"/>
        </w:tabs>
        <w:spacing w:after="240"/>
        <w:ind w:left="720" w:right="1267" w:hanging="360"/>
        <w:jc w:val="both"/>
        <w:rPr>
          <w:rFonts w:ascii="Times New Roman" w:hAnsi="Times New Roman"/>
          <w:bCs/>
          <w:szCs w:val="24"/>
          <w:lang w:val="en-GB"/>
        </w:rPr>
      </w:pPr>
      <w:r w:rsidRPr="00D71B13">
        <w:rPr>
          <w:rFonts w:ascii="Times New Roman" w:hAnsi="Times New Roman"/>
          <w:bCs/>
          <w:szCs w:val="24"/>
          <w:lang w:val="en-GB"/>
        </w:rPr>
        <w:t xml:space="preserve">Programme </w:t>
      </w:r>
      <w:r w:rsidR="006D4AF4" w:rsidRPr="00D71B13">
        <w:rPr>
          <w:rFonts w:ascii="Times New Roman" w:hAnsi="Times New Roman"/>
          <w:bCs/>
          <w:szCs w:val="24"/>
          <w:lang w:val="en-GB"/>
        </w:rPr>
        <w:t>r</w:t>
      </w:r>
      <w:r w:rsidR="00711996" w:rsidRPr="00D71B13">
        <w:rPr>
          <w:rFonts w:ascii="Times New Roman" w:hAnsi="Times New Roman"/>
          <w:bCs/>
          <w:szCs w:val="24"/>
          <w:lang w:val="en-GB"/>
        </w:rPr>
        <w:t>ationale</w:t>
      </w:r>
      <w:bookmarkEnd w:id="0"/>
      <w:r w:rsidR="006756DA" w:rsidRPr="00D71B13">
        <w:rPr>
          <w:rFonts w:ascii="Times New Roman" w:hAnsi="Times New Roman"/>
          <w:bCs/>
          <w:szCs w:val="24"/>
          <w:lang w:val="en-GB"/>
        </w:rPr>
        <w:t xml:space="preserve"> </w:t>
      </w:r>
    </w:p>
    <w:p w:rsidR="00960357" w:rsidRDefault="00E74802" w:rsidP="006D4AF4">
      <w:pPr>
        <w:numPr>
          <w:ilvl w:val="0"/>
          <w:numId w:val="9"/>
        </w:numPr>
        <w:tabs>
          <w:tab w:val="left" w:pos="990"/>
        </w:tabs>
        <w:spacing w:after="120"/>
        <w:ind w:right="680" w:firstLine="0"/>
        <w:contextualSpacing/>
        <w:jc w:val="both"/>
      </w:pPr>
      <w:r>
        <w:t>After being appointed as a</w:t>
      </w:r>
      <w:r w:rsidR="003A4405" w:rsidRPr="002C127A">
        <w:t xml:space="preserve"> lower </w:t>
      </w:r>
      <w:r w:rsidRPr="002C127A">
        <w:t>middle-income</w:t>
      </w:r>
      <w:r w:rsidR="003A4405" w:rsidRPr="002C127A">
        <w:t xml:space="preserve"> </w:t>
      </w:r>
      <w:r>
        <w:t>country</w:t>
      </w:r>
      <w:r w:rsidRPr="002C127A">
        <w:t xml:space="preserve"> </w:t>
      </w:r>
      <w:r w:rsidR="003A4405" w:rsidRPr="002C127A">
        <w:t xml:space="preserve">in 2011, Mauritania </w:t>
      </w:r>
      <w:r w:rsidR="003F1B3C">
        <w:t>grew</w:t>
      </w:r>
      <w:r w:rsidR="003A4405" w:rsidRPr="002C127A">
        <w:t xml:space="preserve"> economically from 2012 to 2016</w:t>
      </w:r>
      <w:r w:rsidR="003F1B3C">
        <w:t xml:space="preserve"> by an average of </w:t>
      </w:r>
      <w:r w:rsidR="003F1B3C" w:rsidRPr="002C127A">
        <w:t>5</w:t>
      </w:r>
      <w:r w:rsidR="003F1B3C">
        <w:t xml:space="preserve"> per cent,</w:t>
      </w:r>
      <w:r w:rsidR="008F358D">
        <w:rPr>
          <w:rStyle w:val="FootnoteReference"/>
        </w:rPr>
        <w:footnoteReference w:id="2"/>
      </w:r>
      <w:r w:rsidR="003A4405" w:rsidRPr="002C127A">
        <w:t xml:space="preserve"> </w:t>
      </w:r>
      <w:r w:rsidR="003F1B3C">
        <w:t>and t</w:t>
      </w:r>
      <w:r w:rsidR="005B436E" w:rsidRPr="002C127A">
        <w:t>he poverty rate declined from 42</w:t>
      </w:r>
      <w:r>
        <w:t xml:space="preserve"> per cent</w:t>
      </w:r>
      <w:r w:rsidR="005B436E" w:rsidRPr="002C127A">
        <w:t xml:space="preserve"> in 2008 to 31</w:t>
      </w:r>
      <w:r>
        <w:t xml:space="preserve"> per cent</w:t>
      </w:r>
      <w:r w:rsidR="005B436E" w:rsidRPr="002C127A">
        <w:t xml:space="preserve"> in 2014</w:t>
      </w:r>
      <w:r>
        <w:t>.</w:t>
      </w:r>
      <w:r w:rsidR="008F358D">
        <w:rPr>
          <w:rStyle w:val="FootnoteReference"/>
        </w:rPr>
        <w:footnoteReference w:id="3"/>
      </w:r>
      <w:r w:rsidR="005B436E" w:rsidRPr="002C127A">
        <w:t xml:space="preserve"> </w:t>
      </w:r>
      <w:r w:rsidR="009C50F6" w:rsidRPr="002C127A">
        <w:t>While</w:t>
      </w:r>
      <w:r>
        <w:t xml:space="preserve"> </w:t>
      </w:r>
      <w:r w:rsidR="009C50F6" w:rsidRPr="002C127A">
        <w:t xml:space="preserve">progress is commendable, spatial disparities and gender inequalities </w:t>
      </w:r>
      <w:r w:rsidR="00B755F8" w:rsidRPr="002C127A">
        <w:t>persist</w:t>
      </w:r>
      <w:r w:rsidR="009C50F6" w:rsidRPr="002C127A">
        <w:t>,</w:t>
      </w:r>
      <w:r w:rsidR="008F358D">
        <w:t xml:space="preserve"> especially in </w:t>
      </w:r>
      <w:r w:rsidR="003F1B3C">
        <w:t>terms</w:t>
      </w:r>
      <w:r w:rsidR="00F25447" w:rsidRPr="00F25447">
        <w:t xml:space="preserve"> of employment</w:t>
      </w:r>
      <w:r w:rsidR="00F25447">
        <w:t>,</w:t>
      </w:r>
      <w:r w:rsidR="00F25447" w:rsidRPr="00F25447">
        <w:t xml:space="preserve"> professional training, political decision</w:t>
      </w:r>
      <w:r w:rsidR="001F7617">
        <w:t>-</w:t>
      </w:r>
      <w:r w:rsidR="00F25447" w:rsidRPr="00F25447">
        <w:t>making</w:t>
      </w:r>
      <w:r>
        <w:t>,</w:t>
      </w:r>
      <w:r w:rsidR="00F25447" w:rsidRPr="00F25447">
        <w:t xml:space="preserve"> </w:t>
      </w:r>
      <w:r w:rsidR="00CD25E7" w:rsidRPr="00F25447">
        <w:t>and access</w:t>
      </w:r>
      <w:r w:rsidR="00F25447" w:rsidRPr="00F25447">
        <w:t xml:space="preserve"> to capital</w:t>
      </w:r>
      <w:r w:rsidR="00F25447">
        <w:t xml:space="preserve"> </w:t>
      </w:r>
      <w:r w:rsidR="00F25447" w:rsidRPr="00F25447">
        <w:t>and basic services</w:t>
      </w:r>
      <w:r w:rsidR="00CD25E7">
        <w:t xml:space="preserve">. </w:t>
      </w:r>
      <w:r w:rsidR="00CA6C83" w:rsidRPr="002C127A">
        <w:t>The poorest regions</w:t>
      </w:r>
      <w:r w:rsidR="00CA6C83">
        <w:t xml:space="preserve"> (</w:t>
      </w:r>
      <w:r w:rsidR="00CA6C83" w:rsidRPr="002C127A">
        <w:t>Guidimakha, Tagant, Assaba</w:t>
      </w:r>
      <w:r w:rsidR="00CA6C83">
        <w:t>,</w:t>
      </w:r>
      <w:r w:rsidR="00CA6C83" w:rsidRPr="002C127A">
        <w:t xml:space="preserve"> and Brakna</w:t>
      </w:r>
      <w:r w:rsidR="00CA6C83">
        <w:t>)</w:t>
      </w:r>
      <w:r w:rsidR="00CA6C83" w:rsidRPr="002C127A">
        <w:t xml:space="preserve"> </w:t>
      </w:r>
      <w:r w:rsidR="00CA6C83">
        <w:t>have</w:t>
      </w:r>
      <w:r w:rsidR="00CA6C83" w:rsidRPr="002C127A">
        <w:t xml:space="preserve"> a poverty rate greater than 40</w:t>
      </w:r>
      <w:r w:rsidR="00CA6C83">
        <w:t xml:space="preserve"> per cent, while o</w:t>
      </w:r>
      <w:r w:rsidR="00CA6C83" w:rsidRPr="002C127A">
        <w:t>ther regions</w:t>
      </w:r>
      <w:r w:rsidR="00CA6C83">
        <w:t>—</w:t>
      </w:r>
      <w:r w:rsidR="00CA6C83" w:rsidRPr="002C127A">
        <w:t>such as Gorgol, Hodh El Gharbi, Trarza</w:t>
      </w:r>
      <w:r w:rsidR="00CA6C83">
        <w:t>,</w:t>
      </w:r>
      <w:r w:rsidR="00CA6C83" w:rsidRPr="002C127A">
        <w:t xml:space="preserve"> and Adrar</w:t>
      </w:r>
      <w:r w:rsidR="00CA6C83">
        <w:t xml:space="preserve">—have </w:t>
      </w:r>
      <w:r w:rsidR="00CA6C83" w:rsidRPr="002C127A">
        <w:t xml:space="preserve">high rates of poverty. </w:t>
      </w:r>
      <w:r w:rsidR="009C50F6" w:rsidRPr="002C127A">
        <w:t>Unemployment affects mostly women and young people (19</w:t>
      </w:r>
      <w:r>
        <w:t xml:space="preserve"> per cent for women, and 21 per cent for </w:t>
      </w:r>
      <w:r w:rsidR="004D2CBD">
        <w:t>young people</w:t>
      </w:r>
      <w:r>
        <w:t xml:space="preserve"> aged </w:t>
      </w:r>
      <w:r w:rsidR="009C50F6" w:rsidRPr="002C127A">
        <w:t>14</w:t>
      </w:r>
      <w:r>
        <w:t xml:space="preserve"> to </w:t>
      </w:r>
      <w:r w:rsidR="009C50F6" w:rsidRPr="002C127A">
        <w:t>34</w:t>
      </w:r>
      <w:r w:rsidR="00C029D9" w:rsidRPr="002C127A">
        <w:t>)</w:t>
      </w:r>
      <w:r w:rsidR="008F358D">
        <w:rPr>
          <w:rStyle w:val="FootnoteReference"/>
        </w:rPr>
        <w:t>2</w:t>
      </w:r>
      <w:r w:rsidR="008F358D">
        <w:t xml:space="preserve"> </w:t>
      </w:r>
      <w:r w:rsidR="004D2CBD">
        <w:t>while the</w:t>
      </w:r>
      <w:r w:rsidR="004D2CBD" w:rsidRPr="002C127A">
        <w:t xml:space="preserve"> </w:t>
      </w:r>
      <w:r w:rsidR="009C50F6" w:rsidRPr="002C127A">
        <w:t>inequality index was 0.34 in 2014</w:t>
      </w:r>
      <w:r w:rsidR="004D2CBD">
        <w:t>.</w:t>
      </w:r>
      <w:r w:rsidR="008F358D">
        <w:rPr>
          <w:rStyle w:val="FootnoteReference"/>
        </w:rPr>
        <w:t>2</w:t>
      </w:r>
      <w:r w:rsidR="009C50F6" w:rsidRPr="002C127A">
        <w:t xml:space="preserve"> The agriculture and fisher</w:t>
      </w:r>
      <w:r w:rsidR="00F17BA8">
        <w:t>y</w:t>
      </w:r>
      <w:r w:rsidR="009C50F6" w:rsidRPr="002C127A">
        <w:t xml:space="preserve"> sectors</w:t>
      </w:r>
      <w:r w:rsidR="004D2CBD">
        <w:t>,</w:t>
      </w:r>
      <w:r w:rsidR="009C50F6" w:rsidRPr="002C127A">
        <w:t xml:space="preserve"> which employ most of the workforce</w:t>
      </w:r>
      <w:r w:rsidR="00B755F8" w:rsidRPr="002C127A">
        <w:t xml:space="preserve"> in rural area</w:t>
      </w:r>
      <w:r w:rsidR="00C914CF" w:rsidRPr="002C127A">
        <w:t>s,</w:t>
      </w:r>
      <w:r w:rsidR="009C50F6" w:rsidRPr="002C127A">
        <w:t xml:space="preserve"> </w:t>
      </w:r>
      <w:r w:rsidR="004D2CBD">
        <w:t>have low rates of</w:t>
      </w:r>
      <w:r w:rsidR="004D2CBD" w:rsidRPr="002C127A">
        <w:t xml:space="preserve"> </w:t>
      </w:r>
      <w:r w:rsidR="009C50F6" w:rsidRPr="002C127A">
        <w:t>producti</w:t>
      </w:r>
      <w:r w:rsidR="004D2CBD">
        <w:t xml:space="preserve">on </w:t>
      </w:r>
      <w:r w:rsidR="009C50F6" w:rsidRPr="002C127A">
        <w:t xml:space="preserve">and remain vulnerable to the effects of climate change. </w:t>
      </w:r>
      <w:r w:rsidR="004D2CBD">
        <w:t>According to</w:t>
      </w:r>
      <w:r w:rsidR="004D2CBD" w:rsidRPr="002C127A">
        <w:t xml:space="preserve"> </w:t>
      </w:r>
      <w:r w:rsidR="009C50F6" w:rsidRPr="002C127A">
        <w:t xml:space="preserve">the </w:t>
      </w:r>
      <w:r w:rsidR="004D2CBD">
        <w:t xml:space="preserve">UNDP </w:t>
      </w:r>
      <w:r w:rsidR="009C50F6" w:rsidRPr="002C127A">
        <w:t xml:space="preserve">2016 Human Development Report, Mauritania </w:t>
      </w:r>
      <w:r w:rsidR="004D2CBD">
        <w:t>has a</w:t>
      </w:r>
      <w:r w:rsidR="009C50F6" w:rsidRPr="002C127A">
        <w:t xml:space="preserve"> Human Development Index (HDI) </w:t>
      </w:r>
      <w:r w:rsidR="004D2CBD">
        <w:t xml:space="preserve">ranking </w:t>
      </w:r>
      <w:r w:rsidR="009C50F6" w:rsidRPr="002C127A">
        <w:t>of 0.513</w:t>
      </w:r>
      <w:r w:rsidR="004D2CBD">
        <w:t xml:space="preserve"> and </w:t>
      </w:r>
      <w:r w:rsidR="009C50F6" w:rsidRPr="002C127A">
        <w:t xml:space="preserve">is </w:t>
      </w:r>
      <w:r w:rsidR="00EF7635" w:rsidRPr="002C127A">
        <w:t>positioned</w:t>
      </w:r>
      <w:r w:rsidR="009C50F6" w:rsidRPr="002C127A">
        <w:t xml:space="preserve"> 157 out of</w:t>
      </w:r>
      <w:r w:rsidR="008F358D">
        <w:t xml:space="preserve"> 185 countries.</w:t>
      </w:r>
    </w:p>
    <w:p w:rsidR="008F358D" w:rsidRPr="006D4AF4" w:rsidRDefault="008F358D" w:rsidP="006D4AF4">
      <w:pPr>
        <w:tabs>
          <w:tab w:val="left" w:pos="990"/>
        </w:tabs>
        <w:spacing w:after="120"/>
        <w:ind w:left="720" w:right="680"/>
        <w:contextualSpacing/>
        <w:jc w:val="both"/>
        <w:rPr>
          <w:sz w:val="12"/>
          <w:szCs w:val="12"/>
        </w:rPr>
      </w:pPr>
    </w:p>
    <w:p w:rsidR="00204B5B" w:rsidRPr="002C127A" w:rsidRDefault="004D2CBD" w:rsidP="006D4AF4">
      <w:pPr>
        <w:numPr>
          <w:ilvl w:val="0"/>
          <w:numId w:val="9"/>
        </w:numPr>
        <w:tabs>
          <w:tab w:val="left" w:pos="990"/>
        </w:tabs>
        <w:spacing w:after="120"/>
        <w:ind w:right="680" w:firstLine="0"/>
        <w:contextualSpacing/>
        <w:jc w:val="both"/>
      </w:pPr>
      <w:r>
        <w:t>Disparities</w:t>
      </w:r>
      <w:r w:rsidR="009C50F6" w:rsidRPr="002C127A">
        <w:t xml:space="preserve"> between rural and urban areas </w:t>
      </w:r>
      <w:r>
        <w:t>are</w:t>
      </w:r>
      <w:r w:rsidR="009C50F6" w:rsidRPr="002C127A">
        <w:t xml:space="preserve"> due</w:t>
      </w:r>
      <w:r w:rsidR="00476381">
        <w:t xml:space="preserve">, </w:t>
      </w:r>
      <w:r>
        <w:t>in part</w:t>
      </w:r>
      <w:r w:rsidR="00476381">
        <w:t xml:space="preserve">, </w:t>
      </w:r>
      <w:r w:rsidR="009C50F6" w:rsidRPr="002C127A">
        <w:t xml:space="preserve">to </w:t>
      </w:r>
      <w:r w:rsidR="00BB709A" w:rsidRPr="002C127A">
        <w:t>unequal resource allocation,</w:t>
      </w:r>
      <w:r w:rsidR="005B436E" w:rsidRPr="002C127A">
        <w:t xml:space="preserve"> lack of econom</w:t>
      </w:r>
      <w:r w:rsidR="004863E4" w:rsidRPr="002C127A">
        <w:t xml:space="preserve">ic </w:t>
      </w:r>
      <w:r w:rsidR="005B436E" w:rsidRPr="002C127A">
        <w:t>competitiveness and diversification</w:t>
      </w:r>
      <w:r w:rsidR="004863E4" w:rsidRPr="002C127A">
        <w:t>,</w:t>
      </w:r>
      <w:r w:rsidR="006F0166" w:rsidRPr="002C127A">
        <w:t xml:space="preserve"> and weak </w:t>
      </w:r>
      <w:r w:rsidR="008F358D">
        <w:t>governance</w:t>
      </w:r>
      <w:r w:rsidR="0028728E" w:rsidRPr="002C127A">
        <w:t xml:space="preserve">. </w:t>
      </w:r>
      <w:r>
        <w:t>Other shortcomings include</w:t>
      </w:r>
      <w:r w:rsidRPr="002C127A">
        <w:t xml:space="preserve"> </w:t>
      </w:r>
      <w:r>
        <w:t>poor</w:t>
      </w:r>
      <w:r w:rsidR="00BB709A" w:rsidRPr="002C127A">
        <w:t xml:space="preserve"> parliamentary oversight, </w:t>
      </w:r>
      <w:r>
        <w:t xml:space="preserve">low </w:t>
      </w:r>
      <w:r w:rsidR="00BB709A" w:rsidRPr="002C127A">
        <w:t xml:space="preserve">participation in local development planning, corruption, </w:t>
      </w:r>
      <w:r>
        <w:t xml:space="preserve">and lack </w:t>
      </w:r>
      <w:r w:rsidR="00BB709A" w:rsidRPr="002C127A">
        <w:t>of</w:t>
      </w:r>
      <w:r w:rsidR="008F358D">
        <w:t xml:space="preserve"> accountability and transparency</w:t>
      </w:r>
      <w:r w:rsidR="00BB709A" w:rsidRPr="002C127A">
        <w:t xml:space="preserve">. </w:t>
      </w:r>
      <w:r>
        <w:t>In 2015, the</w:t>
      </w:r>
      <w:r w:rsidRPr="002C127A">
        <w:t xml:space="preserve"> </w:t>
      </w:r>
      <w:r w:rsidR="005B436E" w:rsidRPr="002C127A">
        <w:t>1.9</w:t>
      </w:r>
      <w:r>
        <w:t xml:space="preserve"> per cent</w:t>
      </w:r>
      <w:r w:rsidR="005B436E" w:rsidRPr="002C127A">
        <w:t xml:space="preserve"> decline in the growth rate </w:t>
      </w:r>
      <w:r>
        <w:t>(</w:t>
      </w:r>
      <w:r w:rsidR="005B436E" w:rsidRPr="002C127A">
        <w:t>after reaching 6.6</w:t>
      </w:r>
      <w:r>
        <w:t xml:space="preserve"> per cent</w:t>
      </w:r>
      <w:r w:rsidR="005B436E" w:rsidRPr="002C127A">
        <w:t xml:space="preserve"> in 2014</w:t>
      </w:r>
      <w:r>
        <w:t>) was attributed</w:t>
      </w:r>
      <w:r w:rsidR="005B436E" w:rsidRPr="002C127A">
        <w:t xml:space="preserve"> to the collapse </w:t>
      </w:r>
      <w:r>
        <w:t>in the global price of</w:t>
      </w:r>
      <w:r w:rsidR="005B436E" w:rsidRPr="002C127A">
        <w:t xml:space="preserve"> raw materials, particularly iron</w:t>
      </w:r>
      <w:r>
        <w:t>. This demonstrates how the country is vulnerable</w:t>
      </w:r>
      <w:r w:rsidR="005B436E" w:rsidRPr="002C127A">
        <w:t xml:space="preserve"> to external</w:t>
      </w:r>
      <w:r w:rsidR="002630D6" w:rsidRPr="002C127A">
        <w:t xml:space="preserve"> </w:t>
      </w:r>
      <w:r w:rsidR="00B755F8" w:rsidRPr="002C127A">
        <w:t>price shocks</w:t>
      </w:r>
      <w:r w:rsidR="002630D6" w:rsidRPr="002C127A">
        <w:t xml:space="preserve"> and </w:t>
      </w:r>
      <w:r>
        <w:t>poor</w:t>
      </w:r>
      <w:r w:rsidR="008F358D">
        <w:t xml:space="preserve"> economic </w:t>
      </w:r>
      <w:r w:rsidR="00796AB2">
        <w:t>diversification</w:t>
      </w:r>
      <w:r w:rsidR="00F25447">
        <w:t>.</w:t>
      </w:r>
      <w:r w:rsidR="002630D6" w:rsidRPr="002C127A">
        <w:t xml:space="preserve"> </w:t>
      </w:r>
    </w:p>
    <w:p w:rsidR="00204B5B" w:rsidRPr="006D4AF4" w:rsidRDefault="00204B5B" w:rsidP="006D4AF4">
      <w:pPr>
        <w:tabs>
          <w:tab w:val="left" w:pos="990"/>
        </w:tabs>
        <w:rPr>
          <w:sz w:val="12"/>
          <w:szCs w:val="12"/>
        </w:rPr>
      </w:pPr>
    </w:p>
    <w:p w:rsidR="00EA6246" w:rsidRPr="002C127A" w:rsidRDefault="002630D6" w:rsidP="006D4AF4">
      <w:pPr>
        <w:numPr>
          <w:ilvl w:val="0"/>
          <w:numId w:val="9"/>
        </w:numPr>
        <w:tabs>
          <w:tab w:val="left" w:pos="990"/>
        </w:tabs>
        <w:spacing w:after="120"/>
        <w:ind w:right="680" w:firstLine="0"/>
        <w:contextualSpacing/>
        <w:jc w:val="both"/>
      </w:pPr>
      <w:r w:rsidRPr="002C127A">
        <w:t>Mauritania is vulnerable to disasters</w:t>
      </w:r>
      <w:r w:rsidR="00796AB2">
        <w:t xml:space="preserve"> </w:t>
      </w:r>
      <w:r w:rsidRPr="002C127A">
        <w:t>associated with climate change. Floods, such as the one in 2013</w:t>
      </w:r>
      <w:r w:rsidR="00796AB2">
        <w:t xml:space="preserve"> that </w:t>
      </w:r>
      <w:r w:rsidRPr="002C127A">
        <w:t xml:space="preserve">damaged economic </w:t>
      </w:r>
      <w:r w:rsidR="00B755F8" w:rsidRPr="002C127A">
        <w:t>infrastructure and</w:t>
      </w:r>
      <w:r w:rsidRPr="002C127A">
        <w:t xml:space="preserve"> affected over 70,000 people</w:t>
      </w:r>
      <w:r w:rsidR="00B97E1B" w:rsidRPr="002C127A">
        <w:t>,</w:t>
      </w:r>
      <w:r w:rsidRPr="002C127A">
        <w:t xml:space="preserve"> highligh</w:t>
      </w:r>
      <w:r w:rsidR="00796AB2">
        <w:t>t</w:t>
      </w:r>
      <w:r w:rsidRPr="002C127A">
        <w:t xml:space="preserve"> </w:t>
      </w:r>
      <w:r w:rsidR="00F17BA8">
        <w:t>an</w:t>
      </w:r>
      <w:r w:rsidR="00F17BA8" w:rsidRPr="002C127A">
        <w:t xml:space="preserve"> </w:t>
      </w:r>
      <w:r w:rsidR="00BB709A" w:rsidRPr="002C127A">
        <w:t xml:space="preserve">insufficiency </w:t>
      </w:r>
      <w:r w:rsidR="00796AB2">
        <w:t>in national</w:t>
      </w:r>
      <w:r w:rsidR="00796AB2" w:rsidRPr="002C127A">
        <w:t xml:space="preserve"> </w:t>
      </w:r>
      <w:r w:rsidRPr="002C127A">
        <w:t>capacit</w:t>
      </w:r>
      <w:r w:rsidR="00796AB2">
        <w:t xml:space="preserve">ies to </w:t>
      </w:r>
      <w:r w:rsidRPr="002C127A">
        <w:t>coordinat</w:t>
      </w:r>
      <w:r w:rsidR="00796AB2">
        <w:t>e</w:t>
      </w:r>
      <w:r w:rsidRPr="002C127A">
        <w:t>, prepare and respon</w:t>
      </w:r>
      <w:r w:rsidR="00796AB2">
        <w:t>d</w:t>
      </w:r>
      <w:r w:rsidRPr="002C127A">
        <w:t xml:space="preserve"> to emergencies. National authorities estimate 24 localities (including 13 cities) </w:t>
      </w:r>
      <w:r w:rsidR="00796AB2">
        <w:t xml:space="preserve">are </w:t>
      </w:r>
      <w:r w:rsidRPr="002C127A">
        <w:t xml:space="preserve">located </w:t>
      </w:r>
      <w:r w:rsidR="004E62A4" w:rsidRPr="002C127A">
        <w:t>in high</w:t>
      </w:r>
      <w:r w:rsidRPr="002C127A">
        <w:t xml:space="preserve"> </w:t>
      </w:r>
      <w:r w:rsidR="00E50A51" w:rsidRPr="002C127A">
        <w:t xml:space="preserve">flood </w:t>
      </w:r>
      <w:r w:rsidRPr="002C127A">
        <w:t>risk or landlocked areas.</w:t>
      </w:r>
      <w:r w:rsidR="003A6620">
        <w:t xml:space="preserve"> To mitigate the climate change </w:t>
      </w:r>
      <w:r w:rsidR="00F92592">
        <w:t>risk, Mauritania</w:t>
      </w:r>
      <w:r w:rsidR="00204B5B" w:rsidRPr="002C127A">
        <w:t xml:space="preserve"> </w:t>
      </w:r>
      <w:r w:rsidR="00AF2D6A" w:rsidRPr="002C127A">
        <w:t xml:space="preserve">has </w:t>
      </w:r>
      <w:r w:rsidR="00204B5B" w:rsidRPr="002C127A">
        <w:t>made advances in the energy sector by developing and adopting the National Renewable Energy Strategy</w:t>
      </w:r>
      <w:r w:rsidR="00414545">
        <w:t xml:space="preserve"> and </w:t>
      </w:r>
      <w:r w:rsidR="003D77BB">
        <w:t xml:space="preserve">increasing </w:t>
      </w:r>
      <w:r w:rsidR="00796AB2">
        <w:t xml:space="preserve">its </w:t>
      </w:r>
      <w:r w:rsidR="003D77BB">
        <w:t>share of renewable energy to</w:t>
      </w:r>
      <w:r w:rsidR="00204B5B" w:rsidRPr="002C127A">
        <w:t xml:space="preserve"> 25</w:t>
      </w:r>
      <w:r w:rsidR="00796AB2">
        <w:t xml:space="preserve"> per cent</w:t>
      </w:r>
      <w:r w:rsidR="00204B5B" w:rsidRPr="002C127A">
        <w:t xml:space="preserve"> in 2016</w:t>
      </w:r>
      <w:r w:rsidR="00796AB2">
        <w:t xml:space="preserve"> (</w:t>
      </w:r>
      <w:r w:rsidR="00414545">
        <w:t>from</w:t>
      </w:r>
      <w:r w:rsidR="00796AB2">
        <w:t xml:space="preserve"> </w:t>
      </w:r>
      <w:r w:rsidR="00204B5B" w:rsidRPr="002C127A">
        <w:t>5</w:t>
      </w:r>
      <w:r w:rsidR="00796AB2">
        <w:t xml:space="preserve"> per cent</w:t>
      </w:r>
      <w:r w:rsidR="00204B5B" w:rsidRPr="002C127A">
        <w:t xml:space="preserve"> in 2012</w:t>
      </w:r>
      <w:r w:rsidR="00414545">
        <w:t>)</w:t>
      </w:r>
      <w:r w:rsidR="00796AB2">
        <w:t>.</w:t>
      </w:r>
      <w:r w:rsidR="003D77BB">
        <w:rPr>
          <w:rStyle w:val="FootnoteReference"/>
        </w:rPr>
        <w:footnoteReference w:id="4"/>
      </w:r>
      <w:r w:rsidR="00204B5B" w:rsidRPr="002C127A">
        <w:t xml:space="preserve"> </w:t>
      </w:r>
      <w:r w:rsidR="00414545">
        <w:t>Despite this,</w:t>
      </w:r>
      <w:r w:rsidR="003A6620">
        <w:t xml:space="preserve"> r</w:t>
      </w:r>
      <w:r w:rsidR="003D77BB">
        <w:t>ural communitie</w:t>
      </w:r>
      <w:r w:rsidR="003A25BE">
        <w:t>s</w:t>
      </w:r>
      <w:r w:rsidR="003D77BB">
        <w:t xml:space="preserve"> </w:t>
      </w:r>
      <w:r w:rsidR="00BB709A" w:rsidRPr="002C127A">
        <w:t>ha</w:t>
      </w:r>
      <w:r w:rsidR="0031127B">
        <w:t>ve</w:t>
      </w:r>
      <w:r w:rsidR="00BB709A" w:rsidRPr="002C127A">
        <w:t xml:space="preserve"> </w:t>
      </w:r>
      <w:r w:rsidR="00414545">
        <w:t>benefitted the least</w:t>
      </w:r>
      <w:r w:rsidR="00796AB2">
        <w:t xml:space="preserve"> as </w:t>
      </w:r>
      <w:r w:rsidR="00AF2D6A" w:rsidRPr="002C127A">
        <w:t>o</w:t>
      </w:r>
      <w:r w:rsidR="00204B5B" w:rsidRPr="002C127A">
        <w:t>nly 5</w:t>
      </w:r>
      <w:r w:rsidR="00796AB2">
        <w:t xml:space="preserve"> per cent</w:t>
      </w:r>
      <w:r w:rsidR="00C029D9" w:rsidRPr="002C127A">
        <w:t xml:space="preserve"> have</w:t>
      </w:r>
      <w:r w:rsidR="00204B5B" w:rsidRPr="002C127A">
        <w:t xml:space="preserve"> access to electricity</w:t>
      </w:r>
      <w:r w:rsidR="00796AB2">
        <w:t>.</w:t>
      </w:r>
      <w:r w:rsidR="003D77BB">
        <w:rPr>
          <w:rStyle w:val="FootnoteReference"/>
        </w:rPr>
        <w:footnoteReference w:id="5"/>
      </w:r>
    </w:p>
    <w:p w:rsidR="00373F7E" w:rsidRPr="006D4AF4" w:rsidRDefault="00373F7E" w:rsidP="006D4AF4">
      <w:pPr>
        <w:tabs>
          <w:tab w:val="left" w:pos="990"/>
        </w:tabs>
        <w:spacing w:after="120"/>
        <w:ind w:left="720" w:right="680"/>
        <w:contextualSpacing/>
        <w:jc w:val="both"/>
        <w:rPr>
          <w:sz w:val="12"/>
          <w:szCs w:val="12"/>
        </w:rPr>
      </w:pPr>
    </w:p>
    <w:p w:rsidR="00F503DE" w:rsidRPr="00451503" w:rsidRDefault="002630D6" w:rsidP="006D4AF4">
      <w:pPr>
        <w:numPr>
          <w:ilvl w:val="0"/>
          <w:numId w:val="9"/>
        </w:numPr>
        <w:tabs>
          <w:tab w:val="left" w:pos="990"/>
        </w:tabs>
        <w:spacing w:after="120"/>
        <w:ind w:right="680" w:firstLine="0"/>
        <w:contextualSpacing/>
        <w:jc w:val="both"/>
      </w:pPr>
      <w:r w:rsidRPr="00451503">
        <w:t xml:space="preserve">With regards to </w:t>
      </w:r>
      <w:r w:rsidR="00590BAB">
        <w:t xml:space="preserve">political </w:t>
      </w:r>
      <w:r w:rsidRPr="00451503">
        <w:t xml:space="preserve">governance, </w:t>
      </w:r>
      <w:r w:rsidR="00590BAB">
        <w:t>t</w:t>
      </w:r>
      <w:r w:rsidR="000A2962" w:rsidRPr="00451503">
        <w:t xml:space="preserve">he </w:t>
      </w:r>
      <w:r w:rsidR="004863E4" w:rsidRPr="00451503">
        <w:t>g</w:t>
      </w:r>
      <w:r w:rsidR="000A2962" w:rsidRPr="00451503">
        <w:t>overnment organize</w:t>
      </w:r>
      <w:r w:rsidR="0069099C">
        <w:t>d</w:t>
      </w:r>
      <w:r w:rsidR="000A2962" w:rsidRPr="00451503">
        <w:t xml:space="preserve"> several dialogues </w:t>
      </w:r>
      <w:r w:rsidR="00590BAB">
        <w:t xml:space="preserve">between the majority </w:t>
      </w:r>
      <w:r w:rsidR="003A25BE">
        <w:t xml:space="preserve">party </w:t>
      </w:r>
      <w:r w:rsidR="00C029D9">
        <w:t xml:space="preserve">and </w:t>
      </w:r>
      <w:r w:rsidR="003A25BE">
        <w:t>members of</w:t>
      </w:r>
      <w:r w:rsidR="000A2962" w:rsidRPr="00451503">
        <w:t xml:space="preserve"> the opposition</w:t>
      </w:r>
      <w:r w:rsidR="003A25BE">
        <w:t>, as well as with</w:t>
      </w:r>
      <w:r w:rsidR="000A2962" w:rsidRPr="00451503">
        <w:t xml:space="preserve"> civil society organizations</w:t>
      </w:r>
      <w:r w:rsidR="009E3AE3" w:rsidRPr="00451503">
        <w:t xml:space="preserve"> (CSOs)</w:t>
      </w:r>
      <w:r w:rsidR="000A2962" w:rsidRPr="00451503">
        <w:t xml:space="preserve">. </w:t>
      </w:r>
      <w:r w:rsidR="003A25BE">
        <w:t>Yet,</w:t>
      </w:r>
      <w:r w:rsidR="00590BAB" w:rsidRPr="00590BAB">
        <w:t xml:space="preserve"> </w:t>
      </w:r>
      <w:r w:rsidR="00414545">
        <w:t>a portion of</w:t>
      </w:r>
      <w:r w:rsidR="00590BAB" w:rsidRPr="00590BAB">
        <w:t xml:space="preserve"> the opposition did not participate, which is likely to exacerbate social and political tensions</w:t>
      </w:r>
      <w:r w:rsidR="00590BAB">
        <w:t>.</w:t>
      </w:r>
      <w:r w:rsidR="00590BAB" w:rsidRPr="00451503">
        <w:t xml:space="preserve"> </w:t>
      </w:r>
      <w:r w:rsidR="003A25BE">
        <w:t>I</w:t>
      </w:r>
      <w:r w:rsidR="00590BAB">
        <w:t xml:space="preserve">nsufficiencies in </w:t>
      </w:r>
      <w:r w:rsidR="00EC0B43" w:rsidRPr="00451503">
        <w:t>governance, lack of employment opportunities</w:t>
      </w:r>
      <w:r w:rsidR="003A25BE">
        <w:t>,</w:t>
      </w:r>
      <w:r w:rsidR="00EC0B43" w:rsidRPr="00451503">
        <w:t xml:space="preserve"> and </w:t>
      </w:r>
      <w:r w:rsidR="003A25BE">
        <w:t>porous</w:t>
      </w:r>
      <w:r w:rsidR="003A25BE" w:rsidRPr="00451503">
        <w:t xml:space="preserve"> </w:t>
      </w:r>
      <w:r w:rsidR="003A25BE">
        <w:t xml:space="preserve">national </w:t>
      </w:r>
      <w:r w:rsidR="00EC0B43" w:rsidRPr="00451503">
        <w:t xml:space="preserve">borders </w:t>
      </w:r>
      <w:r w:rsidR="003A25BE">
        <w:t>have led to an uptick in</w:t>
      </w:r>
      <w:r w:rsidR="00EC0B43" w:rsidRPr="00451503">
        <w:t xml:space="preserve"> illicit activities </w:t>
      </w:r>
      <w:r w:rsidR="003A25BE">
        <w:t>such as</w:t>
      </w:r>
      <w:r w:rsidR="00414545">
        <w:t xml:space="preserve"> </w:t>
      </w:r>
      <w:r w:rsidR="00FC40B7">
        <w:t>the</w:t>
      </w:r>
      <w:r w:rsidR="00EC0B43" w:rsidRPr="00451503">
        <w:t xml:space="preserve"> trafficking of </w:t>
      </w:r>
      <w:r w:rsidR="003A25BE">
        <w:t>weapons</w:t>
      </w:r>
      <w:r w:rsidR="00EC0B43" w:rsidRPr="00451503">
        <w:t xml:space="preserve">, drugs and humans, </w:t>
      </w:r>
      <w:r w:rsidR="00414545">
        <w:t xml:space="preserve">along with </w:t>
      </w:r>
      <w:r w:rsidR="00EC0B43" w:rsidRPr="00451503">
        <w:t>radicalization</w:t>
      </w:r>
      <w:r w:rsidR="00131EC8">
        <w:t>, terrorism</w:t>
      </w:r>
      <w:r w:rsidR="00414545">
        <w:t>,</w:t>
      </w:r>
      <w:r w:rsidR="00131EC8">
        <w:t xml:space="preserve"> a</w:t>
      </w:r>
      <w:r w:rsidR="00EC0B43" w:rsidRPr="00451503">
        <w:t xml:space="preserve">nd illegal migration. </w:t>
      </w:r>
      <w:r w:rsidR="00414545">
        <w:t>A</w:t>
      </w:r>
      <w:r w:rsidR="00B97E1B" w:rsidRPr="00451503">
        <w:t xml:space="preserve">reas </w:t>
      </w:r>
      <w:r w:rsidR="00EC0B43" w:rsidRPr="00451503">
        <w:t xml:space="preserve">affected </w:t>
      </w:r>
      <w:r w:rsidR="0003194B" w:rsidRPr="00451503">
        <w:t xml:space="preserve">by radicalization </w:t>
      </w:r>
      <w:r w:rsidR="00EC0B43" w:rsidRPr="00451503">
        <w:t xml:space="preserve">are located </w:t>
      </w:r>
      <w:r w:rsidR="00131EC8">
        <w:t xml:space="preserve">near </w:t>
      </w:r>
      <w:r w:rsidR="003A25BE">
        <w:t xml:space="preserve">the </w:t>
      </w:r>
      <w:r w:rsidR="00EC0B43" w:rsidRPr="00451503">
        <w:t>border</w:t>
      </w:r>
      <w:r w:rsidR="003A25BE">
        <w:t>s with</w:t>
      </w:r>
      <w:r w:rsidR="00EC0B43" w:rsidRPr="00451503">
        <w:t xml:space="preserve"> Mali</w:t>
      </w:r>
      <w:r w:rsidR="00414545">
        <w:t xml:space="preserve">. They </w:t>
      </w:r>
      <w:r w:rsidR="003A25BE">
        <w:t xml:space="preserve">have </w:t>
      </w:r>
      <w:r w:rsidR="00EC0B43" w:rsidRPr="00451503">
        <w:t>high poverty rates</w:t>
      </w:r>
      <w:r w:rsidR="002F09A5">
        <w:t xml:space="preserve">, </w:t>
      </w:r>
      <w:r w:rsidR="003A25BE">
        <w:t xml:space="preserve">and poor </w:t>
      </w:r>
      <w:r w:rsidR="002F09A5">
        <w:t>provision of social services</w:t>
      </w:r>
      <w:r w:rsidR="00EC0B43" w:rsidRPr="00451503">
        <w:t xml:space="preserve"> and government infrastructure. </w:t>
      </w:r>
      <w:r w:rsidR="003A25BE">
        <w:t>Young people</w:t>
      </w:r>
      <w:r w:rsidR="00EC0B43" w:rsidRPr="00451503">
        <w:t xml:space="preserve"> and women in </w:t>
      </w:r>
      <w:r w:rsidR="003A25BE">
        <w:t>these</w:t>
      </w:r>
      <w:r w:rsidR="003A25BE" w:rsidRPr="00451503">
        <w:t xml:space="preserve"> </w:t>
      </w:r>
      <w:r w:rsidR="003A25BE">
        <w:t>areas</w:t>
      </w:r>
      <w:r w:rsidR="003A25BE" w:rsidRPr="00451503">
        <w:t xml:space="preserve"> </w:t>
      </w:r>
      <w:r w:rsidR="00EC0B43" w:rsidRPr="00451503">
        <w:t xml:space="preserve">are especially vulnerable. </w:t>
      </w:r>
      <w:r w:rsidR="003A25BE">
        <w:t>Because p</w:t>
      </w:r>
      <w:r w:rsidR="003A25BE" w:rsidRPr="00451503">
        <w:t>eace</w:t>
      </w:r>
      <w:r w:rsidR="003A25BE">
        <w:t xml:space="preserve">, </w:t>
      </w:r>
      <w:r w:rsidR="003A25BE" w:rsidRPr="00451503">
        <w:t xml:space="preserve">security and the fight against terrorism are </w:t>
      </w:r>
      <w:r w:rsidR="003A25BE">
        <w:t xml:space="preserve">primary </w:t>
      </w:r>
      <w:r w:rsidR="003A25BE" w:rsidRPr="00451503">
        <w:t>challenges for Mauritania</w:t>
      </w:r>
      <w:r w:rsidR="003A25BE">
        <w:t>, the</w:t>
      </w:r>
      <w:r w:rsidR="003A25BE" w:rsidRPr="00451503">
        <w:t xml:space="preserve"> </w:t>
      </w:r>
      <w:r w:rsidR="00EC0B43" w:rsidRPr="00451503">
        <w:t xml:space="preserve">government approved the National Strategy </w:t>
      </w:r>
      <w:r w:rsidR="003A25BE">
        <w:t>A</w:t>
      </w:r>
      <w:r w:rsidR="00EC0B43" w:rsidRPr="00451503">
        <w:t>gainst Terrorism and Transnational Criminality</w:t>
      </w:r>
      <w:r w:rsidR="003A25BE">
        <w:t>,</w:t>
      </w:r>
      <w:r w:rsidR="00EC0B43" w:rsidRPr="00451503">
        <w:t xml:space="preserve"> and </w:t>
      </w:r>
      <w:r w:rsidR="003A25BE">
        <w:t>agreed</w:t>
      </w:r>
      <w:r w:rsidR="003A25BE" w:rsidRPr="00451503">
        <w:t xml:space="preserve"> </w:t>
      </w:r>
      <w:r w:rsidR="00EC0B43" w:rsidRPr="00451503">
        <w:t>to host the offices of G5-Sahel</w:t>
      </w:r>
      <w:r w:rsidR="00414545">
        <w:t>—</w:t>
      </w:r>
      <w:r w:rsidR="00EC0B43" w:rsidRPr="00451503">
        <w:t>created in 2014.</w:t>
      </w:r>
      <w:r w:rsidR="00EF7635">
        <w:rPr>
          <w:rStyle w:val="FootnoteReference"/>
        </w:rPr>
        <w:footnoteReference w:id="6"/>
      </w:r>
      <w:r w:rsidR="00EC0B43" w:rsidRPr="00451503">
        <w:t xml:space="preserve"> </w:t>
      </w:r>
    </w:p>
    <w:p w:rsidR="00642931" w:rsidRPr="006D4AF4" w:rsidRDefault="00642931" w:rsidP="006D4AF4">
      <w:pPr>
        <w:tabs>
          <w:tab w:val="left" w:pos="990"/>
        </w:tabs>
        <w:spacing w:after="120"/>
        <w:ind w:right="680"/>
        <w:contextualSpacing/>
        <w:jc w:val="both"/>
        <w:rPr>
          <w:sz w:val="12"/>
          <w:szCs w:val="12"/>
          <w:lang w:val="en"/>
        </w:rPr>
      </w:pPr>
    </w:p>
    <w:p w:rsidR="00963EBB" w:rsidRPr="0031127B" w:rsidRDefault="00642931" w:rsidP="006D4AF4">
      <w:pPr>
        <w:numPr>
          <w:ilvl w:val="0"/>
          <w:numId w:val="9"/>
        </w:numPr>
        <w:tabs>
          <w:tab w:val="left" w:pos="990"/>
        </w:tabs>
        <w:spacing w:after="120"/>
        <w:ind w:right="680" w:firstLine="0"/>
        <w:contextualSpacing/>
        <w:jc w:val="both"/>
      </w:pPr>
      <w:r w:rsidRPr="00451503">
        <w:rPr>
          <w:rFonts w:eastAsia="Calibri"/>
          <w:lang w:val="en-GB"/>
        </w:rPr>
        <w:t>Mauritania has ratified all international human rights conventions and treaties</w:t>
      </w:r>
      <w:r w:rsidR="003A25BE">
        <w:rPr>
          <w:rFonts w:eastAsia="Calibri"/>
          <w:lang w:val="en-GB"/>
        </w:rPr>
        <w:t xml:space="preserve">, and </w:t>
      </w:r>
      <w:r w:rsidRPr="00451503">
        <w:rPr>
          <w:rFonts w:eastAsia="Calibri"/>
          <w:lang w:val="en-GB"/>
        </w:rPr>
        <w:t xml:space="preserve">presented Universal Periodic Review Reports in 2010 and 2015. Slavery and torture were proclaimed crimes against humanity in the 2012 </w:t>
      </w:r>
      <w:r w:rsidR="003A25BE">
        <w:rPr>
          <w:rFonts w:eastAsia="Calibri"/>
          <w:lang w:val="en-GB"/>
        </w:rPr>
        <w:t xml:space="preserve">revision of the </w:t>
      </w:r>
      <w:r w:rsidRPr="00451503">
        <w:rPr>
          <w:rFonts w:eastAsia="Calibri"/>
          <w:lang w:val="en-GB"/>
        </w:rPr>
        <w:t>constitution. The country faces major challenges in access to justice</w:t>
      </w:r>
      <w:r w:rsidR="00A4710F" w:rsidRPr="00451503">
        <w:rPr>
          <w:rFonts w:eastAsia="Calibri"/>
          <w:lang w:val="en-GB"/>
        </w:rPr>
        <w:t xml:space="preserve">, </w:t>
      </w:r>
      <w:r w:rsidR="00414545">
        <w:rPr>
          <w:rFonts w:eastAsia="Calibri"/>
          <w:lang w:val="en-GB"/>
        </w:rPr>
        <w:t xml:space="preserve">and </w:t>
      </w:r>
      <w:r w:rsidR="00F1299D">
        <w:rPr>
          <w:rFonts w:eastAsia="Calibri"/>
          <w:lang w:val="en-GB"/>
        </w:rPr>
        <w:t xml:space="preserve">the </w:t>
      </w:r>
      <w:r w:rsidR="00A4710F" w:rsidRPr="00451503">
        <w:rPr>
          <w:rFonts w:eastAsia="Calibri"/>
          <w:lang w:val="en-GB"/>
        </w:rPr>
        <w:t>provision of justice services</w:t>
      </w:r>
      <w:r w:rsidR="00E75099">
        <w:rPr>
          <w:rFonts w:eastAsia="Calibri"/>
          <w:lang w:val="en-GB"/>
        </w:rPr>
        <w:t xml:space="preserve">, </w:t>
      </w:r>
      <w:r w:rsidR="00A4710F" w:rsidRPr="00451503">
        <w:rPr>
          <w:rFonts w:eastAsia="Calibri"/>
          <w:lang w:val="en-GB"/>
        </w:rPr>
        <w:t>particularly women</w:t>
      </w:r>
      <w:r w:rsidR="006E7129">
        <w:rPr>
          <w:rFonts w:eastAsia="Calibri"/>
          <w:lang w:val="en-GB"/>
        </w:rPr>
        <w:t xml:space="preserve"> rights</w:t>
      </w:r>
      <w:r w:rsidR="006E3200">
        <w:rPr>
          <w:rFonts w:eastAsia="Calibri"/>
          <w:lang w:val="en-GB"/>
        </w:rPr>
        <w:t>.</w:t>
      </w:r>
      <w:r w:rsidR="00963EBB">
        <w:rPr>
          <w:rStyle w:val="FootnoteReference"/>
          <w:rFonts w:eastAsia="Calibri"/>
          <w:lang w:val="en-GB"/>
        </w:rPr>
        <w:footnoteReference w:id="7"/>
      </w:r>
      <w:r w:rsidRPr="00451503">
        <w:rPr>
          <w:rFonts w:eastAsia="Calibri"/>
          <w:lang w:val="en-GB"/>
        </w:rPr>
        <w:t xml:space="preserve"> </w:t>
      </w:r>
      <w:r w:rsidR="006E3200">
        <w:rPr>
          <w:rFonts w:eastAsia="Calibri"/>
          <w:lang w:val="en-GB"/>
        </w:rPr>
        <w:t>As a response</w:t>
      </w:r>
      <w:r w:rsidR="00F1299D">
        <w:rPr>
          <w:rFonts w:eastAsia="Calibri"/>
          <w:lang w:val="en-GB"/>
        </w:rPr>
        <w:t>,</w:t>
      </w:r>
      <w:r w:rsidR="006E3200">
        <w:rPr>
          <w:rFonts w:eastAsia="Calibri"/>
          <w:lang w:val="en-GB"/>
        </w:rPr>
        <w:t xml:space="preserve"> the</w:t>
      </w:r>
      <w:r w:rsidR="006E3200" w:rsidRPr="00451503">
        <w:rPr>
          <w:rFonts w:eastAsia="Calibri"/>
          <w:lang w:val="en-GB"/>
        </w:rPr>
        <w:t xml:space="preserve"> government recently approved the National Strategy for Institutionalization of Gender </w:t>
      </w:r>
      <w:r w:rsidR="006E3200">
        <w:rPr>
          <w:rFonts w:eastAsia="Calibri"/>
          <w:lang w:val="en-GB"/>
        </w:rPr>
        <w:t>a</w:t>
      </w:r>
      <w:r w:rsidR="006E3200" w:rsidRPr="00451503">
        <w:rPr>
          <w:rFonts w:eastAsia="Calibri"/>
          <w:lang w:val="en-GB"/>
        </w:rPr>
        <w:t xml:space="preserve">ction </w:t>
      </w:r>
      <w:r w:rsidR="006E3200">
        <w:rPr>
          <w:rFonts w:eastAsia="Calibri"/>
          <w:lang w:val="en-GB"/>
        </w:rPr>
        <w:t>p</w:t>
      </w:r>
      <w:r w:rsidR="006E3200" w:rsidRPr="00451503">
        <w:rPr>
          <w:rFonts w:eastAsia="Calibri"/>
          <w:lang w:val="en-GB"/>
        </w:rPr>
        <w:t>lan</w:t>
      </w:r>
      <w:r w:rsidR="006E3200">
        <w:rPr>
          <w:rFonts w:eastAsia="Calibri"/>
          <w:lang w:val="en-GB"/>
        </w:rPr>
        <w:t xml:space="preserve">, </w:t>
      </w:r>
      <w:r w:rsidR="006E3200">
        <w:rPr>
          <w:rFonts w:eastAsia="Calibri"/>
          <w:lang w:val="en-GB"/>
        </w:rPr>
        <w:lastRenderedPageBreak/>
        <w:t xml:space="preserve">but while this </w:t>
      </w:r>
      <w:r w:rsidR="00F1299D">
        <w:rPr>
          <w:rFonts w:eastAsia="Calibri"/>
          <w:lang w:val="en-GB"/>
        </w:rPr>
        <w:t xml:space="preserve">was </w:t>
      </w:r>
      <w:r w:rsidR="006E3200">
        <w:rPr>
          <w:rFonts w:eastAsia="Calibri"/>
          <w:lang w:val="en-GB"/>
        </w:rPr>
        <w:t>a good step</w:t>
      </w:r>
      <w:r w:rsidR="006E3200" w:rsidRPr="00451503">
        <w:rPr>
          <w:rFonts w:eastAsia="Calibri"/>
          <w:lang w:val="en-GB"/>
        </w:rPr>
        <w:t xml:space="preserve"> </w:t>
      </w:r>
      <w:r w:rsidR="006E3200">
        <w:rPr>
          <w:rFonts w:eastAsia="Calibri"/>
          <w:lang w:val="en-GB"/>
        </w:rPr>
        <w:t>it is necessary</w:t>
      </w:r>
      <w:r w:rsidR="00691A77" w:rsidRPr="00451503">
        <w:rPr>
          <w:rFonts w:eastAsia="Calibri"/>
          <w:lang w:val="en-GB"/>
        </w:rPr>
        <w:t xml:space="preserve"> </w:t>
      </w:r>
      <w:r w:rsidR="00963EBB">
        <w:rPr>
          <w:rFonts w:eastAsia="Calibri"/>
          <w:lang w:val="en-GB"/>
        </w:rPr>
        <w:t xml:space="preserve">to </w:t>
      </w:r>
      <w:r w:rsidR="00691A77" w:rsidRPr="00451503">
        <w:rPr>
          <w:rFonts w:eastAsia="Calibri"/>
          <w:lang w:val="en-GB"/>
        </w:rPr>
        <w:t>build</w:t>
      </w:r>
      <w:r w:rsidR="00963EBB">
        <w:rPr>
          <w:rFonts w:eastAsia="Calibri"/>
          <w:lang w:val="en-GB"/>
        </w:rPr>
        <w:t xml:space="preserve"> the</w:t>
      </w:r>
      <w:r w:rsidR="00691A77" w:rsidRPr="00451503">
        <w:rPr>
          <w:rFonts w:eastAsia="Calibri"/>
          <w:lang w:val="en-GB"/>
        </w:rPr>
        <w:t xml:space="preserve"> capacity of </w:t>
      </w:r>
      <w:r w:rsidR="006E3200">
        <w:rPr>
          <w:rFonts w:eastAsia="Calibri"/>
          <w:lang w:val="en-GB"/>
        </w:rPr>
        <w:t>those working in the</w:t>
      </w:r>
      <w:r w:rsidR="006E3200" w:rsidRPr="00451503">
        <w:rPr>
          <w:rFonts w:eastAsia="Calibri"/>
          <w:lang w:val="en-GB"/>
        </w:rPr>
        <w:t xml:space="preserve"> </w:t>
      </w:r>
      <w:r w:rsidR="00691A77" w:rsidRPr="00451503">
        <w:rPr>
          <w:rFonts w:eastAsia="Calibri"/>
          <w:lang w:val="en-GB"/>
        </w:rPr>
        <w:t xml:space="preserve">justice </w:t>
      </w:r>
      <w:r w:rsidR="006E3200">
        <w:rPr>
          <w:rFonts w:eastAsia="Calibri"/>
          <w:lang w:val="en-GB"/>
        </w:rPr>
        <w:t>sector</w:t>
      </w:r>
      <w:r w:rsidR="00691A77" w:rsidRPr="00451503">
        <w:rPr>
          <w:rFonts w:eastAsia="Calibri"/>
          <w:lang w:val="en-GB"/>
        </w:rPr>
        <w:t xml:space="preserve">. </w:t>
      </w:r>
      <w:r w:rsidR="006E3200">
        <w:rPr>
          <w:rFonts w:eastAsia="Calibri"/>
          <w:lang w:val="en-GB"/>
        </w:rPr>
        <w:t>Up to 64 per cent of</w:t>
      </w:r>
      <w:r w:rsidRPr="00451503">
        <w:rPr>
          <w:rFonts w:eastAsia="Calibri"/>
          <w:lang w:val="en-GB"/>
        </w:rPr>
        <w:t xml:space="preserve"> </w:t>
      </w:r>
      <w:r w:rsidR="006E3200">
        <w:rPr>
          <w:rFonts w:eastAsia="Calibri"/>
          <w:lang w:val="en-GB"/>
        </w:rPr>
        <w:t>citizens believe</w:t>
      </w:r>
      <w:r w:rsidR="006E3200" w:rsidRPr="00451503">
        <w:rPr>
          <w:rFonts w:eastAsia="Calibri"/>
          <w:lang w:val="en-GB"/>
        </w:rPr>
        <w:t xml:space="preserve"> </w:t>
      </w:r>
      <w:r w:rsidRPr="00451503">
        <w:rPr>
          <w:rFonts w:eastAsia="Calibri"/>
          <w:lang w:val="en-GB"/>
        </w:rPr>
        <w:t xml:space="preserve">corruption is widespread </w:t>
      </w:r>
      <w:r w:rsidR="003A6620">
        <w:rPr>
          <w:rFonts w:eastAsia="Calibri"/>
          <w:lang w:val="en-GB"/>
        </w:rPr>
        <w:t>due to the perceived</w:t>
      </w:r>
      <w:r w:rsidR="00B830FD" w:rsidRPr="00451503">
        <w:rPr>
          <w:rFonts w:eastAsia="Calibri"/>
          <w:lang w:val="en-GB"/>
        </w:rPr>
        <w:t xml:space="preserve"> </w:t>
      </w:r>
      <w:r w:rsidRPr="00451503">
        <w:rPr>
          <w:rFonts w:eastAsia="Calibri"/>
          <w:lang w:val="en-GB"/>
        </w:rPr>
        <w:t xml:space="preserve">dependence of the justice </w:t>
      </w:r>
      <w:r w:rsidR="00B830FD" w:rsidRPr="00451503">
        <w:rPr>
          <w:rFonts w:eastAsia="Calibri"/>
          <w:lang w:val="en-GB"/>
        </w:rPr>
        <w:t>sector</w:t>
      </w:r>
      <w:r w:rsidR="006E3200">
        <w:rPr>
          <w:rFonts w:eastAsia="Calibri"/>
          <w:lang w:val="en-GB"/>
        </w:rPr>
        <w:t>.</w:t>
      </w:r>
      <w:r w:rsidRPr="00451503">
        <w:rPr>
          <w:rFonts w:eastAsia="Calibri"/>
          <w:lang w:val="en-GB"/>
        </w:rPr>
        <w:t xml:space="preserve"> </w:t>
      </w:r>
      <w:r w:rsidR="00567AC8" w:rsidRPr="00451503">
        <w:rPr>
          <w:rFonts w:eastAsia="Calibri"/>
          <w:lang w:val="en-GB"/>
        </w:rPr>
        <w:t>According to the</w:t>
      </w:r>
      <w:r w:rsidR="00F96E25" w:rsidRPr="00451503">
        <w:rPr>
          <w:rFonts w:eastAsia="Calibri"/>
          <w:lang w:val="en-GB"/>
        </w:rPr>
        <w:t xml:space="preserve"> </w:t>
      </w:r>
      <w:r w:rsidR="00F96E25" w:rsidRPr="0031127B">
        <w:t>Corruption Perception Index</w:t>
      </w:r>
      <w:r w:rsidR="00C60960" w:rsidRPr="0031127B">
        <w:t>,</w:t>
      </w:r>
      <w:r w:rsidR="00F96E25" w:rsidRPr="0031127B">
        <w:t xml:space="preserve"> Mauritania was ranked 123</w:t>
      </w:r>
      <w:r w:rsidR="006E3200">
        <w:t xml:space="preserve"> in the world</w:t>
      </w:r>
      <w:r w:rsidR="00F96E25" w:rsidRPr="0031127B">
        <w:t xml:space="preserve"> in 2012</w:t>
      </w:r>
      <w:r w:rsidR="00F1299D">
        <w:t>,</w:t>
      </w:r>
      <w:r w:rsidR="00F96E25" w:rsidRPr="0031127B">
        <w:t xml:space="preserve"> </w:t>
      </w:r>
      <w:r w:rsidR="00B97E1B" w:rsidRPr="0031127B">
        <w:t>and</w:t>
      </w:r>
      <w:r w:rsidR="00F1299D">
        <w:t xml:space="preserve"> fell to</w:t>
      </w:r>
      <w:r w:rsidR="00B97E1B" w:rsidRPr="0031127B">
        <w:t xml:space="preserve"> </w:t>
      </w:r>
      <w:r w:rsidR="00F96E25" w:rsidRPr="0031127B">
        <w:t>142 in 2016</w:t>
      </w:r>
      <w:r w:rsidR="00EF7635">
        <w:t>.</w:t>
      </w:r>
      <w:r w:rsidR="00963EBB" w:rsidRPr="00FF491F">
        <w:rPr>
          <w:vertAlign w:val="superscript"/>
        </w:rPr>
        <w:footnoteReference w:id="8"/>
      </w:r>
      <w:r w:rsidR="001A5DE0" w:rsidRPr="0031127B">
        <w:t xml:space="preserve">   </w:t>
      </w:r>
    </w:p>
    <w:p w:rsidR="0031127B" w:rsidRPr="006D4AF4" w:rsidRDefault="0031127B" w:rsidP="006D4AF4">
      <w:pPr>
        <w:tabs>
          <w:tab w:val="left" w:pos="990"/>
        </w:tabs>
        <w:spacing w:after="120"/>
        <w:ind w:left="720" w:right="680"/>
        <w:contextualSpacing/>
        <w:jc w:val="both"/>
        <w:rPr>
          <w:rFonts w:eastAsia="Calibri"/>
          <w:sz w:val="12"/>
          <w:szCs w:val="12"/>
          <w:lang w:val="en-GB"/>
        </w:rPr>
      </w:pPr>
    </w:p>
    <w:p w:rsidR="00963EBB" w:rsidRDefault="0069494F" w:rsidP="006D4AF4">
      <w:pPr>
        <w:numPr>
          <w:ilvl w:val="0"/>
          <w:numId w:val="9"/>
        </w:numPr>
        <w:tabs>
          <w:tab w:val="left" w:pos="990"/>
        </w:tabs>
        <w:spacing w:after="120"/>
        <w:ind w:right="680" w:firstLine="0"/>
        <w:contextualSpacing/>
        <w:jc w:val="both"/>
        <w:rPr>
          <w:rFonts w:eastAsia="Calibri"/>
          <w:lang w:val="en-GB"/>
        </w:rPr>
      </w:pPr>
      <w:r w:rsidRPr="0031127B">
        <w:t xml:space="preserve">The </w:t>
      </w:r>
      <w:r w:rsidR="00F92592">
        <w:t xml:space="preserve">Assessment </w:t>
      </w:r>
      <w:r w:rsidRPr="00451503">
        <w:rPr>
          <w:rFonts w:eastAsia="Calibri"/>
          <w:lang w:val="en-GB"/>
        </w:rPr>
        <w:t xml:space="preserve">of Development Results </w:t>
      </w:r>
      <w:r w:rsidR="00EF7635">
        <w:rPr>
          <w:rFonts w:eastAsia="Calibri"/>
          <w:lang w:val="en-GB"/>
        </w:rPr>
        <w:t xml:space="preserve">2015 </w:t>
      </w:r>
      <w:r w:rsidRPr="00451503">
        <w:rPr>
          <w:rFonts w:eastAsia="Calibri"/>
          <w:lang w:val="en-GB"/>
        </w:rPr>
        <w:t xml:space="preserve">(ADR) and the </w:t>
      </w:r>
      <w:r w:rsidR="00A33746">
        <w:rPr>
          <w:rFonts w:eastAsia="Calibri"/>
          <w:lang w:val="en-GB"/>
        </w:rPr>
        <w:t>United Nations Development Assistance Framework (</w:t>
      </w:r>
      <w:r w:rsidR="0031127B" w:rsidRPr="00451503">
        <w:rPr>
          <w:rFonts w:eastAsia="Calibri"/>
          <w:lang w:val="en-GB"/>
        </w:rPr>
        <w:t>UNDAF</w:t>
      </w:r>
      <w:r w:rsidR="00A33746">
        <w:rPr>
          <w:rFonts w:eastAsia="Calibri"/>
          <w:lang w:val="en-GB"/>
        </w:rPr>
        <w:t>)</w:t>
      </w:r>
      <w:r w:rsidR="0031127B" w:rsidRPr="00451503">
        <w:rPr>
          <w:rFonts w:eastAsia="Calibri"/>
          <w:lang w:val="en-GB"/>
        </w:rPr>
        <w:t xml:space="preserve"> </w:t>
      </w:r>
      <w:r w:rsidRPr="00451503">
        <w:rPr>
          <w:rFonts w:eastAsia="Calibri"/>
          <w:lang w:val="en-GB"/>
        </w:rPr>
        <w:t>mid-term evaluation</w:t>
      </w:r>
      <w:r w:rsidR="00A33746">
        <w:rPr>
          <w:rFonts w:eastAsia="Calibri"/>
          <w:lang w:val="en-GB"/>
        </w:rPr>
        <w:t xml:space="preserve"> for </w:t>
      </w:r>
      <w:r w:rsidRPr="00451503">
        <w:rPr>
          <w:rFonts w:eastAsia="Calibri"/>
          <w:lang w:val="en-GB"/>
        </w:rPr>
        <w:t>2012</w:t>
      </w:r>
      <w:r w:rsidR="00A33746">
        <w:rPr>
          <w:rFonts w:eastAsia="Calibri"/>
          <w:lang w:val="en-GB"/>
        </w:rPr>
        <w:t xml:space="preserve"> to </w:t>
      </w:r>
      <w:r w:rsidRPr="00451503">
        <w:rPr>
          <w:rFonts w:eastAsia="Calibri"/>
          <w:lang w:val="en-GB"/>
        </w:rPr>
        <w:t>2017 highlighted achievements and lessons learned from UNDP interventions</w:t>
      </w:r>
      <w:r w:rsidR="00A33746">
        <w:rPr>
          <w:rFonts w:eastAsia="Calibri"/>
          <w:lang w:val="en-GB"/>
        </w:rPr>
        <w:t xml:space="preserve">, </w:t>
      </w:r>
      <w:r w:rsidR="00987398">
        <w:rPr>
          <w:rFonts w:eastAsia="Calibri"/>
          <w:lang w:val="en-GB"/>
        </w:rPr>
        <w:t xml:space="preserve">plus </w:t>
      </w:r>
      <w:r w:rsidR="00A33746">
        <w:rPr>
          <w:rFonts w:eastAsia="Calibri"/>
          <w:lang w:val="en-GB"/>
        </w:rPr>
        <w:t xml:space="preserve">ways to </w:t>
      </w:r>
      <w:r w:rsidRPr="00451503">
        <w:rPr>
          <w:rFonts w:eastAsia="Calibri"/>
          <w:lang w:val="en-GB"/>
        </w:rPr>
        <w:t>address development challenges</w:t>
      </w:r>
      <w:r w:rsidR="00E75099">
        <w:rPr>
          <w:rFonts w:eastAsia="Calibri"/>
          <w:lang w:val="en-GB"/>
        </w:rPr>
        <w:t xml:space="preserve"> and </w:t>
      </w:r>
      <w:r w:rsidRPr="00451503">
        <w:rPr>
          <w:rFonts w:eastAsia="Calibri"/>
          <w:lang w:val="en-GB"/>
        </w:rPr>
        <w:t>shortcomings</w:t>
      </w:r>
      <w:r w:rsidR="00E75099">
        <w:rPr>
          <w:rFonts w:eastAsia="Calibri"/>
          <w:lang w:val="en-GB"/>
        </w:rPr>
        <w:t xml:space="preserve">. </w:t>
      </w:r>
      <w:r w:rsidR="0016077D" w:rsidRPr="00451503">
        <w:rPr>
          <w:rFonts w:eastAsia="Calibri"/>
          <w:lang w:val="en-GB"/>
        </w:rPr>
        <w:t xml:space="preserve">The capacities and competences of the public administration sector have </w:t>
      </w:r>
      <w:r w:rsidR="00B830FD" w:rsidRPr="00451503">
        <w:rPr>
          <w:rFonts w:eastAsia="Calibri"/>
          <w:lang w:val="en-GB"/>
        </w:rPr>
        <w:t xml:space="preserve">improved </w:t>
      </w:r>
      <w:r w:rsidR="0016077D" w:rsidRPr="00451503">
        <w:rPr>
          <w:rFonts w:eastAsia="Calibri"/>
          <w:lang w:val="en-GB"/>
        </w:rPr>
        <w:t>in policy planning, development</w:t>
      </w:r>
      <w:r w:rsidR="00A33746">
        <w:rPr>
          <w:rFonts w:eastAsia="Calibri"/>
          <w:lang w:val="en-GB"/>
        </w:rPr>
        <w:t>,</w:t>
      </w:r>
      <w:r w:rsidR="0016077D" w:rsidRPr="00451503">
        <w:rPr>
          <w:rFonts w:eastAsia="Calibri"/>
          <w:lang w:val="en-GB"/>
        </w:rPr>
        <w:t xml:space="preserve"> and monitoring as demonstrated by the formulation of the Strategic Framework to Fight Poverty</w:t>
      </w:r>
      <w:r w:rsidR="00A33746">
        <w:rPr>
          <w:rFonts w:eastAsia="Calibri"/>
          <w:lang w:val="en-GB"/>
        </w:rPr>
        <w:t>,</w:t>
      </w:r>
      <w:r w:rsidR="0016077D" w:rsidRPr="00451503">
        <w:rPr>
          <w:rFonts w:eastAsia="Calibri"/>
          <w:lang w:val="en-GB"/>
        </w:rPr>
        <w:t xml:space="preserve"> other sectoral policies and strategies, the development of the country's first social accounting matrix</w:t>
      </w:r>
      <w:r w:rsidR="00A33746">
        <w:rPr>
          <w:rFonts w:eastAsia="Calibri"/>
          <w:lang w:val="en-GB"/>
        </w:rPr>
        <w:t>,</w:t>
      </w:r>
      <w:r w:rsidR="0016077D" w:rsidRPr="00451503">
        <w:rPr>
          <w:rFonts w:eastAsia="Calibri"/>
          <w:lang w:val="en-GB"/>
        </w:rPr>
        <w:t xml:space="preserve"> and the </w:t>
      </w:r>
      <w:r w:rsidR="005B7C43">
        <w:rPr>
          <w:rFonts w:eastAsia="Calibri"/>
          <w:lang w:val="en-GB"/>
        </w:rPr>
        <w:t xml:space="preserve">elaboration of the </w:t>
      </w:r>
      <w:r w:rsidR="008B2E65">
        <w:rPr>
          <w:rFonts w:eastAsia="Calibri"/>
          <w:lang w:val="en-GB"/>
        </w:rPr>
        <w:t>National Human Development Report</w:t>
      </w:r>
      <w:r w:rsidR="0016077D" w:rsidRPr="00451503">
        <w:rPr>
          <w:rFonts w:eastAsia="Calibri"/>
          <w:lang w:val="en-GB"/>
        </w:rPr>
        <w:t xml:space="preserve">. </w:t>
      </w:r>
      <w:r w:rsidRPr="00451503">
        <w:rPr>
          <w:rFonts w:eastAsia="Calibri"/>
          <w:lang w:val="en-GB"/>
        </w:rPr>
        <w:t>The lat</w:t>
      </w:r>
      <w:r w:rsidR="00111F8B" w:rsidRPr="00451503">
        <w:rPr>
          <w:rFonts w:eastAsia="Calibri"/>
          <w:lang w:val="en-GB"/>
        </w:rPr>
        <w:t>ter</w:t>
      </w:r>
      <w:r w:rsidR="00B830FD" w:rsidRPr="00451503">
        <w:rPr>
          <w:rFonts w:eastAsia="Calibri"/>
          <w:lang w:val="en-GB"/>
        </w:rPr>
        <w:t xml:space="preserve"> </w:t>
      </w:r>
      <w:r w:rsidRPr="00451503">
        <w:rPr>
          <w:rFonts w:eastAsia="Calibri"/>
          <w:lang w:val="en-GB"/>
        </w:rPr>
        <w:t>greatly contributed to the national debate on long-term development</w:t>
      </w:r>
      <w:r w:rsidR="00A33746">
        <w:rPr>
          <w:rFonts w:eastAsia="Calibri"/>
          <w:lang w:val="en-GB"/>
        </w:rPr>
        <w:t>,</w:t>
      </w:r>
      <w:r w:rsidRPr="00451503">
        <w:rPr>
          <w:rFonts w:eastAsia="Calibri"/>
          <w:lang w:val="en-GB"/>
        </w:rPr>
        <w:t xml:space="preserve"> and paved the way for the formulation, in 2016, of the </w:t>
      </w:r>
      <w:r w:rsidR="00A33746">
        <w:rPr>
          <w:rFonts w:eastAsia="Calibri"/>
          <w:lang w:val="en-GB"/>
        </w:rPr>
        <w:t>Sustainable Development Goal (</w:t>
      </w:r>
      <w:r w:rsidRPr="00451503">
        <w:rPr>
          <w:rFonts w:eastAsia="Calibri"/>
          <w:lang w:val="en-GB"/>
        </w:rPr>
        <w:t>SDG</w:t>
      </w:r>
      <w:r w:rsidR="00A33746">
        <w:rPr>
          <w:rFonts w:eastAsia="Calibri"/>
          <w:lang w:val="en-GB"/>
        </w:rPr>
        <w:t>)</w:t>
      </w:r>
      <w:r w:rsidRPr="00451503">
        <w:rPr>
          <w:rFonts w:eastAsia="Calibri"/>
          <w:lang w:val="en-GB"/>
        </w:rPr>
        <w:t xml:space="preserve">-aligned </w:t>
      </w:r>
      <w:r w:rsidR="00A33746" w:rsidRPr="00963EBB">
        <w:rPr>
          <w:rFonts w:eastAsia="Calibri"/>
          <w:lang w:val="en-GB"/>
        </w:rPr>
        <w:t>Strategy for Accelerated Growth and Shared Prosperity (SCAPP)</w:t>
      </w:r>
      <w:r w:rsidR="0009645F">
        <w:rPr>
          <w:rFonts w:eastAsia="Calibri"/>
          <w:lang w:val="en-GB"/>
        </w:rPr>
        <w:t>.</w:t>
      </w:r>
      <w:r w:rsidRPr="00451503">
        <w:rPr>
          <w:rFonts w:eastAsia="Calibri"/>
          <w:lang w:val="en-GB"/>
        </w:rPr>
        <w:t xml:space="preserve"> Progress </w:t>
      </w:r>
      <w:r w:rsidR="00A33746">
        <w:rPr>
          <w:rFonts w:eastAsia="Calibri"/>
          <w:lang w:val="en-GB"/>
        </w:rPr>
        <w:t>still needs to be</w:t>
      </w:r>
      <w:r w:rsidRPr="00451503">
        <w:rPr>
          <w:rFonts w:eastAsia="Calibri"/>
          <w:lang w:val="en-GB"/>
        </w:rPr>
        <w:t xml:space="preserve"> made </w:t>
      </w:r>
      <w:r w:rsidR="00B830FD" w:rsidRPr="00451503">
        <w:rPr>
          <w:rFonts w:eastAsia="Calibri"/>
          <w:lang w:val="en-GB"/>
        </w:rPr>
        <w:t>regarding</w:t>
      </w:r>
      <w:r w:rsidRPr="00451503">
        <w:rPr>
          <w:rFonts w:eastAsia="Calibri"/>
          <w:lang w:val="en-GB"/>
        </w:rPr>
        <w:t xml:space="preserve"> policy support </w:t>
      </w:r>
      <w:r w:rsidR="00A03C0C">
        <w:rPr>
          <w:rFonts w:eastAsia="Calibri"/>
          <w:lang w:val="en-GB"/>
        </w:rPr>
        <w:t>to tackle poverty</w:t>
      </w:r>
      <w:r w:rsidR="00B830FD" w:rsidRPr="00451503">
        <w:rPr>
          <w:rFonts w:eastAsia="Calibri"/>
          <w:lang w:val="en-GB"/>
        </w:rPr>
        <w:t xml:space="preserve"> and </w:t>
      </w:r>
      <w:r w:rsidR="005B7C43">
        <w:rPr>
          <w:rFonts w:eastAsia="Calibri"/>
          <w:lang w:val="en-GB"/>
        </w:rPr>
        <w:t>reach</w:t>
      </w:r>
      <w:r w:rsidR="005B7C43" w:rsidRPr="00451503">
        <w:rPr>
          <w:rFonts w:eastAsia="Calibri"/>
          <w:lang w:val="en-GB"/>
        </w:rPr>
        <w:t xml:space="preserve"> </w:t>
      </w:r>
      <w:r w:rsidRPr="00451503">
        <w:rPr>
          <w:rFonts w:eastAsia="Calibri"/>
          <w:lang w:val="en-GB"/>
        </w:rPr>
        <w:t>disadvantaged groups. Furthermore</w:t>
      </w:r>
      <w:r w:rsidR="00B830FD" w:rsidRPr="00451503">
        <w:rPr>
          <w:rFonts w:eastAsia="Calibri"/>
          <w:lang w:val="en-GB"/>
        </w:rPr>
        <w:t>,</w:t>
      </w:r>
      <w:r w:rsidRPr="00451503">
        <w:rPr>
          <w:rFonts w:eastAsia="Calibri"/>
          <w:lang w:val="en-GB"/>
        </w:rPr>
        <w:t xml:space="preserve"> the </w:t>
      </w:r>
      <w:r w:rsidR="004932B9" w:rsidRPr="00451503">
        <w:rPr>
          <w:rFonts w:eastAsia="Calibri"/>
          <w:lang w:val="en-GB"/>
        </w:rPr>
        <w:t xml:space="preserve">ADR </w:t>
      </w:r>
      <w:r w:rsidR="00A4710F" w:rsidRPr="00451503">
        <w:rPr>
          <w:rFonts w:eastAsia="Calibri"/>
          <w:lang w:val="en-GB"/>
        </w:rPr>
        <w:t xml:space="preserve">report </w:t>
      </w:r>
      <w:r w:rsidRPr="00451503">
        <w:rPr>
          <w:rFonts w:eastAsia="Calibri"/>
          <w:lang w:val="en-GB"/>
        </w:rPr>
        <w:t xml:space="preserve">shows </w:t>
      </w:r>
      <w:r w:rsidR="005B7C43">
        <w:rPr>
          <w:rFonts w:eastAsia="Calibri"/>
          <w:lang w:val="en-GB"/>
        </w:rPr>
        <w:t>a</w:t>
      </w:r>
      <w:r w:rsidR="005B7C43" w:rsidRPr="00451503">
        <w:rPr>
          <w:rFonts w:eastAsia="Calibri"/>
          <w:lang w:val="en-GB"/>
        </w:rPr>
        <w:t xml:space="preserve"> </w:t>
      </w:r>
      <w:r w:rsidRPr="00451503">
        <w:rPr>
          <w:rFonts w:eastAsia="Calibri"/>
          <w:lang w:val="en-GB"/>
        </w:rPr>
        <w:t xml:space="preserve">need for qualitative data </w:t>
      </w:r>
      <w:r w:rsidR="002D6E35">
        <w:rPr>
          <w:rFonts w:eastAsia="Calibri"/>
          <w:lang w:val="en-GB"/>
        </w:rPr>
        <w:t>tools</w:t>
      </w:r>
      <w:r w:rsidR="002D6E35" w:rsidRPr="00451503">
        <w:rPr>
          <w:rFonts w:eastAsia="Calibri"/>
          <w:lang w:val="en-GB"/>
        </w:rPr>
        <w:t xml:space="preserve"> </w:t>
      </w:r>
      <w:r w:rsidR="002D6E35">
        <w:rPr>
          <w:rFonts w:eastAsia="Calibri"/>
          <w:lang w:val="en-GB"/>
        </w:rPr>
        <w:t>and</w:t>
      </w:r>
      <w:r w:rsidRPr="00451503">
        <w:rPr>
          <w:rFonts w:eastAsia="Calibri"/>
          <w:lang w:val="en-GB"/>
        </w:rPr>
        <w:t xml:space="preserve"> requirement</w:t>
      </w:r>
      <w:r w:rsidR="002D6E35">
        <w:rPr>
          <w:rFonts w:eastAsia="Calibri"/>
          <w:lang w:val="en-GB"/>
        </w:rPr>
        <w:t>s</w:t>
      </w:r>
      <w:r w:rsidRPr="00451503">
        <w:rPr>
          <w:rFonts w:eastAsia="Calibri"/>
          <w:lang w:val="en-GB"/>
        </w:rPr>
        <w:t xml:space="preserve"> </w:t>
      </w:r>
      <w:r w:rsidR="002D6E35">
        <w:rPr>
          <w:rFonts w:eastAsia="Calibri"/>
          <w:lang w:val="en-GB"/>
        </w:rPr>
        <w:t>that</w:t>
      </w:r>
      <w:r w:rsidR="002D6E35" w:rsidRPr="00451503">
        <w:rPr>
          <w:rFonts w:eastAsia="Calibri"/>
          <w:lang w:val="en-GB"/>
        </w:rPr>
        <w:t xml:space="preserve"> </w:t>
      </w:r>
      <w:r w:rsidR="0016077D" w:rsidRPr="00451503">
        <w:rPr>
          <w:rFonts w:eastAsia="Calibri"/>
          <w:lang w:val="en-GB"/>
        </w:rPr>
        <w:t>strengthen the</w:t>
      </w:r>
      <w:r w:rsidRPr="00451503">
        <w:rPr>
          <w:rFonts w:eastAsia="Calibri"/>
          <w:lang w:val="en-GB"/>
        </w:rPr>
        <w:t xml:space="preserve"> national statistical system.</w:t>
      </w:r>
    </w:p>
    <w:p w:rsidR="00963EBB" w:rsidRPr="006D4AF4" w:rsidRDefault="00963EBB" w:rsidP="006D4AF4">
      <w:pPr>
        <w:tabs>
          <w:tab w:val="left" w:pos="990"/>
        </w:tabs>
        <w:spacing w:after="120"/>
        <w:ind w:left="720" w:right="680"/>
        <w:contextualSpacing/>
        <w:jc w:val="both"/>
        <w:rPr>
          <w:rFonts w:eastAsia="Calibri"/>
          <w:sz w:val="12"/>
          <w:szCs w:val="12"/>
          <w:lang w:val="en-GB"/>
        </w:rPr>
      </w:pPr>
    </w:p>
    <w:p w:rsidR="00784255" w:rsidRPr="00963EBB" w:rsidRDefault="00963EBB" w:rsidP="002B6748">
      <w:pPr>
        <w:numPr>
          <w:ilvl w:val="0"/>
          <w:numId w:val="9"/>
        </w:numPr>
        <w:tabs>
          <w:tab w:val="left" w:pos="990"/>
        </w:tabs>
        <w:ind w:right="680" w:firstLine="0"/>
        <w:contextualSpacing/>
        <w:jc w:val="both"/>
        <w:rPr>
          <w:rFonts w:eastAsia="Calibri"/>
          <w:lang w:val="en-GB"/>
        </w:rPr>
      </w:pPr>
      <w:r w:rsidRPr="00963EBB">
        <w:rPr>
          <w:rFonts w:eastAsia="Calibri"/>
          <w:lang w:val="en-GB"/>
        </w:rPr>
        <w:t>After 15 years of implementing a poverty reduction strategy, Mauritania formulated a new strategic development vision</w:t>
      </w:r>
      <w:r w:rsidR="002D6E35">
        <w:rPr>
          <w:rFonts w:eastAsia="Calibri"/>
          <w:lang w:val="en-GB"/>
        </w:rPr>
        <w:t>:</w:t>
      </w:r>
      <w:r w:rsidRPr="00963EBB">
        <w:rPr>
          <w:rFonts w:eastAsia="Calibri"/>
          <w:lang w:val="en-GB"/>
        </w:rPr>
        <w:t xml:space="preserve"> </w:t>
      </w:r>
      <w:r w:rsidR="002D6E35">
        <w:rPr>
          <w:rFonts w:eastAsia="Calibri"/>
          <w:lang w:val="en-GB"/>
        </w:rPr>
        <w:t>the</w:t>
      </w:r>
      <w:r w:rsidRPr="00963EBB">
        <w:rPr>
          <w:rFonts w:eastAsia="Calibri"/>
          <w:lang w:val="en-GB"/>
        </w:rPr>
        <w:t xml:space="preserve"> </w:t>
      </w:r>
      <w:r w:rsidR="00A33746">
        <w:rPr>
          <w:rFonts w:eastAsia="Calibri"/>
          <w:lang w:val="en-GB"/>
        </w:rPr>
        <w:t xml:space="preserve">SCAPP </w:t>
      </w:r>
      <w:r w:rsidR="002D6E35">
        <w:rPr>
          <w:rFonts w:eastAsia="Calibri"/>
          <w:lang w:val="en-GB"/>
        </w:rPr>
        <w:t xml:space="preserve">for </w:t>
      </w:r>
      <w:r w:rsidRPr="00963EBB">
        <w:rPr>
          <w:rFonts w:eastAsia="Calibri"/>
          <w:lang w:val="en-GB"/>
        </w:rPr>
        <w:t>2016</w:t>
      </w:r>
      <w:r w:rsidR="002D6E35">
        <w:rPr>
          <w:rFonts w:eastAsia="Calibri"/>
          <w:lang w:val="en-GB"/>
        </w:rPr>
        <w:t xml:space="preserve"> to </w:t>
      </w:r>
      <w:r w:rsidRPr="00963EBB">
        <w:rPr>
          <w:rFonts w:eastAsia="Calibri"/>
          <w:lang w:val="en-GB"/>
        </w:rPr>
        <w:t xml:space="preserve">2030. </w:t>
      </w:r>
      <w:r w:rsidR="002D6E35">
        <w:rPr>
          <w:rFonts w:eastAsia="Calibri"/>
          <w:lang w:val="en-GB"/>
        </w:rPr>
        <w:t>This strategy</w:t>
      </w:r>
      <w:r w:rsidRPr="00963EBB">
        <w:rPr>
          <w:rFonts w:eastAsia="Calibri"/>
          <w:lang w:val="en-GB"/>
        </w:rPr>
        <w:t xml:space="preserve"> address</w:t>
      </w:r>
      <w:r w:rsidR="002D6E35">
        <w:rPr>
          <w:rFonts w:eastAsia="Calibri"/>
          <w:lang w:val="en-GB"/>
        </w:rPr>
        <w:t>es</w:t>
      </w:r>
      <w:r w:rsidRPr="00963EBB">
        <w:rPr>
          <w:rFonts w:eastAsia="Calibri"/>
          <w:lang w:val="en-GB"/>
        </w:rPr>
        <w:t xml:space="preserve"> challenges </w:t>
      </w:r>
      <w:r w:rsidR="002D6E35">
        <w:rPr>
          <w:rFonts w:eastAsia="Calibri"/>
          <w:lang w:val="en-GB"/>
        </w:rPr>
        <w:t>in</w:t>
      </w:r>
      <w:r w:rsidRPr="00963EBB">
        <w:rPr>
          <w:rFonts w:eastAsia="Calibri"/>
          <w:lang w:val="en-GB"/>
        </w:rPr>
        <w:t xml:space="preserve"> Mauritania that directly or indirectly contribut</w:t>
      </w:r>
      <w:r w:rsidR="002D6E35">
        <w:rPr>
          <w:rFonts w:eastAsia="Calibri"/>
          <w:lang w:val="en-GB"/>
        </w:rPr>
        <w:t>e</w:t>
      </w:r>
      <w:r w:rsidRPr="00963EBB">
        <w:rPr>
          <w:rFonts w:eastAsia="Calibri"/>
          <w:lang w:val="en-GB"/>
        </w:rPr>
        <w:t xml:space="preserve"> to poverty</w:t>
      </w:r>
      <w:r w:rsidR="002D6E35">
        <w:rPr>
          <w:rFonts w:eastAsia="Calibri"/>
          <w:lang w:val="en-GB"/>
        </w:rPr>
        <w:t>.</w:t>
      </w:r>
      <w:r w:rsidR="00570AE6">
        <w:rPr>
          <w:rFonts w:eastAsia="Calibri"/>
          <w:lang w:val="en-GB"/>
        </w:rPr>
        <w:t xml:space="preserve"> </w:t>
      </w:r>
      <w:r w:rsidR="002D6E35">
        <w:rPr>
          <w:rFonts w:eastAsia="Calibri"/>
          <w:lang w:val="en-GB"/>
        </w:rPr>
        <w:t>I</w:t>
      </w:r>
      <w:r w:rsidR="00570AE6" w:rsidRPr="00570AE6">
        <w:rPr>
          <w:rFonts w:eastAsia="Calibri"/>
          <w:lang w:val="en-GB"/>
        </w:rPr>
        <w:t>t is aligned to the SDG</w:t>
      </w:r>
      <w:r w:rsidR="00CD25E7">
        <w:rPr>
          <w:rFonts w:eastAsia="Calibri"/>
          <w:lang w:val="en-GB"/>
        </w:rPr>
        <w:t>s</w:t>
      </w:r>
      <w:r w:rsidR="00570AE6" w:rsidRPr="00570AE6">
        <w:rPr>
          <w:rFonts w:eastAsia="Calibri"/>
          <w:lang w:val="en-GB"/>
        </w:rPr>
        <w:t xml:space="preserve"> </w:t>
      </w:r>
      <w:r w:rsidR="002D6E35">
        <w:rPr>
          <w:rFonts w:eastAsia="Calibri"/>
          <w:lang w:val="en-GB"/>
        </w:rPr>
        <w:t>and</w:t>
      </w:r>
      <w:r w:rsidR="00570AE6" w:rsidRPr="00570AE6">
        <w:rPr>
          <w:rFonts w:eastAsia="Calibri"/>
          <w:lang w:val="en-GB"/>
        </w:rPr>
        <w:t xml:space="preserve"> integrates 48 SDG targets</w:t>
      </w:r>
      <w:r w:rsidR="002D6E35">
        <w:rPr>
          <w:rFonts w:eastAsia="Calibri"/>
          <w:lang w:val="en-GB"/>
        </w:rPr>
        <w:t xml:space="preserve"> as</w:t>
      </w:r>
      <w:r w:rsidR="00570AE6" w:rsidRPr="00570AE6">
        <w:rPr>
          <w:rFonts w:eastAsia="Calibri"/>
          <w:lang w:val="en-GB"/>
        </w:rPr>
        <w:t xml:space="preserve"> prioritized </w:t>
      </w:r>
      <w:r w:rsidR="002D6E35">
        <w:rPr>
          <w:rFonts w:eastAsia="Calibri"/>
          <w:lang w:val="en-GB"/>
        </w:rPr>
        <w:t xml:space="preserve">by </w:t>
      </w:r>
      <w:r w:rsidR="00A03C0C" w:rsidRPr="00A03C0C">
        <w:rPr>
          <w:rFonts w:eastAsia="Calibri"/>
          <w:lang w:val="en-GB"/>
        </w:rPr>
        <w:t>Mainstreaming, Acceleration and Policy Support</w:t>
      </w:r>
      <w:r w:rsidR="00570AE6" w:rsidRPr="00570AE6">
        <w:rPr>
          <w:rFonts w:eastAsia="Calibri"/>
          <w:lang w:val="en-GB"/>
        </w:rPr>
        <w:t xml:space="preserve"> and R</w:t>
      </w:r>
      <w:r w:rsidR="00A03C0C">
        <w:rPr>
          <w:rFonts w:eastAsia="Calibri"/>
          <w:lang w:val="en-GB"/>
        </w:rPr>
        <w:t xml:space="preserve">apid </w:t>
      </w:r>
      <w:r w:rsidR="00570AE6" w:rsidRPr="00570AE6">
        <w:rPr>
          <w:rFonts w:eastAsia="Calibri"/>
          <w:lang w:val="en-GB"/>
        </w:rPr>
        <w:t>I</w:t>
      </w:r>
      <w:r w:rsidR="00A03C0C">
        <w:rPr>
          <w:rFonts w:eastAsia="Calibri"/>
          <w:lang w:val="en-GB"/>
        </w:rPr>
        <w:t xml:space="preserve">ntegrated </w:t>
      </w:r>
      <w:r w:rsidR="00570AE6" w:rsidRPr="00570AE6">
        <w:rPr>
          <w:rFonts w:eastAsia="Calibri"/>
          <w:lang w:val="en-GB"/>
        </w:rPr>
        <w:t>A</w:t>
      </w:r>
      <w:r w:rsidR="00A03C0C">
        <w:rPr>
          <w:rFonts w:eastAsia="Calibri"/>
          <w:lang w:val="en-GB"/>
        </w:rPr>
        <w:t>ssessments</w:t>
      </w:r>
      <w:r w:rsidR="00570AE6" w:rsidRPr="00570AE6">
        <w:rPr>
          <w:rFonts w:eastAsia="Calibri"/>
          <w:lang w:val="en-GB"/>
        </w:rPr>
        <w:t xml:space="preserve"> tools</w:t>
      </w:r>
      <w:r w:rsidR="00570AE6">
        <w:rPr>
          <w:rFonts w:eastAsia="Calibri"/>
          <w:lang w:val="en-GB"/>
        </w:rPr>
        <w:t>.</w:t>
      </w:r>
      <w:r w:rsidRPr="00963EBB">
        <w:rPr>
          <w:rFonts w:eastAsia="Calibri"/>
          <w:lang w:val="en-GB"/>
        </w:rPr>
        <w:t xml:space="preserve"> The </w:t>
      </w:r>
      <w:r w:rsidR="002D6E35">
        <w:rPr>
          <w:rFonts w:eastAsia="Calibri"/>
          <w:lang w:val="en-GB"/>
        </w:rPr>
        <w:t xml:space="preserve">purpose of using </w:t>
      </w:r>
      <w:r w:rsidRPr="00963EBB">
        <w:rPr>
          <w:rFonts w:eastAsia="Calibri"/>
          <w:lang w:val="en-GB"/>
        </w:rPr>
        <w:t>SCAPP is to build a prosperous</w:t>
      </w:r>
      <w:r w:rsidR="002D6E35">
        <w:rPr>
          <w:rFonts w:eastAsia="Calibri"/>
          <w:lang w:val="en-GB"/>
        </w:rPr>
        <w:t xml:space="preserve">, </w:t>
      </w:r>
      <w:r w:rsidRPr="00963EBB">
        <w:rPr>
          <w:rFonts w:eastAsia="Calibri"/>
          <w:lang w:val="en-GB"/>
        </w:rPr>
        <w:t>strong, inclusive</w:t>
      </w:r>
      <w:r w:rsidR="002D6E35">
        <w:rPr>
          <w:rFonts w:eastAsia="Calibri"/>
          <w:lang w:val="en-GB"/>
        </w:rPr>
        <w:t>,</w:t>
      </w:r>
      <w:r w:rsidRPr="00963EBB">
        <w:rPr>
          <w:rFonts w:eastAsia="Calibri"/>
          <w:lang w:val="en-GB"/>
        </w:rPr>
        <w:t xml:space="preserve"> and</w:t>
      </w:r>
      <w:r w:rsidR="002D6E35">
        <w:rPr>
          <w:rFonts w:eastAsia="Calibri"/>
          <w:lang w:val="en-GB"/>
        </w:rPr>
        <w:t xml:space="preserve"> economically</w:t>
      </w:r>
      <w:r w:rsidRPr="00963EBB">
        <w:rPr>
          <w:rFonts w:eastAsia="Calibri"/>
          <w:lang w:val="en-GB"/>
        </w:rPr>
        <w:t xml:space="preserve"> sustainable </w:t>
      </w:r>
      <w:r w:rsidR="002D6E35">
        <w:rPr>
          <w:rFonts w:eastAsia="Calibri"/>
          <w:lang w:val="en-GB"/>
        </w:rPr>
        <w:t>society</w:t>
      </w:r>
      <w:r w:rsidRPr="00963EBB">
        <w:rPr>
          <w:rFonts w:eastAsia="Calibri"/>
          <w:lang w:val="en-GB"/>
        </w:rPr>
        <w:t xml:space="preserve"> </w:t>
      </w:r>
      <w:r w:rsidR="002D6E35">
        <w:rPr>
          <w:rFonts w:eastAsia="Calibri"/>
          <w:lang w:val="en-GB"/>
        </w:rPr>
        <w:t>that</w:t>
      </w:r>
      <w:r w:rsidR="002D6E35" w:rsidRPr="00963EBB">
        <w:rPr>
          <w:rFonts w:eastAsia="Calibri"/>
          <w:lang w:val="en-GB"/>
        </w:rPr>
        <w:t xml:space="preserve"> </w:t>
      </w:r>
      <w:r w:rsidRPr="00963EBB">
        <w:rPr>
          <w:rFonts w:eastAsia="Calibri"/>
          <w:lang w:val="en-GB"/>
        </w:rPr>
        <w:t>meet</w:t>
      </w:r>
      <w:r w:rsidR="002D6E35">
        <w:rPr>
          <w:rFonts w:eastAsia="Calibri"/>
          <w:lang w:val="en-GB"/>
        </w:rPr>
        <w:t>s</w:t>
      </w:r>
      <w:r w:rsidRPr="00963EBB">
        <w:rPr>
          <w:rFonts w:eastAsia="Calibri"/>
          <w:lang w:val="en-GB"/>
        </w:rPr>
        <w:t xml:space="preserve"> the basic needs of all citizens</w:t>
      </w:r>
      <w:r w:rsidR="00516FC6">
        <w:rPr>
          <w:rFonts w:eastAsia="Calibri"/>
          <w:lang w:val="en-GB"/>
        </w:rPr>
        <w:t>.</w:t>
      </w:r>
      <w:r w:rsidRPr="00963EBB">
        <w:rPr>
          <w:rFonts w:eastAsia="Calibri"/>
          <w:lang w:val="en-GB"/>
        </w:rPr>
        <w:t xml:space="preserve"> </w:t>
      </w:r>
      <w:r w:rsidR="00516FC6">
        <w:rPr>
          <w:rFonts w:eastAsia="Calibri"/>
          <w:lang w:val="en-GB"/>
        </w:rPr>
        <w:t xml:space="preserve">Long-term goals include </w:t>
      </w:r>
      <w:r w:rsidR="002D6E35">
        <w:rPr>
          <w:rFonts w:eastAsia="Calibri"/>
          <w:lang w:val="en-GB"/>
        </w:rPr>
        <w:t>provid</w:t>
      </w:r>
      <w:r w:rsidR="00516FC6">
        <w:rPr>
          <w:rFonts w:eastAsia="Calibri"/>
          <w:lang w:val="en-GB"/>
        </w:rPr>
        <w:t>ing</w:t>
      </w:r>
      <w:r w:rsidR="002D6E35">
        <w:rPr>
          <w:rFonts w:eastAsia="Calibri"/>
          <w:lang w:val="en-GB"/>
        </w:rPr>
        <w:t xml:space="preserve"> them with</w:t>
      </w:r>
      <w:r w:rsidR="002D6E35" w:rsidRPr="00963EBB">
        <w:rPr>
          <w:rFonts w:eastAsia="Calibri"/>
          <w:lang w:val="en-GB"/>
        </w:rPr>
        <w:t xml:space="preserve"> </w:t>
      </w:r>
      <w:r w:rsidRPr="00963EBB">
        <w:rPr>
          <w:rFonts w:eastAsia="Calibri"/>
          <w:lang w:val="en-GB"/>
        </w:rPr>
        <w:t xml:space="preserve">access to </w:t>
      </w:r>
      <w:r w:rsidR="002D6E35">
        <w:rPr>
          <w:rFonts w:eastAsia="Calibri"/>
          <w:lang w:val="en-GB"/>
        </w:rPr>
        <w:t xml:space="preserve">services that positively </w:t>
      </w:r>
      <w:r w:rsidR="00F3336D">
        <w:rPr>
          <w:rFonts w:eastAsia="Calibri"/>
          <w:lang w:val="en-GB"/>
        </w:rPr>
        <w:t>affect</w:t>
      </w:r>
      <w:r w:rsidR="002D6E35">
        <w:rPr>
          <w:rFonts w:eastAsia="Calibri"/>
          <w:lang w:val="en-GB"/>
        </w:rPr>
        <w:t xml:space="preserve"> their </w:t>
      </w:r>
      <w:r w:rsidRPr="00963EBB">
        <w:rPr>
          <w:rFonts w:eastAsia="Calibri"/>
          <w:lang w:val="en-GB"/>
        </w:rPr>
        <w:t>well-being</w:t>
      </w:r>
      <w:r w:rsidR="002D6E35">
        <w:rPr>
          <w:rFonts w:eastAsia="Calibri"/>
          <w:lang w:val="en-GB"/>
        </w:rPr>
        <w:t>, and improve</w:t>
      </w:r>
      <w:r w:rsidRPr="00963EBB">
        <w:rPr>
          <w:rFonts w:eastAsia="Calibri"/>
          <w:lang w:val="en-GB"/>
        </w:rPr>
        <w:t xml:space="preserve"> social cohesion and justice</w:t>
      </w:r>
      <w:r w:rsidR="002D6E35">
        <w:rPr>
          <w:rFonts w:eastAsia="Calibri"/>
          <w:lang w:val="en-GB"/>
        </w:rPr>
        <w:t xml:space="preserve"> throughout the country</w:t>
      </w:r>
      <w:r w:rsidRPr="00963EBB">
        <w:rPr>
          <w:rFonts w:eastAsia="Calibri"/>
          <w:lang w:val="en-GB"/>
        </w:rPr>
        <w:t xml:space="preserve">. The </w:t>
      </w:r>
      <w:r w:rsidR="00476381">
        <w:rPr>
          <w:rFonts w:eastAsia="Calibri"/>
          <w:lang w:val="en-GB"/>
        </w:rPr>
        <w:t>Government</w:t>
      </w:r>
      <w:r w:rsidR="002D6E35">
        <w:rPr>
          <w:rFonts w:eastAsia="Calibri"/>
          <w:lang w:val="en-GB"/>
        </w:rPr>
        <w:t xml:space="preserve"> of Mauritania</w:t>
      </w:r>
      <w:r w:rsidR="00476381">
        <w:rPr>
          <w:rFonts w:eastAsia="Calibri"/>
          <w:lang w:val="en-GB"/>
        </w:rPr>
        <w:t xml:space="preserve"> plans to achieve these </w:t>
      </w:r>
      <w:r w:rsidRPr="00963EBB">
        <w:rPr>
          <w:rFonts w:eastAsia="Calibri"/>
          <w:lang w:val="en-GB"/>
        </w:rPr>
        <w:t>objectives</w:t>
      </w:r>
      <w:r w:rsidR="002D6E35">
        <w:rPr>
          <w:rFonts w:eastAsia="Calibri"/>
          <w:lang w:val="en-GB"/>
        </w:rPr>
        <w:t xml:space="preserve"> by</w:t>
      </w:r>
      <w:r w:rsidRPr="00963EBB">
        <w:rPr>
          <w:rFonts w:eastAsia="Calibri"/>
          <w:lang w:val="en-GB"/>
        </w:rPr>
        <w:t xml:space="preserve">: (i) </w:t>
      </w:r>
      <w:r w:rsidR="002D6E35">
        <w:rPr>
          <w:rFonts w:eastAsia="Calibri"/>
          <w:lang w:val="en-GB"/>
        </w:rPr>
        <w:t>facilitating</w:t>
      </w:r>
      <w:r w:rsidRPr="00963EBB">
        <w:rPr>
          <w:rFonts w:eastAsia="Calibri"/>
          <w:lang w:val="en-GB"/>
        </w:rPr>
        <w:t xml:space="preserve"> political dialogue; (ii) reform</w:t>
      </w:r>
      <w:r w:rsidR="002D6E35">
        <w:rPr>
          <w:rFonts w:eastAsia="Calibri"/>
          <w:lang w:val="en-GB"/>
        </w:rPr>
        <w:t>ing</w:t>
      </w:r>
      <w:r w:rsidRPr="00963EBB">
        <w:rPr>
          <w:rFonts w:eastAsia="Calibri"/>
          <w:lang w:val="en-GB"/>
        </w:rPr>
        <w:t xml:space="preserve"> the business climate; (iii) promoti</w:t>
      </w:r>
      <w:r w:rsidR="002D6E35">
        <w:rPr>
          <w:rFonts w:eastAsia="Calibri"/>
          <w:lang w:val="en-GB"/>
        </w:rPr>
        <w:t>ng</w:t>
      </w:r>
      <w:r w:rsidRPr="00963EBB">
        <w:rPr>
          <w:rFonts w:eastAsia="Calibri"/>
          <w:lang w:val="en-GB"/>
        </w:rPr>
        <w:t xml:space="preserve"> driving sectors of the economy</w:t>
      </w:r>
      <w:r w:rsidR="002D6E35">
        <w:rPr>
          <w:rFonts w:eastAsia="Calibri"/>
          <w:lang w:val="en-GB"/>
        </w:rPr>
        <w:t>,</w:t>
      </w:r>
      <w:r w:rsidRPr="00963EBB">
        <w:rPr>
          <w:rFonts w:eastAsia="Calibri"/>
          <w:lang w:val="en-GB"/>
        </w:rPr>
        <w:t xml:space="preserve"> and (iv) develop</w:t>
      </w:r>
      <w:r w:rsidR="002D6E35">
        <w:rPr>
          <w:rFonts w:eastAsia="Calibri"/>
          <w:lang w:val="en-GB"/>
        </w:rPr>
        <w:t>ing</w:t>
      </w:r>
      <w:r w:rsidRPr="00963EBB">
        <w:rPr>
          <w:rFonts w:eastAsia="Calibri"/>
          <w:lang w:val="en-GB"/>
        </w:rPr>
        <w:t xml:space="preserve"> a social programme based on quality of education and health services.</w:t>
      </w:r>
      <w:r w:rsidR="00476381">
        <w:rPr>
          <w:rFonts w:eastAsia="Calibri"/>
          <w:lang w:val="en-GB"/>
        </w:rPr>
        <w:t xml:space="preserve"> UNDP will provid</w:t>
      </w:r>
      <w:r w:rsidR="002D6E35">
        <w:rPr>
          <w:rFonts w:eastAsia="Calibri"/>
          <w:lang w:val="en-GB"/>
        </w:rPr>
        <w:t>e support in</w:t>
      </w:r>
      <w:r w:rsidR="00476381">
        <w:rPr>
          <w:rFonts w:eastAsia="Calibri"/>
          <w:lang w:val="en-GB"/>
        </w:rPr>
        <w:t xml:space="preserve"> </w:t>
      </w:r>
      <w:r w:rsidR="00CD25E7">
        <w:rPr>
          <w:rFonts w:eastAsia="Calibri"/>
          <w:lang w:val="en-GB"/>
        </w:rPr>
        <w:t xml:space="preserve">areas where it has a comparative advantage, such as </w:t>
      </w:r>
      <w:r w:rsidR="00476381">
        <w:rPr>
          <w:rFonts w:eastAsia="Calibri"/>
          <w:lang w:val="en-GB"/>
        </w:rPr>
        <w:t>inclusive and sustainable growth, good governance</w:t>
      </w:r>
      <w:r w:rsidR="002D6E35">
        <w:rPr>
          <w:rFonts w:eastAsia="Calibri"/>
          <w:lang w:val="en-GB"/>
        </w:rPr>
        <w:t xml:space="preserve"> (</w:t>
      </w:r>
      <w:r w:rsidR="00476381">
        <w:rPr>
          <w:rFonts w:eastAsia="Calibri"/>
          <w:lang w:val="en-GB"/>
        </w:rPr>
        <w:t xml:space="preserve">mainly in the areas of justice, </w:t>
      </w:r>
      <w:r w:rsidR="002D6E35">
        <w:rPr>
          <w:rFonts w:eastAsia="Calibri"/>
          <w:lang w:val="en-GB"/>
        </w:rPr>
        <w:t>anti-</w:t>
      </w:r>
      <w:r w:rsidR="00476381">
        <w:rPr>
          <w:rFonts w:eastAsia="Calibri"/>
          <w:lang w:val="en-GB"/>
        </w:rPr>
        <w:t>corruption and parliamentary control</w:t>
      </w:r>
      <w:r w:rsidR="002D6E35">
        <w:rPr>
          <w:rFonts w:eastAsia="Calibri"/>
          <w:lang w:val="en-GB"/>
        </w:rPr>
        <w:t>),</w:t>
      </w:r>
      <w:r w:rsidR="00476381">
        <w:rPr>
          <w:rFonts w:eastAsia="Calibri"/>
          <w:lang w:val="en-GB"/>
        </w:rPr>
        <w:t xml:space="preserve"> and </w:t>
      </w:r>
      <w:r w:rsidR="002D6E35">
        <w:rPr>
          <w:rFonts w:eastAsia="Calibri"/>
          <w:lang w:val="en-GB"/>
        </w:rPr>
        <w:t xml:space="preserve">improved </w:t>
      </w:r>
      <w:r w:rsidR="00476381">
        <w:rPr>
          <w:rFonts w:eastAsia="Calibri"/>
          <w:lang w:val="en-GB"/>
        </w:rPr>
        <w:t>management of natural resources.</w:t>
      </w:r>
      <w:r w:rsidRPr="00963EBB">
        <w:rPr>
          <w:rFonts w:eastAsia="Calibri"/>
          <w:lang w:val="en-GB"/>
        </w:rPr>
        <w:t xml:space="preserve"> </w:t>
      </w:r>
      <w:r w:rsidR="00784255" w:rsidRPr="00963EBB">
        <w:rPr>
          <w:rFonts w:eastAsia="Calibri"/>
          <w:lang w:val="en-GB"/>
        </w:rPr>
        <w:t xml:space="preserve"> </w:t>
      </w:r>
    </w:p>
    <w:p w:rsidR="0054239F" w:rsidRPr="00EB4E5C" w:rsidRDefault="0054239F" w:rsidP="006D4AF4">
      <w:pPr>
        <w:ind w:left="360" w:right="680"/>
        <w:jc w:val="both"/>
        <w:rPr>
          <w:rFonts w:eastAsia="Calibri"/>
          <w:lang w:val="en-GB"/>
        </w:rPr>
      </w:pPr>
    </w:p>
    <w:p w:rsidR="0054239F" w:rsidRPr="00D71B13" w:rsidRDefault="0054239F" w:rsidP="006D4AF4">
      <w:pPr>
        <w:pStyle w:val="Heading2"/>
        <w:keepNext w:val="0"/>
        <w:widowControl w:val="0"/>
        <w:numPr>
          <w:ilvl w:val="0"/>
          <w:numId w:val="2"/>
        </w:numPr>
        <w:tabs>
          <w:tab w:val="left" w:pos="720"/>
        </w:tabs>
        <w:spacing w:after="120"/>
        <w:ind w:left="0" w:right="680" w:firstLine="180"/>
        <w:jc w:val="both"/>
        <w:rPr>
          <w:rFonts w:ascii="Times New Roman" w:hAnsi="Times New Roman"/>
          <w:bCs/>
          <w:szCs w:val="24"/>
          <w:lang w:val="en-GB"/>
        </w:rPr>
      </w:pPr>
      <w:bookmarkStart w:id="1" w:name="_Toc479680377"/>
      <w:r w:rsidRPr="00D71B13">
        <w:rPr>
          <w:rFonts w:ascii="Times New Roman" w:hAnsi="Times New Roman"/>
          <w:bCs/>
          <w:szCs w:val="24"/>
          <w:lang w:val="en-GB"/>
        </w:rPr>
        <w:t xml:space="preserve">Programme priorities and partnerships </w:t>
      </w:r>
      <w:bookmarkEnd w:id="1"/>
    </w:p>
    <w:p w:rsidR="00582D66" w:rsidRDefault="00516FC6" w:rsidP="002B6748">
      <w:pPr>
        <w:pStyle w:val="ListParagraph"/>
        <w:widowControl w:val="0"/>
        <w:numPr>
          <w:ilvl w:val="0"/>
          <w:numId w:val="9"/>
        </w:numPr>
        <w:shd w:val="clear" w:color="auto" w:fill="FFFFFF"/>
        <w:tabs>
          <w:tab w:val="left" w:pos="1080"/>
        </w:tabs>
        <w:adjustRightInd w:val="0"/>
        <w:spacing w:after="120"/>
        <w:ind w:right="720" w:firstLine="0"/>
        <w:jc w:val="both"/>
        <w:textAlignment w:val="baseline"/>
        <w:rPr>
          <w:rFonts w:eastAsiaTheme="minorEastAsia"/>
          <w:lang w:val="en-ZW" w:eastAsia="en-ZA"/>
        </w:rPr>
      </w:pPr>
      <w:r>
        <w:rPr>
          <w:rFonts w:eastAsiaTheme="minorEastAsia"/>
          <w:lang w:val="en-ZW" w:eastAsia="en-ZA"/>
        </w:rPr>
        <w:t>T</w:t>
      </w:r>
      <w:r w:rsidR="007D4D2D" w:rsidRPr="00F92592">
        <w:rPr>
          <w:rFonts w:eastAsiaTheme="minorEastAsia"/>
          <w:lang w:val="en-ZW" w:eastAsia="en-ZA"/>
        </w:rPr>
        <w:t>he objective</w:t>
      </w:r>
      <w:r w:rsidR="00A727B0" w:rsidRPr="00F92592">
        <w:rPr>
          <w:rFonts w:eastAsiaTheme="minorEastAsia"/>
          <w:lang w:val="en-ZW" w:eastAsia="en-ZA"/>
        </w:rPr>
        <w:t>s</w:t>
      </w:r>
      <w:r w:rsidR="007D4D2D" w:rsidRPr="00F92592">
        <w:rPr>
          <w:rFonts w:eastAsiaTheme="minorEastAsia"/>
          <w:lang w:val="en-ZW" w:eastAsia="en-ZA"/>
        </w:rPr>
        <w:t xml:space="preserve"> of </w:t>
      </w:r>
      <w:r w:rsidR="002D6E35" w:rsidRPr="00F92592">
        <w:rPr>
          <w:rFonts w:eastAsiaTheme="minorEastAsia"/>
          <w:lang w:val="en-ZW" w:eastAsia="en-ZA"/>
        </w:rPr>
        <w:t xml:space="preserve">the </w:t>
      </w:r>
      <w:r w:rsidR="009E5794" w:rsidRPr="00F92592">
        <w:rPr>
          <w:rFonts w:eastAsiaTheme="minorEastAsia"/>
          <w:lang w:val="en-ZW" w:eastAsia="en-ZA"/>
        </w:rPr>
        <w:t>Mauritania</w:t>
      </w:r>
      <w:r w:rsidR="002D6E35" w:rsidRPr="00F92592">
        <w:rPr>
          <w:rFonts w:eastAsiaTheme="minorEastAsia"/>
          <w:lang w:val="en-ZW" w:eastAsia="en-ZA"/>
        </w:rPr>
        <w:t xml:space="preserve"> </w:t>
      </w:r>
      <w:r w:rsidR="007D4D2D" w:rsidRPr="00F92592">
        <w:rPr>
          <w:rFonts w:eastAsiaTheme="minorEastAsia"/>
          <w:lang w:val="en-ZW" w:eastAsia="en-ZA"/>
        </w:rPr>
        <w:t xml:space="preserve">country programme </w:t>
      </w:r>
      <w:r w:rsidR="00A727B0" w:rsidRPr="00F92592">
        <w:rPr>
          <w:rFonts w:eastAsiaTheme="minorEastAsia"/>
          <w:lang w:val="en-ZW" w:eastAsia="en-ZA"/>
        </w:rPr>
        <w:t xml:space="preserve">are </w:t>
      </w:r>
      <w:r w:rsidR="007D4D2D" w:rsidRPr="00F92592">
        <w:rPr>
          <w:rFonts w:eastAsiaTheme="minorEastAsia"/>
          <w:lang w:val="en-ZW" w:eastAsia="en-ZA"/>
        </w:rPr>
        <w:t xml:space="preserve">to </w:t>
      </w:r>
      <w:r>
        <w:rPr>
          <w:rFonts w:eastAsiaTheme="minorEastAsia"/>
          <w:lang w:val="en-ZW" w:eastAsia="en-ZA"/>
        </w:rPr>
        <w:t xml:space="preserve">support </w:t>
      </w:r>
      <w:r w:rsidRPr="00F92592">
        <w:rPr>
          <w:rFonts w:eastAsiaTheme="minorEastAsia"/>
          <w:lang w:val="en-ZW" w:eastAsia="en-ZA"/>
        </w:rPr>
        <w:t>the long-term development strategy</w:t>
      </w:r>
      <w:r>
        <w:rPr>
          <w:rFonts w:eastAsiaTheme="minorEastAsia"/>
          <w:lang w:val="en-ZW" w:eastAsia="en-ZA"/>
        </w:rPr>
        <w:t>,</w:t>
      </w:r>
      <w:r w:rsidRPr="00F92592">
        <w:rPr>
          <w:rFonts w:eastAsiaTheme="minorEastAsia"/>
          <w:lang w:val="en-ZW" w:eastAsia="en-ZA"/>
        </w:rPr>
        <w:t xml:space="preserve"> </w:t>
      </w:r>
      <w:r w:rsidR="007D4D2D" w:rsidRPr="00F92592">
        <w:rPr>
          <w:rFonts w:eastAsiaTheme="minorEastAsia"/>
          <w:lang w:val="en-ZW" w:eastAsia="en-ZA"/>
        </w:rPr>
        <w:t xml:space="preserve">promote </w:t>
      </w:r>
      <w:r w:rsidR="002D6E35" w:rsidRPr="00F92592">
        <w:rPr>
          <w:rFonts w:eastAsiaTheme="minorEastAsia"/>
          <w:lang w:val="en-ZW" w:eastAsia="en-ZA"/>
        </w:rPr>
        <w:t xml:space="preserve">an </w:t>
      </w:r>
      <w:r w:rsidR="007D4D2D" w:rsidRPr="00F92592">
        <w:rPr>
          <w:rFonts w:eastAsiaTheme="minorEastAsia"/>
          <w:lang w:val="en-ZW" w:eastAsia="en-ZA"/>
        </w:rPr>
        <w:t>inclusive economy and society</w:t>
      </w:r>
      <w:r w:rsidR="00A727B0" w:rsidRPr="00F92592">
        <w:rPr>
          <w:rFonts w:eastAsiaTheme="minorEastAsia"/>
          <w:lang w:val="en-ZW" w:eastAsia="en-ZA"/>
        </w:rPr>
        <w:t xml:space="preserve"> (including </w:t>
      </w:r>
      <w:r w:rsidR="007D4D2D" w:rsidRPr="00F92592">
        <w:rPr>
          <w:rFonts w:eastAsiaTheme="minorEastAsia"/>
          <w:lang w:val="en-ZW" w:eastAsia="en-ZA"/>
        </w:rPr>
        <w:t>shared and sustainable economic growth</w:t>
      </w:r>
      <w:r w:rsidR="00A727B0" w:rsidRPr="00F92592">
        <w:rPr>
          <w:rFonts w:eastAsiaTheme="minorEastAsia"/>
          <w:lang w:val="en-ZW" w:eastAsia="en-ZA"/>
        </w:rPr>
        <w:t>)</w:t>
      </w:r>
      <w:r w:rsidR="007D4D2D" w:rsidRPr="00F92592">
        <w:rPr>
          <w:rFonts w:eastAsiaTheme="minorEastAsia"/>
          <w:lang w:val="en-ZW" w:eastAsia="en-ZA"/>
        </w:rPr>
        <w:t xml:space="preserve">, </w:t>
      </w:r>
      <w:r w:rsidR="00A727B0" w:rsidRPr="00F92592">
        <w:rPr>
          <w:rFonts w:eastAsiaTheme="minorEastAsia"/>
          <w:lang w:val="en-ZW" w:eastAsia="en-ZA"/>
        </w:rPr>
        <w:t xml:space="preserve">and </w:t>
      </w:r>
      <w:r w:rsidR="007D4D2D" w:rsidRPr="00F92592">
        <w:rPr>
          <w:rFonts w:eastAsiaTheme="minorEastAsia"/>
          <w:lang w:val="en-ZW" w:eastAsia="en-ZA"/>
        </w:rPr>
        <w:t>break</w:t>
      </w:r>
      <w:r>
        <w:rPr>
          <w:rFonts w:eastAsiaTheme="minorEastAsia"/>
          <w:lang w:val="en-ZW" w:eastAsia="en-ZA"/>
        </w:rPr>
        <w:t xml:space="preserve"> </w:t>
      </w:r>
      <w:r w:rsidR="007D4D2D" w:rsidRPr="00F92592">
        <w:rPr>
          <w:rFonts w:eastAsiaTheme="minorEastAsia"/>
          <w:lang w:val="en-ZW" w:eastAsia="en-ZA"/>
        </w:rPr>
        <w:t>cycle</w:t>
      </w:r>
      <w:r w:rsidR="00A727B0" w:rsidRPr="00F92592">
        <w:rPr>
          <w:rFonts w:eastAsiaTheme="minorEastAsia"/>
          <w:lang w:val="en-ZW" w:eastAsia="en-ZA"/>
        </w:rPr>
        <w:t>s</w:t>
      </w:r>
      <w:r w:rsidR="007D4D2D" w:rsidRPr="00F92592">
        <w:rPr>
          <w:rFonts w:eastAsiaTheme="minorEastAsia"/>
          <w:lang w:val="en-ZW" w:eastAsia="en-ZA"/>
        </w:rPr>
        <w:t xml:space="preserve"> of inequality and </w:t>
      </w:r>
      <w:r w:rsidR="00582D66" w:rsidRPr="00F92592">
        <w:rPr>
          <w:rFonts w:eastAsiaTheme="minorEastAsia"/>
          <w:lang w:val="en-ZW" w:eastAsia="en-ZA"/>
        </w:rPr>
        <w:t>poverty</w:t>
      </w:r>
      <w:r w:rsidR="00A727B0" w:rsidRPr="00F92592">
        <w:rPr>
          <w:rFonts w:eastAsiaTheme="minorEastAsia"/>
          <w:lang w:val="en-ZW" w:eastAsia="en-ZA"/>
        </w:rPr>
        <w:t>,</w:t>
      </w:r>
      <w:r w:rsidR="007D4D2D" w:rsidRPr="00F92592">
        <w:rPr>
          <w:rFonts w:eastAsiaTheme="minorEastAsia"/>
          <w:lang w:val="en-ZW" w:eastAsia="en-ZA"/>
        </w:rPr>
        <w:t xml:space="preserve"> especially in rural areas where population</w:t>
      </w:r>
      <w:r w:rsidR="00A727B0" w:rsidRPr="00F92592">
        <w:rPr>
          <w:rFonts w:eastAsiaTheme="minorEastAsia"/>
          <w:lang w:val="en-ZW" w:eastAsia="en-ZA"/>
        </w:rPr>
        <w:t>s</w:t>
      </w:r>
      <w:r w:rsidR="007D4D2D" w:rsidRPr="00F92592">
        <w:rPr>
          <w:rFonts w:eastAsiaTheme="minorEastAsia"/>
          <w:lang w:val="en-ZW" w:eastAsia="en-ZA"/>
        </w:rPr>
        <w:t xml:space="preserve"> </w:t>
      </w:r>
      <w:r w:rsidR="00A727B0" w:rsidRPr="00F92592">
        <w:rPr>
          <w:rFonts w:eastAsiaTheme="minorEastAsia"/>
          <w:lang w:val="en-ZW" w:eastAsia="en-ZA"/>
        </w:rPr>
        <w:t xml:space="preserve">are </w:t>
      </w:r>
      <w:r w:rsidR="007D4D2D" w:rsidRPr="00F92592">
        <w:rPr>
          <w:rFonts w:eastAsiaTheme="minorEastAsia"/>
          <w:lang w:val="en-ZW" w:eastAsia="en-ZA"/>
        </w:rPr>
        <w:t xml:space="preserve">most vulnerable. </w:t>
      </w:r>
      <w:r w:rsidR="00582D66" w:rsidRPr="00F92592">
        <w:rPr>
          <w:rFonts w:eastAsiaTheme="minorEastAsia"/>
          <w:lang w:val="en-ZW" w:eastAsia="en-ZA"/>
        </w:rPr>
        <w:t xml:space="preserve">The development pathways that </w:t>
      </w:r>
      <w:r w:rsidR="00A727B0" w:rsidRPr="00F92592">
        <w:rPr>
          <w:rFonts w:eastAsiaTheme="minorEastAsia"/>
          <w:lang w:val="en-ZW" w:eastAsia="en-ZA"/>
        </w:rPr>
        <w:t>will help stakeholders achieve this</w:t>
      </w:r>
      <w:r w:rsidR="00582D66" w:rsidRPr="00F92592">
        <w:rPr>
          <w:rFonts w:eastAsiaTheme="minorEastAsia"/>
          <w:lang w:val="en-ZW" w:eastAsia="en-ZA"/>
        </w:rPr>
        <w:t xml:space="preserve"> objective include inclusive growth policies (</w:t>
      </w:r>
      <w:r>
        <w:rPr>
          <w:rFonts w:eastAsiaTheme="minorEastAsia"/>
          <w:lang w:val="en-ZW" w:eastAsia="en-ZA"/>
        </w:rPr>
        <w:t>medium</w:t>
      </w:r>
      <w:r w:rsidR="00582D66" w:rsidRPr="00F92592">
        <w:rPr>
          <w:rFonts w:eastAsiaTheme="minorEastAsia"/>
          <w:lang w:val="en-ZW" w:eastAsia="en-ZA"/>
        </w:rPr>
        <w:t xml:space="preserve"> to long-term) </w:t>
      </w:r>
      <w:r w:rsidR="00A727B0" w:rsidRPr="00F92592">
        <w:rPr>
          <w:rFonts w:eastAsiaTheme="minorEastAsia"/>
          <w:lang w:val="en-ZW" w:eastAsia="en-ZA"/>
        </w:rPr>
        <w:t>and</w:t>
      </w:r>
      <w:r w:rsidR="00582D66" w:rsidRPr="00F92592">
        <w:rPr>
          <w:rFonts w:eastAsiaTheme="minorEastAsia"/>
          <w:lang w:val="en-ZW" w:eastAsia="en-ZA"/>
        </w:rPr>
        <w:t xml:space="preserve"> simultaneous investments in livelihood</w:t>
      </w:r>
      <w:r w:rsidR="00A727B0" w:rsidRPr="00F92592">
        <w:rPr>
          <w:rFonts w:eastAsiaTheme="minorEastAsia"/>
          <w:lang w:val="en-ZW" w:eastAsia="en-ZA"/>
        </w:rPr>
        <w:t xml:space="preserve"> programmes</w:t>
      </w:r>
      <w:r w:rsidR="00582D66" w:rsidRPr="00F92592">
        <w:rPr>
          <w:rFonts w:eastAsiaTheme="minorEastAsia"/>
          <w:lang w:val="en-ZW" w:eastAsia="en-ZA"/>
        </w:rPr>
        <w:t xml:space="preserve"> for at-risk populations, especially in the</w:t>
      </w:r>
      <w:r w:rsidR="00A727B0" w:rsidRPr="00F92592">
        <w:rPr>
          <w:rFonts w:eastAsiaTheme="minorEastAsia"/>
          <w:lang w:val="en-ZW" w:eastAsia="en-ZA"/>
        </w:rPr>
        <w:t xml:space="preserve"> south and </w:t>
      </w:r>
      <w:r w:rsidR="009E5794" w:rsidRPr="00F92592">
        <w:rPr>
          <w:rFonts w:eastAsiaTheme="minorEastAsia"/>
          <w:lang w:val="en-ZW" w:eastAsia="en-ZA"/>
        </w:rPr>
        <w:t>south-eastern</w:t>
      </w:r>
      <w:r w:rsidR="00A727B0" w:rsidRPr="00F92592">
        <w:rPr>
          <w:rFonts w:eastAsiaTheme="minorEastAsia"/>
          <w:lang w:val="en-ZW" w:eastAsia="en-ZA"/>
        </w:rPr>
        <w:t xml:space="preserve"> parts</w:t>
      </w:r>
      <w:r w:rsidR="00582D66" w:rsidRPr="00F92592">
        <w:rPr>
          <w:rFonts w:eastAsiaTheme="minorEastAsia"/>
          <w:lang w:val="en-ZW" w:eastAsia="en-ZA"/>
        </w:rPr>
        <w:t xml:space="preserve"> of Mauritania where the risk of radicalization is high. Due to </w:t>
      </w:r>
      <w:r w:rsidR="00975310" w:rsidRPr="00F92592">
        <w:rPr>
          <w:rFonts w:eastAsiaTheme="minorEastAsia"/>
          <w:lang w:val="en-ZW" w:eastAsia="en-ZA"/>
        </w:rPr>
        <w:t xml:space="preserve">dependence </w:t>
      </w:r>
      <w:r w:rsidR="00582D66" w:rsidRPr="00F92592">
        <w:rPr>
          <w:rFonts w:eastAsiaTheme="minorEastAsia"/>
          <w:lang w:val="en-ZW" w:eastAsia="en-ZA"/>
        </w:rPr>
        <w:t xml:space="preserve">on natural resources, </w:t>
      </w:r>
      <w:r w:rsidR="00151873" w:rsidRPr="00F92592">
        <w:rPr>
          <w:rFonts w:eastAsiaTheme="minorEastAsia"/>
          <w:lang w:val="en-ZW" w:eastAsia="en-ZA"/>
        </w:rPr>
        <w:t xml:space="preserve">any </w:t>
      </w:r>
      <w:r w:rsidR="00582D66" w:rsidRPr="00F92592">
        <w:rPr>
          <w:rFonts w:eastAsiaTheme="minorEastAsia"/>
          <w:lang w:val="en-ZW" w:eastAsia="en-ZA"/>
        </w:rPr>
        <w:t xml:space="preserve">growth </w:t>
      </w:r>
      <w:r w:rsidR="00C43E34" w:rsidRPr="00F92592">
        <w:rPr>
          <w:rFonts w:eastAsiaTheme="minorEastAsia"/>
          <w:lang w:val="en-ZW" w:eastAsia="en-ZA"/>
        </w:rPr>
        <w:t>must</w:t>
      </w:r>
      <w:r w:rsidR="00582D66" w:rsidRPr="00F92592">
        <w:rPr>
          <w:rFonts w:eastAsiaTheme="minorEastAsia"/>
          <w:lang w:val="en-ZW" w:eastAsia="en-ZA"/>
        </w:rPr>
        <w:t xml:space="preserve"> be accompanied by investments in sustainable natural resource and disaster risk management </w:t>
      </w:r>
      <w:r w:rsidR="00151873" w:rsidRPr="00F92592">
        <w:rPr>
          <w:rFonts w:eastAsiaTheme="minorEastAsia"/>
          <w:lang w:val="en-ZW" w:eastAsia="en-ZA"/>
        </w:rPr>
        <w:t>for improved</w:t>
      </w:r>
      <w:r w:rsidR="00582D66" w:rsidRPr="00F92592">
        <w:rPr>
          <w:rFonts w:eastAsiaTheme="minorEastAsia"/>
          <w:lang w:val="en-ZW" w:eastAsia="en-ZA"/>
        </w:rPr>
        <w:t xml:space="preserve"> resilience. </w:t>
      </w:r>
      <w:r>
        <w:rPr>
          <w:rFonts w:eastAsiaTheme="minorEastAsia"/>
          <w:lang w:val="en-ZW" w:eastAsia="en-ZA"/>
        </w:rPr>
        <w:t>D</w:t>
      </w:r>
      <w:r w:rsidR="00582D66" w:rsidRPr="00F92592">
        <w:rPr>
          <w:rFonts w:eastAsiaTheme="minorEastAsia"/>
          <w:lang w:val="en-ZW" w:eastAsia="en-ZA"/>
        </w:rPr>
        <w:t>evelopment pathway</w:t>
      </w:r>
      <w:r>
        <w:rPr>
          <w:rFonts w:eastAsiaTheme="minorEastAsia"/>
          <w:lang w:val="en-ZW" w:eastAsia="en-ZA"/>
        </w:rPr>
        <w:t>s</w:t>
      </w:r>
      <w:r w:rsidR="00582D66" w:rsidRPr="00F92592">
        <w:rPr>
          <w:rFonts w:eastAsiaTheme="minorEastAsia"/>
          <w:lang w:val="en-ZW" w:eastAsia="en-ZA"/>
        </w:rPr>
        <w:t xml:space="preserve"> </w:t>
      </w:r>
      <w:r w:rsidR="00151873" w:rsidRPr="00F92592">
        <w:rPr>
          <w:rFonts w:eastAsiaTheme="minorEastAsia"/>
          <w:lang w:val="en-ZW" w:eastAsia="en-ZA"/>
        </w:rPr>
        <w:t xml:space="preserve">must be </w:t>
      </w:r>
      <w:r w:rsidR="00582D66" w:rsidRPr="00F92592">
        <w:rPr>
          <w:rFonts w:eastAsiaTheme="minorEastAsia"/>
          <w:lang w:val="en-ZW" w:eastAsia="en-ZA"/>
        </w:rPr>
        <w:t>focused on public sector strengthening that promote</w:t>
      </w:r>
      <w:r w:rsidR="00151873" w:rsidRPr="00F92592">
        <w:rPr>
          <w:rFonts w:eastAsiaTheme="minorEastAsia"/>
          <w:lang w:val="en-ZW" w:eastAsia="en-ZA"/>
        </w:rPr>
        <w:t>s</w:t>
      </w:r>
      <w:r w:rsidR="00582D66" w:rsidRPr="00F92592">
        <w:rPr>
          <w:rFonts w:eastAsiaTheme="minorEastAsia"/>
          <w:lang w:val="en-ZW" w:eastAsia="en-ZA"/>
        </w:rPr>
        <w:t xml:space="preserve"> diversification of the economy, strengthen</w:t>
      </w:r>
      <w:r w:rsidR="00151873" w:rsidRPr="00F92592">
        <w:rPr>
          <w:rFonts w:eastAsiaTheme="minorEastAsia"/>
          <w:lang w:val="en-ZW" w:eastAsia="en-ZA"/>
        </w:rPr>
        <w:t>s</w:t>
      </w:r>
      <w:r w:rsidR="00582D66" w:rsidRPr="00F92592">
        <w:rPr>
          <w:rFonts w:eastAsiaTheme="minorEastAsia"/>
          <w:lang w:val="en-ZW" w:eastAsia="en-ZA"/>
        </w:rPr>
        <w:t xml:space="preserve"> community participation in policy formulation and project implementation</w:t>
      </w:r>
      <w:r w:rsidR="00151873" w:rsidRPr="00F92592">
        <w:rPr>
          <w:rFonts w:eastAsiaTheme="minorEastAsia"/>
          <w:lang w:val="en-ZW" w:eastAsia="en-ZA"/>
        </w:rPr>
        <w:t>,</w:t>
      </w:r>
      <w:r w:rsidR="00582D66" w:rsidRPr="00F92592">
        <w:rPr>
          <w:rFonts w:eastAsiaTheme="minorEastAsia"/>
          <w:lang w:val="en-ZW" w:eastAsia="en-ZA"/>
        </w:rPr>
        <w:t xml:space="preserve"> and improv</w:t>
      </w:r>
      <w:r w:rsidR="00EC0B43" w:rsidRPr="00F92592">
        <w:rPr>
          <w:rFonts w:eastAsiaTheme="minorEastAsia"/>
          <w:lang w:val="en-ZW" w:eastAsia="en-ZA"/>
        </w:rPr>
        <w:t>e</w:t>
      </w:r>
      <w:r w:rsidR="00151873" w:rsidRPr="00F92592">
        <w:rPr>
          <w:rFonts w:eastAsiaTheme="minorEastAsia"/>
          <w:lang w:val="en-ZW" w:eastAsia="en-ZA"/>
        </w:rPr>
        <w:t>s</w:t>
      </w:r>
      <w:r w:rsidR="00582D66" w:rsidRPr="00F92592">
        <w:rPr>
          <w:rFonts w:eastAsiaTheme="minorEastAsia"/>
          <w:lang w:val="en-ZW" w:eastAsia="en-ZA"/>
        </w:rPr>
        <w:t xml:space="preserve"> local service delivery.</w:t>
      </w:r>
      <w:r w:rsidR="00272C29" w:rsidRPr="00F92592">
        <w:rPr>
          <w:rFonts w:eastAsiaTheme="minorEastAsia"/>
          <w:lang w:val="en-ZW" w:eastAsia="en-ZA"/>
        </w:rPr>
        <w:t xml:space="preserve"> </w:t>
      </w:r>
    </w:p>
    <w:p w:rsidR="00272C29" w:rsidRPr="00F92592" w:rsidRDefault="00151873" w:rsidP="002B6748">
      <w:pPr>
        <w:pStyle w:val="ListParagraph"/>
        <w:widowControl w:val="0"/>
        <w:numPr>
          <w:ilvl w:val="0"/>
          <w:numId w:val="9"/>
        </w:numPr>
        <w:shd w:val="clear" w:color="auto" w:fill="FFFFFF"/>
        <w:tabs>
          <w:tab w:val="left" w:pos="1080"/>
        </w:tabs>
        <w:adjustRightInd w:val="0"/>
        <w:spacing w:after="120"/>
        <w:ind w:right="720" w:firstLine="0"/>
        <w:jc w:val="both"/>
        <w:textAlignment w:val="baseline"/>
        <w:rPr>
          <w:rFonts w:eastAsiaTheme="minorEastAsia"/>
          <w:lang w:val="en-ZW" w:eastAsia="en-ZA"/>
        </w:rPr>
      </w:pPr>
      <w:r w:rsidRPr="00F92592">
        <w:rPr>
          <w:rFonts w:eastAsiaTheme="minorEastAsia"/>
          <w:lang w:val="en-ZW" w:eastAsia="en-ZA"/>
        </w:rPr>
        <w:t xml:space="preserve">The </w:t>
      </w:r>
      <w:r w:rsidR="00582D66" w:rsidRPr="00F92592">
        <w:rPr>
          <w:rFonts w:eastAsiaTheme="minorEastAsia"/>
          <w:lang w:val="en-ZW" w:eastAsia="en-ZA"/>
        </w:rPr>
        <w:t>UNDP programme is based on three thematic areas: (i) building strong, inclusive and sustainable growth</w:t>
      </w:r>
      <w:r w:rsidR="00516FC6">
        <w:rPr>
          <w:rFonts w:eastAsiaTheme="minorEastAsia"/>
          <w:lang w:val="en-ZW" w:eastAsia="en-ZA"/>
        </w:rPr>
        <w:t xml:space="preserve"> that is</w:t>
      </w:r>
      <w:r w:rsidR="00582D66" w:rsidRPr="00F92592">
        <w:rPr>
          <w:rFonts w:eastAsiaTheme="minorEastAsia"/>
          <w:lang w:val="en-ZW" w:eastAsia="en-ZA"/>
        </w:rPr>
        <w:t xml:space="preserve"> embodied in </w:t>
      </w:r>
      <w:r w:rsidRPr="00F92592">
        <w:rPr>
          <w:rFonts w:eastAsiaTheme="minorEastAsia"/>
          <w:lang w:val="en-ZW" w:eastAsia="en-ZA"/>
        </w:rPr>
        <w:t xml:space="preserve">the </w:t>
      </w:r>
      <w:r w:rsidR="00582D66" w:rsidRPr="00F92592">
        <w:rPr>
          <w:rFonts w:eastAsiaTheme="minorEastAsia"/>
          <w:lang w:val="en-ZW" w:eastAsia="en-ZA"/>
        </w:rPr>
        <w:t>design and implementation of public policies by national institutions in charge of economic planning</w:t>
      </w:r>
      <w:r w:rsidRPr="00F92592">
        <w:rPr>
          <w:rFonts w:eastAsiaTheme="minorEastAsia"/>
          <w:lang w:val="en-ZW" w:eastAsia="en-ZA"/>
        </w:rPr>
        <w:t>,</w:t>
      </w:r>
      <w:r w:rsidR="00582D66" w:rsidRPr="00F92592">
        <w:rPr>
          <w:rFonts w:eastAsiaTheme="minorEastAsia"/>
          <w:lang w:val="en-ZW" w:eastAsia="en-ZA"/>
        </w:rPr>
        <w:t xml:space="preserve"> (ii) </w:t>
      </w:r>
      <w:r w:rsidR="00D62C8F" w:rsidRPr="00F92592">
        <w:rPr>
          <w:rFonts w:eastAsiaTheme="minorEastAsia"/>
          <w:lang w:val="en-ZW" w:eastAsia="en-ZA"/>
        </w:rPr>
        <w:t>i</w:t>
      </w:r>
      <w:r w:rsidR="00F4799A" w:rsidRPr="00F92592">
        <w:rPr>
          <w:rFonts w:eastAsiaTheme="minorEastAsia"/>
          <w:lang w:val="en-ZW" w:eastAsia="en-ZA"/>
        </w:rPr>
        <w:t>mprov</w:t>
      </w:r>
      <w:r w:rsidR="004932B9" w:rsidRPr="00F92592">
        <w:rPr>
          <w:rFonts w:eastAsiaTheme="minorEastAsia"/>
          <w:lang w:val="en-ZW" w:eastAsia="en-ZA"/>
        </w:rPr>
        <w:t>ing</w:t>
      </w:r>
      <w:r w:rsidR="00F4799A" w:rsidRPr="00F92592">
        <w:rPr>
          <w:rFonts w:eastAsiaTheme="minorEastAsia"/>
          <w:lang w:val="en-ZW" w:eastAsia="en-ZA"/>
        </w:rPr>
        <w:t xml:space="preserve"> </w:t>
      </w:r>
      <w:r w:rsidR="00582D66" w:rsidRPr="00F92592">
        <w:rPr>
          <w:rFonts w:eastAsiaTheme="minorEastAsia"/>
          <w:lang w:val="en-ZW" w:eastAsia="en-ZA"/>
        </w:rPr>
        <w:t>governance, institution</w:t>
      </w:r>
      <w:r w:rsidR="00D62C8F" w:rsidRPr="00F92592">
        <w:rPr>
          <w:rFonts w:eastAsiaTheme="minorEastAsia"/>
          <w:lang w:val="en-ZW" w:eastAsia="en-ZA"/>
        </w:rPr>
        <w:t>al capacit</w:t>
      </w:r>
      <w:r w:rsidR="00516FC6">
        <w:rPr>
          <w:rFonts w:eastAsiaTheme="minorEastAsia"/>
          <w:lang w:val="en-ZW" w:eastAsia="en-ZA"/>
        </w:rPr>
        <w:t>ies</w:t>
      </w:r>
      <w:r w:rsidR="00D62C8F" w:rsidRPr="00F92592">
        <w:rPr>
          <w:rFonts w:eastAsiaTheme="minorEastAsia"/>
          <w:lang w:val="en-ZW" w:eastAsia="en-ZA"/>
        </w:rPr>
        <w:t xml:space="preserve"> </w:t>
      </w:r>
      <w:r w:rsidR="00582D66" w:rsidRPr="00F92592">
        <w:rPr>
          <w:rFonts w:eastAsiaTheme="minorEastAsia"/>
          <w:lang w:val="en-ZW" w:eastAsia="en-ZA"/>
        </w:rPr>
        <w:t xml:space="preserve">and </w:t>
      </w:r>
      <w:r w:rsidR="00516FC6">
        <w:rPr>
          <w:rFonts w:eastAsiaTheme="minorEastAsia"/>
          <w:lang w:val="en-ZW" w:eastAsia="en-ZA"/>
        </w:rPr>
        <w:t>fighting</w:t>
      </w:r>
      <w:r w:rsidR="00582D66" w:rsidRPr="00F92592">
        <w:rPr>
          <w:rFonts w:eastAsiaTheme="minorEastAsia"/>
          <w:lang w:val="en-ZW" w:eastAsia="en-ZA"/>
        </w:rPr>
        <w:t xml:space="preserve"> radicalization and security threats</w:t>
      </w:r>
      <w:r w:rsidRPr="00F92592">
        <w:rPr>
          <w:rFonts w:eastAsiaTheme="minorEastAsia"/>
          <w:lang w:val="en-ZW" w:eastAsia="en-ZA"/>
        </w:rPr>
        <w:t>,</w:t>
      </w:r>
      <w:r w:rsidR="00582D66" w:rsidRPr="00F92592">
        <w:rPr>
          <w:rFonts w:eastAsiaTheme="minorEastAsia"/>
          <w:lang w:val="en-ZW" w:eastAsia="en-ZA"/>
        </w:rPr>
        <w:t xml:space="preserve"> and (iii) fostering sustainable natural resource management</w:t>
      </w:r>
      <w:r w:rsidRPr="00F92592">
        <w:rPr>
          <w:rFonts w:eastAsiaTheme="minorEastAsia"/>
          <w:lang w:val="en-ZW" w:eastAsia="en-ZA"/>
        </w:rPr>
        <w:t>,</w:t>
      </w:r>
      <w:r w:rsidR="00582D66" w:rsidRPr="00F92592">
        <w:rPr>
          <w:rFonts w:eastAsiaTheme="minorEastAsia"/>
          <w:lang w:val="en-ZW" w:eastAsia="en-ZA"/>
        </w:rPr>
        <w:t xml:space="preserve"> and resilience </w:t>
      </w:r>
      <w:r w:rsidRPr="00F92592">
        <w:rPr>
          <w:rFonts w:eastAsiaTheme="minorEastAsia"/>
          <w:lang w:val="en-ZW" w:eastAsia="en-ZA"/>
        </w:rPr>
        <w:t xml:space="preserve">against </w:t>
      </w:r>
      <w:r w:rsidR="00582D66" w:rsidRPr="00F92592">
        <w:rPr>
          <w:rFonts w:eastAsiaTheme="minorEastAsia"/>
          <w:lang w:val="en-ZW" w:eastAsia="en-ZA"/>
        </w:rPr>
        <w:t xml:space="preserve">disasters and climate change. The strategy is </w:t>
      </w:r>
      <w:r w:rsidR="00272C29" w:rsidRPr="00F92592">
        <w:rPr>
          <w:rFonts w:eastAsiaTheme="minorEastAsia"/>
          <w:lang w:val="en-ZW" w:eastAsia="en-ZA"/>
        </w:rPr>
        <w:t>dependent</w:t>
      </w:r>
      <w:r w:rsidR="00582D66" w:rsidRPr="00F92592">
        <w:rPr>
          <w:rFonts w:eastAsiaTheme="minorEastAsia"/>
          <w:lang w:val="en-ZW" w:eastAsia="en-ZA"/>
        </w:rPr>
        <w:t xml:space="preserve"> on </w:t>
      </w:r>
      <w:r w:rsidR="00FB1B61" w:rsidRPr="00F92592">
        <w:rPr>
          <w:rFonts w:eastAsiaTheme="minorEastAsia"/>
          <w:lang w:val="en-ZW" w:eastAsia="en-ZA"/>
        </w:rPr>
        <w:t xml:space="preserve">links </w:t>
      </w:r>
      <w:r w:rsidR="00582D66" w:rsidRPr="00F92592">
        <w:rPr>
          <w:rFonts w:eastAsiaTheme="minorEastAsia"/>
          <w:lang w:val="en-ZW" w:eastAsia="en-ZA"/>
        </w:rPr>
        <w:t>between the three pillars. For example, dependence</w:t>
      </w:r>
      <w:r w:rsidR="00C43E34" w:rsidRPr="00F92592">
        <w:rPr>
          <w:rFonts w:eastAsiaTheme="minorEastAsia"/>
          <w:lang w:val="en-ZW" w:eastAsia="en-ZA"/>
        </w:rPr>
        <w:t xml:space="preserve"> on</w:t>
      </w:r>
      <w:r w:rsidR="00582D66" w:rsidRPr="00F92592">
        <w:rPr>
          <w:rFonts w:eastAsiaTheme="minorEastAsia"/>
          <w:lang w:val="en-ZW" w:eastAsia="en-ZA"/>
        </w:rPr>
        <w:t xml:space="preserve"> </w:t>
      </w:r>
      <w:r w:rsidR="00272C29" w:rsidRPr="00F92592">
        <w:rPr>
          <w:rFonts w:eastAsiaTheme="minorEastAsia"/>
          <w:lang w:val="en-ZW" w:eastAsia="en-ZA"/>
        </w:rPr>
        <w:t>commodities</w:t>
      </w:r>
      <w:r w:rsidR="00582D66" w:rsidRPr="00F92592">
        <w:rPr>
          <w:rFonts w:eastAsiaTheme="minorEastAsia"/>
          <w:lang w:val="en-ZW" w:eastAsia="en-ZA"/>
        </w:rPr>
        <w:t xml:space="preserve"> will be mitigated through diversification of the economy and vocational training, leading to differentiated livelihoods</w:t>
      </w:r>
      <w:r w:rsidR="00272C29" w:rsidRPr="00F92592">
        <w:rPr>
          <w:rFonts w:eastAsiaTheme="minorEastAsia"/>
          <w:lang w:val="en-ZW" w:eastAsia="en-ZA"/>
        </w:rPr>
        <w:t xml:space="preserve"> in</w:t>
      </w:r>
      <w:r w:rsidR="00FB1B61" w:rsidRPr="00F92592">
        <w:rPr>
          <w:rFonts w:eastAsiaTheme="minorEastAsia"/>
          <w:lang w:val="en-ZW" w:eastAsia="en-ZA"/>
        </w:rPr>
        <w:t xml:space="preserve"> the</w:t>
      </w:r>
      <w:r w:rsidR="00272C29" w:rsidRPr="00F92592">
        <w:rPr>
          <w:rFonts w:eastAsiaTheme="minorEastAsia"/>
          <w:lang w:val="en-ZW" w:eastAsia="en-ZA"/>
        </w:rPr>
        <w:t xml:space="preserve"> </w:t>
      </w:r>
      <w:r w:rsidR="00272C29" w:rsidRPr="00F92592">
        <w:rPr>
          <w:rFonts w:eastAsiaTheme="minorEastAsia"/>
          <w:lang w:val="en-ZW" w:eastAsia="en-ZA"/>
        </w:rPr>
        <w:lastRenderedPageBreak/>
        <w:t>agriculture and fisher</w:t>
      </w:r>
      <w:r w:rsidR="00FB1B61" w:rsidRPr="00F92592">
        <w:rPr>
          <w:rFonts w:eastAsiaTheme="minorEastAsia"/>
          <w:lang w:val="en-ZW" w:eastAsia="en-ZA"/>
        </w:rPr>
        <w:t>y sectors</w:t>
      </w:r>
      <w:r w:rsidR="00272C29" w:rsidRPr="00F92592">
        <w:rPr>
          <w:rFonts w:eastAsiaTheme="minorEastAsia"/>
          <w:lang w:val="en-ZW" w:eastAsia="en-ZA"/>
        </w:rPr>
        <w:t>.</w:t>
      </w:r>
      <w:r w:rsidR="00582D66" w:rsidRPr="00F92592">
        <w:rPr>
          <w:rFonts w:eastAsiaTheme="minorEastAsia"/>
          <w:lang w:val="en-ZW" w:eastAsia="en-ZA"/>
        </w:rPr>
        <w:t xml:space="preserve"> </w:t>
      </w:r>
      <w:r w:rsidR="00FB1B61" w:rsidRPr="00F92592">
        <w:rPr>
          <w:rFonts w:eastAsiaTheme="minorEastAsia"/>
          <w:lang w:val="en-ZW" w:eastAsia="en-ZA"/>
        </w:rPr>
        <w:t>S</w:t>
      </w:r>
      <w:r w:rsidR="00582D66" w:rsidRPr="00F92592">
        <w:rPr>
          <w:rFonts w:eastAsiaTheme="minorEastAsia"/>
          <w:lang w:val="en-ZW" w:eastAsia="en-ZA"/>
        </w:rPr>
        <w:t xml:space="preserve">ince </w:t>
      </w:r>
      <w:r w:rsidR="00272C29" w:rsidRPr="00F92592">
        <w:rPr>
          <w:rFonts w:eastAsiaTheme="minorEastAsia"/>
          <w:lang w:val="en-ZW" w:eastAsia="en-ZA"/>
        </w:rPr>
        <w:t>the</w:t>
      </w:r>
      <w:r w:rsidR="00FB1B61" w:rsidRPr="00F92592">
        <w:rPr>
          <w:rFonts w:eastAsiaTheme="minorEastAsia"/>
          <w:lang w:val="en-ZW" w:eastAsia="en-ZA"/>
        </w:rPr>
        <w:t>re is</w:t>
      </w:r>
      <w:r w:rsidR="00272C29" w:rsidRPr="00F92592">
        <w:rPr>
          <w:rFonts w:eastAsiaTheme="minorEastAsia"/>
          <w:lang w:val="en-ZW" w:eastAsia="en-ZA"/>
        </w:rPr>
        <w:t xml:space="preserve"> potential </w:t>
      </w:r>
      <w:r w:rsidR="00FB1B61" w:rsidRPr="00F92592">
        <w:rPr>
          <w:rFonts w:eastAsiaTheme="minorEastAsia"/>
          <w:lang w:val="en-ZW" w:eastAsia="en-ZA"/>
        </w:rPr>
        <w:t xml:space="preserve">for </w:t>
      </w:r>
      <w:r w:rsidR="00582D66" w:rsidRPr="00F92592">
        <w:rPr>
          <w:rFonts w:eastAsiaTheme="minorEastAsia"/>
          <w:lang w:val="en-ZW" w:eastAsia="en-ZA"/>
        </w:rPr>
        <w:t>agriculture</w:t>
      </w:r>
      <w:r w:rsidR="00272C29" w:rsidRPr="00F92592">
        <w:rPr>
          <w:rFonts w:eastAsiaTheme="minorEastAsia"/>
          <w:lang w:val="en-ZW" w:eastAsia="en-ZA"/>
        </w:rPr>
        <w:t xml:space="preserve"> and fisheries</w:t>
      </w:r>
      <w:r w:rsidR="00582D66" w:rsidRPr="00F92592">
        <w:rPr>
          <w:rFonts w:eastAsiaTheme="minorEastAsia"/>
          <w:lang w:val="en-ZW" w:eastAsia="en-ZA"/>
        </w:rPr>
        <w:t xml:space="preserve"> </w:t>
      </w:r>
      <w:r w:rsidR="00FB1B61" w:rsidRPr="00F92592">
        <w:rPr>
          <w:rFonts w:eastAsiaTheme="minorEastAsia"/>
          <w:lang w:val="en-ZW" w:eastAsia="en-ZA"/>
        </w:rPr>
        <w:t xml:space="preserve">to </w:t>
      </w:r>
      <w:r w:rsidR="00EC0B43" w:rsidRPr="00F92592">
        <w:rPr>
          <w:rFonts w:eastAsiaTheme="minorEastAsia"/>
          <w:lang w:val="en-ZW" w:eastAsia="en-ZA"/>
        </w:rPr>
        <w:t xml:space="preserve">become </w:t>
      </w:r>
      <w:r w:rsidR="00FB1B61" w:rsidRPr="00F92592">
        <w:rPr>
          <w:rFonts w:eastAsiaTheme="minorEastAsia"/>
          <w:lang w:val="en-ZW" w:eastAsia="en-ZA"/>
        </w:rPr>
        <w:t>a</w:t>
      </w:r>
      <w:r w:rsidR="00582D66" w:rsidRPr="00F92592">
        <w:rPr>
          <w:rFonts w:eastAsiaTheme="minorEastAsia"/>
          <w:lang w:val="en-ZW" w:eastAsia="en-ZA"/>
        </w:rPr>
        <w:t xml:space="preserve"> main source of livelihood for </w:t>
      </w:r>
      <w:r w:rsidR="00FB1B61" w:rsidRPr="00F92592">
        <w:rPr>
          <w:rFonts w:eastAsiaTheme="minorEastAsia"/>
          <w:lang w:val="en-ZW" w:eastAsia="en-ZA"/>
        </w:rPr>
        <w:t>people living</w:t>
      </w:r>
      <w:r w:rsidR="00EC0B43" w:rsidRPr="00F92592">
        <w:rPr>
          <w:rFonts w:eastAsiaTheme="minorEastAsia"/>
          <w:lang w:val="en-ZW" w:eastAsia="en-ZA"/>
        </w:rPr>
        <w:t xml:space="preserve"> </w:t>
      </w:r>
      <w:r w:rsidR="00582D66" w:rsidRPr="00F92592">
        <w:rPr>
          <w:rFonts w:eastAsiaTheme="minorEastAsia"/>
          <w:lang w:val="en-ZW" w:eastAsia="en-ZA"/>
        </w:rPr>
        <w:t xml:space="preserve">in rural areas, it is critical to invest in sustainable natural resource management to ensure resiliency and safeguard </w:t>
      </w:r>
      <w:r w:rsidR="00224A2B" w:rsidRPr="00F92592">
        <w:rPr>
          <w:rFonts w:eastAsiaTheme="minorEastAsia"/>
          <w:lang w:val="en-ZW" w:eastAsia="en-ZA"/>
        </w:rPr>
        <w:t xml:space="preserve">assets. </w:t>
      </w:r>
      <w:r w:rsidR="00272C29" w:rsidRPr="00F92592">
        <w:rPr>
          <w:rFonts w:eastAsiaTheme="minorEastAsia"/>
          <w:lang w:val="en-ZW" w:eastAsia="en-ZA"/>
        </w:rPr>
        <w:t>The strategy will prioritize enablers</w:t>
      </w:r>
      <w:r w:rsidR="006E077F" w:rsidRPr="00F92592">
        <w:rPr>
          <w:rFonts w:eastAsiaTheme="minorEastAsia"/>
          <w:lang w:val="en-ZW" w:eastAsia="en-ZA"/>
        </w:rPr>
        <w:t xml:space="preserve"> such as supporting national actors in the formulation and implementation of development plans and</w:t>
      </w:r>
      <w:r w:rsidR="00516FC6">
        <w:rPr>
          <w:rFonts w:eastAsiaTheme="minorEastAsia"/>
          <w:lang w:val="en-ZW" w:eastAsia="en-ZA"/>
        </w:rPr>
        <w:t xml:space="preserve"> the</w:t>
      </w:r>
      <w:r w:rsidR="006E077F" w:rsidRPr="00F92592">
        <w:rPr>
          <w:rFonts w:eastAsiaTheme="minorEastAsia"/>
          <w:lang w:val="en-ZW" w:eastAsia="en-ZA"/>
        </w:rPr>
        <w:t xml:space="preserve"> national statistical system. </w:t>
      </w:r>
    </w:p>
    <w:p w:rsidR="00766D54" w:rsidRDefault="006F54DC" w:rsidP="006D4AF4">
      <w:pPr>
        <w:numPr>
          <w:ilvl w:val="0"/>
          <w:numId w:val="9"/>
        </w:numPr>
        <w:tabs>
          <w:tab w:val="left" w:pos="1080"/>
        </w:tabs>
        <w:spacing w:after="120"/>
        <w:ind w:right="680" w:firstLine="0"/>
        <w:jc w:val="both"/>
        <w:rPr>
          <w:lang w:eastAsia="fr-FR"/>
        </w:rPr>
      </w:pPr>
      <w:r w:rsidRPr="00A33D46">
        <w:rPr>
          <w:lang w:val="en-GB" w:eastAsia="fr-FR"/>
        </w:rPr>
        <w:t>The proposed programme support</w:t>
      </w:r>
      <w:r w:rsidR="006510CC" w:rsidRPr="00A33D46">
        <w:rPr>
          <w:lang w:val="en-GB" w:eastAsia="fr-FR"/>
        </w:rPr>
        <w:t>s</w:t>
      </w:r>
      <w:r w:rsidRPr="00A33D46">
        <w:rPr>
          <w:lang w:val="en-GB" w:eastAsia="fr-FR"/>
        </w:rPr>
        <w:t xml:space="preserve"> the new </w:t>
      </w:r>
      <w:r w:rsidR="00C56D2F" w:rsidRPr="00451503">
        <w:t xml:space="preserve">2016-2030 </w:t>
      </w:r>
      <w:r w:rsidR="009F15BA">
        <w:t>SCAPP</w:t>
      </w:r>
      <w:r w:rsidR="00FB1B61">
        <w:t xml:space="preserve"> by way of </w:t>
      </w:r>
      <w:r w:rsidR="00DA68FB" w:rsidRPr="00A33D46">
        <w:rPr>
          <w:lang w:val="en-GB" w:eastAsia="fr-FR"/>
        </w:rPr>
        <w:t>monitoring and implement</w:t>
      </w:r>
      <w:r w:rsidR="00FB1B61">
        <w:rPr>
          <w:lang w:val="en-GB" w:eastAsia="fr-FR"/>
        </w:rPr>
        <w:t>ing</w:t>
      </w:r>
      <w:r w:rsidR="00DA68FB" w:rsidRPr="00A33D46">
        <w:rPr>
          <w:lang w:val="en-GB" w:eastAsia="fr-FR"/>
        </w:rPr>
        <w:t xml:space="preserve"> international commitments and treaties</w:t>
      </w:r>
      <w:r w:rsidR="00FB1B61">
        <w:rPr>
          <w:lang w:val="en-GB" w:eastAsia="fr-FR"/>
        </w:rPr>
        <w:t xml:space="preserve"> (</w:t>
      </w:r>
      <w:r w:rsidR="00DA68FB" w:rsidRPr="00A33D46">
        <w:rPr>
          <w:lang w:val="en-GB" w:eastAsia="fr-FR"/>
        </w:rPr>
        <w:t>including the African Union</w:t>
      </w:r>
      <w:r w:rsidR="0021301A">
        <w:rPr>
          <w:lang w:val="en-GB" w:eastAsia="fr-FR"/>
        </w:rPr>
        <w:t xml:space="preserve"> </w:t>
      </w:r>
      <w:r w:rsidR="0021301A" w:rsidRPr="00A33D46">
        <w:rPr>
          <w:lang w:val="en-GB" w:eastAsia="fr-FR"/>
        </w:rPr>
        <w:t>Agenda 2063 of</w:t>
      </w:r>
      <w:r w:rsidR="00DA68FB" w:rsidRPr="00A33D46">
        <w:rPr>
          <w:lang w:val="en-GB" w:eastAsia="fr-FR"/>
        </w:rPr>
        <w:t xml:space="preserve">, </w:t>
      </w:r>
      <w:r w:rsidR="005F6947" w:rsidRPr="00A33D46">
        <w:rPr>
          <w:lang w:val="en-GB" w:eastAsia="fr-FR"/>
        </w:rPr>
        <w:t xml:space="preserve">the 2030 Agenda for Sustainable Development </w:t>
      </w:r>
      <w:r w:rsidR="00DA68FB" w:rsidRPr="00A33D46">
        <w:rPr>
          <w:lang w:val="en-GB" w:eastAsia="fr-FR"/>
        </w:rPr>
        <w:t xml:space="preserve">and the SDGs, </w:t>
      </w:r>
      <w:r w:rsidR="002A74C0" w:rsidRPr="002A74C0">
        <w:rPr>
          <w:lang w:val="en-GB" w:eastAsia="fr-FR"/>
        </w:rPr>
        <w:t>the Addis Ababa Action Agenda</w:t>
      </w:r>
      <w:r w:rsidR="002A74C0">
        <w:rPr>
          <w:lang w:val="en-GB" w:eastAsia="fr-FR"/>
        </w:rPr>
        <w:t xml:space="preserve">, </w:t>
      </w:r>
      <w:r w:rsidR="00DA68FB" w:rsidRPr="00A33D46">
        <w:rPr>
          <w:lang w:val="en-GB" w:eastAsia="fr-FR"/>
        </w:rPr>
        <w:t>the Sendai Framework on Disaster Risk Reduction, the Paris Climate Change Agreement</w:t>
      </w:r>
      <w:r w:rsidR="00FB1B61">
        <w:rPr>
          <w:lang w:val="en-GB" w:eastAsia="fr-FR"/>
        </w:rPr>
        <w:t>,</w:t>
      </w:r>
      <w:r w:rsidR="00DA68FB" w:rsidRPr="00A33D46">
        <w:rPr>
          <w:lang w:val="en-GB" w:eastAsia="fr-FR"/>
        </w:rPr>
        <w:t xml:space="preserve"> multilateral environm</w:t>
      </w:r>
      <w:r w:rsidR="00FC318D" w:rsidRPr="00A33D46">
        <w:rPr>
          <w:lang w:val="en-GB" w:eastAsia="fr-FR"/>
        </w:rPr>
        <w:t xml:space="preserve">ental agreements, </w:t>
      </w:r>
      <w:r w:rsidR="00FB1B61">
        <w:rPr>
          <w:lang w:val="en-GB" w:eastAsia="fr-FR"/>
        </w:rPr>
        <w:t xml:space="preserve">and other </w:t>
      </w:r>
      <w:r w:rsidR="00FC318D" w:rsidRPr="00A33D46">
        <w:rPr>
          <w:lang w:val="en-GB" w:eastAsia="fr-FR"/>
        </w:rPr>
        <w:t>international</w:t>
      </w:r>
      <w:r w:rsidR="00DA68FB" w:rsidRPr="00A33D46">
        <w:rPr>
          <w:lang w:val="en-GB" w:eastAsia="fr-FR"/>
        </w:rPr>
        <w:t>/regional human rights treaties</w:t>
      </w:r>
      <w:r w:rsidR="00FB1B61">
        <w:rPr>
          <w:lang w:val="en-GB" w:eastAsia="fr-FR"/>
        </w:rPr>
        <w:t>)</w:t>
      </w:r>
      <w:r w:rsidR="00DA68FB" w:rsidRPr="00A33D46">
        <w:rPr>
          <w:lang w:val="en-GB" w:eastAsia="fr-FR"/>
        </w:rPr>
        <w:t xml:space="preserve">. </w:t>
      </w:r>
      <w:r w:rsidR="00C5588D">
        <w:rPr>
          <w:lang w:val="en-GB" w:eastAsia="fr-FR"/>
        </w:rPr>
        <w:t xml:space="preserve">The programme </w:t>
      </w:r>
      <w:r w:rsidR="008B2E65">
        <w:rPr>
          <w:lang w:val="en-GB" w:eastAsia="fr-FR"/>
        </w:rPr>
        <w:t xml:space="preserve">is </w:t>
      </w:r>
      <w:r w:rsidR="00C5588D">
        <w:rPr>
          <w:lang w:val="en-GB" w:eastAsia="fr-FR"/>
        </w:rPr>
        <w:t>anchored</w:t>
      </w:r>
      <w:r w:rsidR="008B2E65">
        <w:rPr>
          <w:lang w:val="en-GB" w:eastAsia="fr-FR"/>
        </w:rPr>
        <w:t xml:space="preserve"> </w:t>
      </w:r>
      <w:r w:rsidR="00C5588D">
        <w:rPr>
          <w:lang w:val="en-GB" w:eastAsia="fr-FR"/>
        </w:rPr>
        <w:t xml:space="preserve">in </w:t>
      </w:r>
      <w:r w:rsidR="00FB1B61">
        <w:rPr>
          <w:lang w:val="en-GB" w:eastAsia="fr-FR"/>
        </w:rPr>
        <w:t xml:space="preserve">the </w:t>
      </w:r>
      <w:r w:rsidR="00C5588D">
        <w:rPr>
          <w:lang w:val="en-GB" w:eastAsia="fr-FR"/>
        </w:rPr>
        <w:t>UNDP</w:t>
      </w:r>
      <w:r w:rsidR="00FB1B61">
        <w:rPr>
          <w:lang w:val="en-GB" w:eastAsia="fr-FR"/>
        </w:rPr>
        <w:t xml:space="preserve"> </w:t>
      </w:r>
      <w:r w:rsidR="00C5588D">
        <w:rPr>
          <w:lang w:val="en-GB" w:eastAsia="fr-FR"/>
        </w:rPr>
        <w:t xml:space="preserve">strategic plan, </w:t>
      </w:r>
      <w:r w:rsidR="00FB1B61">
        <w:rPr>
          <w:lang w:val="en-GB" w:eastAsia="fr-FR"/>
        </w:rPr>
        <w:t>g</w:t>
      </w:r>
      <w:r w:rsidR="00C5588D">
        <w:rPr>
          <w:lang w:val="en-GB" w:eastAsia="fr-FR"/>
        </w:rPr>
        <w:t>ender strategic plan, the S</w:t>
      </w:r>
      <w:r w:rsidR="006E077F">
        <w:rPr>
          <w:lang w:val="en-GB" w:eastAsia="fr-FR"/>
        </w:rPr>
        <w:t>outh</w:t>
      </w:r>
      <w:r w:rsidR="00E15435">
        <w:rPr>
          <w:lang w:val="en-GB" w:eastAsia="fr-FR"/>
        </w:rPr>
        <w:t>-</w:t>
      </w:r>
      <w:r w:rsidR="00C5588D">
        <w:rPr>
          <w:lang w:val="en-GB" w:eastAsia="fr-FR"/>
        </w:rPr>
        <w:t>S</w:t>
      </w:r>
      <w:r w:rsidR="006E077F">
        <w:rPr>
          <w:lang w:val="en-GB" w:eastAsia="fr-FR"/>
        </w:rPr>
        <w:t xml:space="preserve">outh </w:t>
      </w:r>
      <w:r w:rsidR="00C5588D">
        <w:rPr>
          <w:lang w:val="en-GB" w:eastAsia="fr-FR"/>
        </w:rPr>
        <w:t>C</w:t>
      </w:r>
      <w:r w:rsidR="006E077F">
        <w:rPr>
          <w:lang w:val="en-GB" w:eastAsia="fr-FR"/>
        </w:rPr>
        <w:t>ooperation</w:t>
      </w:r>
      <w:r w:rsidR="00C5588D">
        <w:rPr>
          <w:lang w:val="en-GB" w:eastAsia="fr-FR"/>
        </w:rPr>
        <w:t xml:space="preserve"> strategy</w:t>
      </w:r>
      <w:r w:rsidR="00E83471">
        <w:rPr>
          <w:lang w:val="en-GB" w:eastAsia="fr-FR"/>
        </w:rPr>
        <w:t>,</w:t>
      </w:r>
      <w:r w:rsidR="00C5588D">
        <w:rPr>
          <w:lang w:val="en-GB" w:eastAsia="fr-FR"/>
        </w:rPr>
        <w:t xml:space="preserve"> and the plan to prevent violent extremism.</w:t>
      </w:r>
    </w:p>
    <w:p w:rsidR="00272C29" w:rsidRPr="002B6748" w:rsidRDefault="00384429" w:rsidP="00516BD9">
      <w:pPr>
        <w:pStyle w:val="ListParagraph"/>
        <w:tabs>
          <w:tab w:val="left" w:pos="1701"/>
        </w:tabs>
        <w:spacing w:after="120"/>
        <w:ind w:right="680"/>
        <w:jc w:val="both"/>
      </w:pPr>
      <w:r w:rsidRPr="002B6748">
        <w:rPr>
          <w:b/>
          <w:lang w:val="en-GB"/>
        </w:rPr>
        <w:t xml:space="preserve">Strong </w:t>
      </w:r>
      <w:r w:rsidR="000B6965" w:rsidRPr="002B6748">
        <w:rPr>
          <w:b/>
          <w:lang w:val="en-GB"/>
        </w:rPr>
        <w:t>i</w:t>
      </w:r>
      <w:r w:rsidR="00D0386D" w:rsidRPr="002B6748">
        <w:rPr>
          <w:b/>
          <w:lang w:val="en-GB"/>
        </w:rPr>
        <w:t xml:space="preserve">nclusive </w:t>
      </w:r>
      <w:r w:rsidRPr="002B6748">
        <w:rPr>
          <w:b/>
          <w:lang w:val="en-GB"/>
        </w:rPr>
        <w:t xml:space="preserve">and </w:t>
      </w:r>
      <w:r w:rsidR="000B6965" w:rsidRPr="002B6748">
        <w:rPr>
          <w:b/>
          <w:lang w:val="en-GB"/>
        </w:rPr>
        <w:t>s</w:t>
      </w:r>
      <w:r w:rsidRPr="002B6748">
        <w:rPr>
          <w:b/>
          <w:lang w:val="en-GB"/>
        </w:rPr>
        <w:t xml:space="preserve">ustainable </w:t>
      </w:r>
      <w:r w:rsidR="000B6965" w:rsidRPr="002B6748">
        <w:rPr>
          <w:b/>
          <w:lang w:val="en-GB"/>
        </w:rPr>
        <w:t>g</w:t>
      </w:r>
      <w:r w:rsidR="00D0386D" w:rsidRPr="002B6748">
        <w:rPr>
          <w:b/>
          <w:lang w:val="en-GB"/>
        </w:rPr>
        <w:t>rowth</w:t>
      </w:r>
    </w:p>
    <w:p w:rsidR="008B33DA" w:rsidRPr="00451503" w:rsidRDefault="008B33DA" w:rsidP="003F00AC">
      <w:pPr>
        <w:numPr>
          <w:ilvl w:val="0"/>
          <w:numId w:val="9"/>
        </w:numPr>
        <w:tabs>
          <w:tab w:val="left" w:pos="1080"/>
        </w:tabs>
        <w:spacing w:after="120"/>
        <w:ind w:right="680" w:firstLine="0"/>
        <w:jc w:val="both"/>
      </w:pPr>
      <w:r w:rsidRPr="00451503">
        <w:rPr>
          <w:rFonts w:eastAsia="Calibri"/>
        </w:rPr>
        <w:t xml:space="preserve">Under the </w:t>
      </w:r>
      <w:r w:rsidR="006510CC" w:rsidRPr="00451503">
        <w:rPr>
          <w:rFonts w:eastAsia="Calibri"/>
        </w:rPr>
        <w:t xml:space="preserve">previous </w:t>
      </w:r>
      <w:r w:rsidRPr="00451503">
        <w:rPr>
          <w:rFonts w:eastAsia="Calibri"/>
        </w:rPr>
        <w:t xml:space="preserve">programme, </w:t>
      </w:r>
      <w:r w:rsidRPr="00451503">
        <w:t xml:space="preserve">UNDP direct support to the poor and vulnerable </w:t>
      </w:r>
      <w:r w:rsidR="00E83471">
        <w:t>resulted in the creation of</w:t>
      </w:r>
      <w:r w:rsidR="00E83471" w:rsidRPr="00451503">
        <w:t xml:space="preserve"> </w:t>
      </w:r>
      <w:r w:rsidR="00E15435" w:rsidRPr="00451503">
        <w:t>state-of-the-art</w:t>
      </w:r>
      <w:r w:rsidRPr="00451503">
        <w:t xml:space="preserve"> ideas</w:t>
      </w:r>
      <w:r w:rsidR="00E83471">
        <w:t>.</w:t>
      </w:r>
      <w:r w:rsidR="00766D54">
        <w:rPr>
          <w:rStyle w:val="FootnoteReference"/>
        </w:rPr>
        <w:footnoteReference w:id="9"/>
      </w:r>
      <w:r w:rsidRPr="00451503">
        <w:t xml:space="preserve"> More than 133,000 vulnerable people (54</w:t>
      </w:r>
      <w:r w:rsidR="00E83471">
        <w:t xml:space="preserve"> per cent</w:t>
      </w:r>
      <w:r w:rsidRPr="00451503">
        <w:t xml:space="preserve"> women) </w:t>
      </w:r>
      <w:r w:rsidR="00E83471">
        <w:t>could</w:t>
      </w:r>
      <w:r w:rsidRPr="00451503">
        <w:t xml:space="preserve"> access secure plots of land</w:t>
      </w:r>
      <w:r w:rsidR="00E15435">
        <w:t xml:space="preserve">, </w:t>
      </w:r>
      <w:r w:rsidRPr="00451503">
        <w:t>irrigated perimeters, seeds, agricultural inputs</w:t>
      </w:r>
      <w:r w:rsidR="00E83471">
        <w:t xml:space="preserve">, and </w:t>
      </w:r>
      <w:r w:rsidRPr="00451503">
        <w:t xml:space="preserve">pumps, </w:t>
      </w:r>
      <w:r w:rsidR="00E83471">
        <w:t>which</w:t>
      </w:r>
      <w:r w:rsidR="00E83471" w:rsidRPr="00451503">
        <w:t xml:space="preserve"> </w:t>
      </w:r>
      <w:r w:rsidRPr="00451503">
        <w:t>improv</w:t>
      </w:r>
      <w:r w:rsidR="00E83471">
        <w:t>ed</w:t>
      </w:r>
      <w:r w:rsidRPr="00451503">
        <w:t xml:space="preserve"> their livelihoods</w:t>
      </w:r>
      <w:r w:rsidR="00E83471">
        <w:t>.</w:t>
      </w:r>
      <w:r w:rsidR="00766D54">
        <w:rPr>
          <w:rStyle w:val="FootnoteReference"/>
        </w:rPr>
        <w:footnoteReference w:id="10"/>
      </w:r>
      <w:r w:rsidRPr="00451503">
        <w:t xml:space="preserve"> </w:t>
      </w:r>
      <w:r w:rsidR="00E83471">
        <w:t>The drawback was reducing</w:t>
      </w:r>
      <w:r w:rsidRPr="00451503">
        <w:t xml:space="preserve"> inequalities and exclusion were not systematically integrated into the programme.</w:t>
      </w:r>
      <w:r w:rsidR="00224A2B" w:rsidRPr="00451503">
        <w:t xml:space="preserve"> </w:t>
      </w:r>
      <w:r w:rsidR="00272C29" w:rsidRPr="00451503">
        <w:t>The</w:t>
      </w:r>
      <w:r w:rsidR="00224A2B" w:rsidRPr="00451503">
        <w:t xml:space="preserve"> new</w:t>
      </w:r>
      <w:r w:rsidR="00272C29" w:rsidRPr="00451503">
        <w:t xml:space="preserve"> programme</w:t>
      </w:r>
      <w:r w:rsidR="00224A2B" w:rsidRPr="00451503">
        <w:t xml:space="preserve"> will continue </w:t>
      </w:r>
      <w:r w:rsidR="00E83471">
        <w:t>to provide direct support, and</w:t>
      </w:r>
      <w:r w:rsidR="00224A2B" w:rsidRPr="00451503">
        <w:t xml:space="preserve"> ensure that inequalities and exclusion are integrated </w:t>
      </w:r>
      <w:r w:rsidR="00F3336D">
        <w:t>for better</w:t>
      </w:r>
      <w:r w:rsidR="00272C29" w:rsidRPr="00451503">
        <w:t xml:space="preserve"> access to decent and sustainable employment opportunities for marginalized groups, including young people and women in urban</w:t>
      </w:r>
      <w:r w:rsidR="00E83471">
        <w:t xml:space="preserve"> </w:t>
      </w:r>
      <w:r w:rsidR="00272C29" w:rsidRPr="00451503">
        <w:t xml:space="preserve">and rural areas. Strategies </w:t>
      </w:r>
      <w:r w:rsidR="00E83471">
        <w:t xml:space="preserve">include advocating for </w:t>
      </w:r>
      <w:r w:rsidR="00272C29" w:rsidRPr="00451503">
        <w:t xml:space="preserve">adequate employment policies </w:t>
      </w:r>
      <w:r w:rsidR="00E83471">
        <w:t>that</w:t>
      </w:r>
      <w:r w:rsidR="00E83471" w:rsidRPr="00451503">
        <w:t xml:space="preserve"> </w:t>
      </w:r>
      <w:r w:rsidR="00E15435">
        <w:t>make</w:t>
      </w:r>
      <w:r w:rsidR="00272C29" w:rsidRPr="00451503">
        <w:t xml:space="preserve"> labo</w:t>
      </w:r>
      <w:r w:rsidR="00E83471">
        <w:t>u</w:t>
      </w:r>
      <w:r w:rsidR="00272C29" w:rsidRPr="00451503">
        <w:t xml:space="preserve">r market and financial services accessible; </w:t>
      </w:r>
      <w:r w:rsidR="00E83471">
        <w:t>engag</w:t>
      </w:r>
      <w:r w:rsidR="008C4C1F">
        <w:t>e</w:t>
      </w:r>
      <w:r w:rsidR="00570AE6" w:rsidRPr="00570AE6">
        <w:t xml:space="preserve"> the private sector in the area of vocational training</w:t>
      </w:r>
      <w:r w:rsidR="00570AE6">
        <w:t>;</w:t>
      </w:r>
      <w:r w:rsidR="00570AE6" w:rsidRPr="00570AE6">
        <w:t xml:space="preserve"> </w:t>
      </w:r>
      <w:r w:rsidR="00E83471">
        <w:t>strengthen</w:t>
      </w:r>
      <w:r w:rsidR="00E83471" w:rsidRPr="00451503">
        <w:t xml:space="preserve"> </w:t>
      </w:r>
      <w:r w:rsidR="00272C29" w:rsidRPr="00451503">
        <w:t>public-private partnerships</w:t>
      </w:r>
      <w:r w:rsidR="00E83471">
        <w:t>,</w:t>
      </w:r>
      <w:r w:rsidR="00272C29" w:rsidRPr="00451503">
        <w:t xml:space="preserve"> and </w:t>
      </w:r>
      <w:r w:rsidR="00E83471">
        <w:t>improv</w:t>
      </w:r>
      <w:r w:rsidR="008C4C1F">
        <w:t>e</w:t>
      </w:r>
      <w:r w:rsidR="00272C29" w:rsidRPr="00451503">
        <w:t xml:space="preserve"> access to income-generating activities.</w:t>
      </w:r>
    </w:p>
    <w:p w:rsidR="00784255" w:rsidRPr="00451503" w:rsidRDefault="00784255" w:rsidP="003F00AC">
      <w:pPr>
        <w:numPr>
          <w:ilvl w:val="0"/>
          <w:numId w:val="9"/>
        </w:numPr>
        <w:tabs>
          <w:tab w:val="left" w:pos="1080"/>
        </w:tabs>
        <w:spacing w:after="120"/>
        <w:ind w:right="680" w:firstLine="0"/>
        <w:contextualSpacing/>
        <w:jc w:val="both"/>
      </w:pPr>
      <w:r w:rsidRPr="00451503">
        <w:t>UNDP will</w:t>
      </w:r>
      <w:r w:rsidR="00111F8B" w:rsidRPr="00451503">
        <w:t xml:space="preserve"> prioritize and</w:t>
      </w:r>
      <w:r w:rsidRPr="00451503">
        <w:t xml:space="preserve"> support the government </w:t>
      </w:r>
      <w:r w:rsidR="00E83471">
        <w:t>by building the</w:t>
      </w:r>
      <w:r w:rsidR="00E83471" w:rsidRPr="00451503">
        <w:t xml:space="preserve"> </w:t>
      </w:r>
      <w:r w:rsidRPr="00451503">
        <w:t>capacity of the M</w:t>
      </w:r>
      <w:r w:rsidR="004932B9" w:rsidRPr="00451503">
        <w:t>inistry of Economy</w:t>
      </w:r>
      <w:r w:rsidR="00D62C8F" w:rsidRPr="00451503">
        <w:t xml:space="preserve"> and Finances </w:t>
      </w:r>
      <w:r w:rsidR="004932B9" w:rsidRPr="00451503">
        <w:t>(M</w:t>
      </w:r>
      <w:r w:rsidRPr="00451503">
        <w:t>EF</w:t>
      </w:r>
      <w:r w:rsidR="004932B9" w:rsidRPr="00451503">
        <w:t>)</w:t>
      </w:r>
      <w:r w:rsidRPr="00451503">
        <w:t>, sectoral departments</w:t>
      </w:r>
      <w:r w:rsidR="00E83471">
        <w:t>,</w:t>
      </w:r>
      <w:r w:rsidRPr="00451503">
        <w:t xml:space="preserve"> and statistical system entities, at </w:t>
      </w:r>
      <w:r w:rsidR="0064742B" w:rsidRPr="00451503">
        <w:t>the central and regional levels</w:t>
      </w:r>
      <w:r w:rsidR="00E83471">
        <w:t>,</w:t>
      </w:r>
      <w:r w:rsidR="00EF0DAC" w:rsidRPr="00451503">
        <w:t xml:space="preserve"> as well as </w:t>
      </w:r>
      <w:r w:rsidR="006D4F18" w:rsidRPr="00451503">
        <w:t>support</w:t>
      </w:r>
      <w:r w:rsidR="00EF0DAC" w:rsidRPr="00451503">
        <w:t>ing</w:t>
      </w:r>
      <w:r w:rsidR="006D4F18" w:rsidRPr="00451503">
        <w:t xml:space="preserve"> the adoption of gender responsive policies </w:t>
      </w:r>
      <w:r w:rsidR="00EF0DAC" w:rsidRPr="00451503">
        <w:t xml:space="preserve">and </w:t>
      </w:r>
      <w:r w:rsidR="006D4F18" w:rsidRPr="00451503">
        <w:t>building national capacities to mainstream gender in</w:t>
      </w:r>
      <w:r w:rsidR="0069242D" w:rsidRPr="00451503">
        <w:t>to</w:t>
      </w:r>
      <w:r w:rsidR="006D4F18" w:rsidRPr="00451503">
        <w:t xml:space="preserve"> </w:t>
      </w:r>
      <w:r w:rsidR="00E83471">
        <w:t>various</w:t>
      </w:r>
      <w:r w:rsidR="0069242D" w:rsidRPr="00451503">
        <w:t xml:space="preserve"> sectors. </w:t>
      </w:r>
      <w:r w:rsidR="00E83471">
        <w:t>Because c</w:t>
      </w:r>
      <w:r w:rsidR="004D53A2">
        <w:t xml:space="preserve">apacity development is an important component of the programme </w:t>
      </w:r>
      <w:r w:rsidR="00E83471">
        <w:t>i</w:t>
      </w:r>
      <w:r w:rsidR="004D53A2">
        <w:t>t will be implemented in l</w:t>
      </w:r>
      <w:r w:rsidR="004D53A2" w:rsidRPr="004D53A2">
        <w:t xml:space="preserve">ine with </w:t>
      </w:r>
      <w:r w:rsidR="00E83471">
        <w:t>the United Nations Development Group (</w:t>
      </w:r>
      <w:r w:rsidR="004D53A2">
        <w:t>UNDG</w:t>
      </w:r>
      <w:r w:rsidR="00E83471">
        <w:t>)</w:t>
      </w:r>
      <w:r w:rsidR="004D53A2">
        <w:t xml:space="preserve"> </w:t>
      </w:r>
      <w:r w:rsidR="004D53A2" w:rsidRPr="008F38B0">
        <w:rPr>
          <w:i/>
        </w:rPr>
        <w:t>Capacity Development</w:t>
      </w:r>
      <w:r w:rsidR="00E83471" w:rsidRPr="008F38B0">
        <w:rPr>
          <w:i/>
        </w:rPr>
        <w:t xml:space="preserve">: </w:t>
      </w:r>
      <w:r w:rsidR="004D53A2" w:rsidRPr="008F38B0">
        <w:rPr>
          <w:i/>
        </w:rPr>
        <w:t>UNDAF Companion Guide</w:t>
      </w:r>
      <w:r w:rsidR="004D53A2">
        <w:t xml:space="preserve">. </w:t>
      </w:r>
      <w:r w:rsidR="00224A2B" w:rsidRPr="00451503">
        <w:t xml:space="preserve">To promote employment of </w:t>
      </w:r>
      <w:r w:rsidR="00E83471">
        <w:t>specific</w:t>
      </w:r>
      <w:r w:rsidR="00E83471" w:rsidRPr="00451503">
        <w:t xml:space="preserve"> </w:t>
      </w:r>
      <w:r w:rsidR="00E83471">
        <w:t>populations under</w:t>
      </w:r>
      <w:r w:rsidR="00E83471" w:rsidRPr="00451503">
        <w:t xml:space="preserve"> </w:t>
      </w:r>
      <w:r w:rsidR="00224A2B" w:rsidRPr="00451503">
        <w:t>the area of social protection,</w:t>
      </w:r>
      <w:r w:rsidR="00766D54">
        <w:t xml:space="preserve"> UNDP</w:t>
      </w:r>
      <w:r w:rsidR="00224A2B" w:rsidRPr="00451503">
        <w:t xml:space="preserve"> will </w:t>
      </w:r>
      <w:r w:rsidR="007306FC">
        <w:t>set</w:t>
      </w:r>
      <w:r w:rsidR="007306FC" w:rsidRPr="00451503">
        <w:t xml:space="preserve"> </w:t>
      </w:r>
      <w:r w:rsidR="00224A2B" w:rsidRPr="00451503">
        <w:t xml:space="preserve">up a national observatory and </w:t>
      </w:r>
      <w:r w:rsidR="007306FC">
        <w:t xml:space="preserve">strengthen </w:t>
      </w:r>
      <w:r w:rsidR="00224A2B" w:rsidRPr="00451503">
        <w:t>the capacities of the national statistical system</w:t>
      </w:r>
      <w:r w:rsidR="00360683" w:rsidRPr="00451503">
        <w:t>.</w:t>
      </w:r>
      <w:r w:rsidR="00224A2B" w:rsidRPr="00451503">
        <w:t xml:space="preserve"> </w:t>
      </w:r>
      <w:r w:rsidR="008C4C1F">
        <w:t xml:space="preserve">This </w:t>
      </w:r>
      <w:r w:rsidR="00111F8B" w:rsidRPr="00451503">
        <w:t>will help address and unlock the quali</w:t>
      </w:r>
      <w:r w:rsidR="00D62C8F" w:rsidRPr="00451503">
        <w:t>ta</w:t>
      </w:r>
      <w:r w:rsidR="00111F8B" w:rsidRPr="00451503">
        <w:t>tive data bottleneck</w:t>
      </w:r>
      <w:r w:rsidR="007306FC">
        <w:t>,</w:t>
      </w:r>
      <w:r w:rsidR="00111F8B" w:rsidRPr="00451503">
        <w:t xml:space="preserve"> which</w:t>
      </w:r>
      <w:r w:rsidRPr="00451503">
        <w:t xml:space="preserve"> will allow </w:t>
      </w:r>
      <w:r w:rsidR="007306FC">
        <w:t xml:space="preserve">for </w:t>
      </w:r>
      <w:r w:rsidRPr="00451503">
        <w:t>the implementation of nationally prioritized SDGs, at national and local levels</w:t>
      </w:r>
      <w:r w:rsidR="00EF0DAC" w:rsidRPr="00451503">
        <w:t>.</w:t>
      </w:r>
    </w:p>
    <w:p w:rsidR="00763034" w:rsidRPr="000B6965" w:rsidRDefault="00763034" w:rsidP="003F00AC">
      <w:pPr>
        <w:tabs>
          <w:tab w:val="left" w:pos="1080"/>
        </w:tabs>
        <w:spacing w:after="120"/>
        <w:ind w:right="680"/>
        <w:contextualSpacing/>
        <w:jc w:val="both"/>
        <w:rPr>
          <w:sz w:val="12"/>
          <w:szCs w:val="12"/>
          <w:lang w:val="en-GB"/>
        </w:rPr>
      </w:pPr>
    </w:p>
    <w:p w:rsidR="00763034" w:rsidRDefault="008C4C1F" w:rsidP="00E15435">
      <w:pPr>
        <w:numPr>
          <w:ilvl w:val="0"/>
          <w:numId w:val="9"/>
        </w:numPr>
        <w:tabs>
          <w:tab w:val="left" w:pos="1080"/>
        </w:tabs>
        <w:ind w:right="680" w:hanging="11"/>
        <w:contextualSpacing/>
        <w:jc w:val="both"/>
      </w:pPr>
      <w:r>
        <w:t>C</w:t>
      </w:r>
      <w:r w:rsidR="00763034" w:rsidRPr="00451503">
        <w:t>onditions for achieving inclusive growth will be created through effective development cooperation between UNDP and other development partners</w:t>
      </w:r>
      <w:r w:rsidR="00C54725">
        <w:t xml:space="preserve">: </w:t>
      </w:r>
      <w:r w:rsidR="008E6BB5">
        <w:t xml:space="preserve">organizations in the </w:t>
      </w:r>
      <w:r w:rsidR="00763034" w:rsidRPr="00451503">
        <w:t>U</w:t>
      </w:r>
      <w:r w:rsidR="000634F6">
        <w:t xml:space="preserve">nited </w:t>
      </w:r>
      <w:r w:rsidR="00763034" w:rsidRPr="00451503">
        <w:t>N</w:t>
      </w:r>
      <w:r w:rsidR="000634F6">
        <w:t xml:space="preserve">ations </w:t>
      </w:r>
      <w:r w:rsidR="00763034" w:rsidRPr="00451503">
        <w:t>S</w:t>
      </w:r>
      <w:r w:rsidR="000634F6">
        <w:t>yste</w:t>
      </w:r>
      <w:r w:rsidR="006E077F">
        <w:t>m</w:t>
      </w:r>
      <w:r w:rsidR="00763034" w:rsidRPr="00451503">
        <w:t xml:space="preserve">, </w:t>
      </w:r>
      <w:r w:rsidR="008E6BB5">
        <w:t xml:space="preserve">the </w:t>
      </w:r>
      <w:r w:rsidR="00763034" w:rsidRPr="00451503">
        <w:t>Af</w:t>
      </w:r>
      <w:r w:rsidR="000634F6">
        <w:t xml:space="preserve">rican </w:t>
      </w:r>
      <w:r w:rsidR="00D94531">
        <w:t>D</w:t>
      </w:r>
      <w:r w:rsidR="000634F6">
        <w:t xml:space="preserve">evelopment </w:t>
      </w:r>
      <w:r w:rsidR="00D94531">
        <w:t>B</w:t>
      </w:r>
      <w:r w:rsidR="000634F6">
        <w:t>ank</w:t>
      </w:r>
      <w:r w:rsidR="00D94531">
        <w:t xml:space="preserve">, </w:t>
      </w:r>
      <w:r w:rsidR="00763034" w:rsidRPr="00451503">
        <w:t>World Bank, E</w:t>
      </w:r>
      <w:r w:rsidR="007306FC">
        <w:t xml:space="preserve">uropean </w:t>
      </w:r>
      <w:r w:rsidR="00763034" w:rsidRPr="00451503">
        <w:t>U</w:t>
      </w:r>
      <w:r w:rsidR="007306FC">
        <w:t>nion</w:t>
      </w:r>
      <w:r w:rsidR="00763034" w:rsidRPr="00451503">
        <w:t xml:space="preserve">, </w:t>
      </w:r>
      <w:r w:rsidR="00C54725">
        <w:rPr>
          <w:rFonts w:ascii="Times" w:hAnsi="Times" w:cs="Times"/>
        </w:rPr>
        <w:t>Deutsche Gesellschaft für Internationale Zusammenarbeit</w:t>
      </w:r>
      <w:r w:rsidR="00CA6C83">
        <w:rPr>
          <w:rFonts w:ascii="Times" w:hAnsi="Times" w:cs="Times"/>
        </w:rPr>
        <w:t xml:space="preserve"> (GIZ)</w:t>
      </w:r>
      <w:r w:rsidR="00EC05ED">
        <w:t xml:space="preserve">, </w:t>
      </w:r>
      <w:r w:rsidR="000634F6">
        <w:t xml:space="preserve">the </w:t>
      </w:r>
      <w:r w:rsidR="000634F6" w:rsidRPr="000634F6">
        <w:t xml:space="preserve">Federal Ministry for Economic Cooperation and </w:t>
      </w:r>
      <w:r w:rsidR="009E5794" w:rsidRPr="000634F6">
        <w:t>Development</w:t>
      </w:r>
      <w:r w:rsidR="008F38B0">
        <w:t xml:space="preserve"> (BMZ)</w:t>
      </w:r>
      <w:r w:rsidR="008E6BB5">
        <w:t>,</w:t>
      </w:r>
      <w:r w:rsidR="009E5794" w:rsidRPr="000634F6">
        <w:t xml:space="preserve"> </w:t>
      </w:r>
      <w:r w:rsidR="009E5794" w:rsidRPr="00EC05ED">
        <w:t>and</w:t>
      </w:r>
      <w:r w:rsidR="00EC05ED" w:rsidRPr="00EC05ED">
        <w:t xml:space="preserve"> the German Development Bank</w:t>
      </w:r>
      <w:r w:rsidR="00763034" w:rsidRPr="00451503">
        <w:t xml:space="preserve">. This includes </w:t>
      </w:r>
      <w:r w:rsidR="002B5A73">
        <w:t>coordinating which</w:t>
      </w:r>
      <w:r w:rsidR="00763034" w:rsidRPr="00451503">
        <w:t xml:space="preserve"> planning, monitoring and evaluation tools </w:t>
      </w:r>
      <w:r w:rsidR="002B5A73">
        <w:t xml:space="preserve">are used </w:t>
      </w:r>
      <w:r w:rsidR="00763034" w:rsidRPr="00451503">
        <w:t>for SCAPP, SDGs</w:t>
      </w:r>
      <w:r w:rsidR="008E6BB5">
        <w:t>,</w:t>
      </w:r>
      <w:r w:rsidR="00763034" w:rsidRPr="00451503">
        <w:t xml:space="preserve"> and sector strategies</w:t>
      </w:r>
      <w:r w:rsidR="002B5A73">
        <w:t xml:space="preserve">, </w:t>
      </w:r>
      <w:r w:rsidR="00763034" w:rsidRPr="00451503">
        <w:t>a</w:t>
      </w:r>
      <w:r w:rsidR="00D94531">
        <w:t>nd</w:t>
      </w:r>
      <w:r w:rsidR="00763034" w:rsidRPr="00451503">
        <w:t xml:space="preserve"> </w:t>
      </w:r>
      <w:r w:rsidR="008E6BB5">
        <w:t xml:space="preserve">that build </w:t>
      </w:r>
      <w:r w:rsidR="002B5A73">
        <w:t xml:space="preserve">the </w:t>
      </w:r>
      <w:r w:rsidR="00763034" w:rsidRPr="00451503">
        <w:t>capacity of national actors in charge of formulat</w:t>
      </w:r>
      <w:r w:rsidR="002B5A73">
        <w:t>ing</w:t>
      </w:r>
      <w:r w:rsidR="00763034" w:rsidRPr="00451503">
        <w:t xml:space="preserve"> and implement</w:t>
      </w:r>
      <w:r w:rsidR="002B5A73">
        <w:t>ing</w:t>
      </w:r>
      <w:r w:rsidR="00763034" w:rsidRPr="00451503">
        <w:t xml:space="preserve"> development plans and the statistical system. UNDP will work closely with civil society, local communities and academic</w:t>
      </w:r>
      <w:r w:rsidR="002B5A73">
        <w:t>s</w:t>
      </w:r>
      <w:r w:rsidR="00763034" w:rsidRPr="00451503">
        <w:t xml:space="preserve">. The private sector will be mobilized to better </w:t>
      </w:r>
      <w:r w:rsidR="008E6BB5" w:rsidRPr="00451503">
        <w:t>fulfill</w:t>
      </w:r>
      <w:r w:rsidR="00763034" w:rsidRPr="00451503">
        <w:t xml:space="preserve"> its social responsibilit</w:t>
      </w:r>
      <w:r w:rsidR="002B5A73">
        <w:t>ies</w:t>
      </w:r>
      <w:r w:rsidR="00763034" w:rsidRPr="00451503">
        <w:t>.</w:t>
      </w:r>
      <w:r w:rsidR="00C54725">
        <w:t xml:space="preserve"> </w:t>
      </w:r>
    </w:p>
    <w:p w:rsidR="000B6965" w:rsidRPr="003F00AC" w:rsidRDefault="000B6965" w:rsidP="000B6965">
      <w:pPr>
        <w:pStyle w:val="ListParagraph"/>
        <w:rPr>
          <w:sz w:val="12"/>
          <w:szCs w:val="12"/>
        </w:rPr>
      </w:pPr>
    </w:p>
    <w:p w:rsidR="000202C1" w:rsidRPr="002B6748" w:rsidRDefault="000202C1" w:rsidP="000202C1">
      <w:pPr>
        <w:spacing w:after="120"/>
        <w:ind w:left="709" w:right="680"/>
        <w:contextualSpacing/>
        <w:jc w:val="both"/>
        <w:rPr>
          <w:b/>
        </w:rPr>
      </w:pPr>
      <w:r w:rsidRPr="002B6748">
        <w:rPr>
          <w:b/>
        </w:rPr>
        <w:t>Improving governance, institutional capacity and the fight against radicalization and security threats</w:t>
      </w:r>
    </w:p>
    <w:p w:rsidR="00763034" w:rsidRPr="002B6748" w:rsidRDefault="00763034" w:rsidP="00F64295">
      <w:pPr>
        <w:spacing w:after="120"/>
        <w:ind w:right="680"/>
        <w:contextualSpacing/>
        <w:jc w:val="both"/>
        <w:rPr>
          <w:sz w:val="12"/>
          <w:szCs w:val="12"/>
          <w:lang w:eastAsia="fr-FR"/>
        </w:rPr>
      </w:pPr>
    </w:p>
    <w:p w:rsidR="00F85352" w:rsidRPr="00451503" w:rsidRDefault="00272C29" w:rsidP="003F00AC">
      <w:pPr>
        <w:numPr>
          <w:ilvl w:val="0"/>
          <w:numId w:val="9"/>
        </w:numPr>
        <w:tabs>
          <w:tab w:val="left" w:pos="1080"/>
        </w:tabs>
        <w:spacing w:after="120"/>
        <w:ind w:right="680" w:firstLine="0"/>
        <w:jc w:val="both"/>
        <w:rPr>
          <w:lang w:val="en-GB"/>
        </w:rPr>
      </w:pPr>
      <w:r w:rsidRPr="00451503">
        <w:rPr>
          <w:rFonts w:eastAsia="Calibri"/>
        </w:rPr>
        <w:t xml:space="preserve">In the previous </w:t>
      </w:r>
      <w:r w:rsidR="009F15BA">
        <w:rPr>
          <w:rFonts w:eastAsia="Calibri"/>
        </w:rPr>
        <w:t xml:space="preserve">programme, the </w:t>
      </w:r>
      <w:r w:rsidR="00D94531" w:rsidRPr="00451503">
        <w:rPr>
          <w:rFonts w:eastAsia="Calibri"/>
        </w:rPr>
        <w:t xml:space="preserve">local development </w:t>
      </w:r>
      <w:r w:rsidR="009F15BA" w:rsidRPr="00451503">
        <w:rPr>
          <w:rFonts w:eastAsia="Calibri"/>
        </w:rPr>
        <w:t xml:space="preserve">capacities </w:t>
      </w:r>
      <w:r w:rsidR="009F15BA">
        <w:rPr>
          <w:rFonts w:eastAsia="Calibri"/>
        </w:rPr>
        <w:t xml:space="preserve">of </w:t>
      </w:r>
      <w:r w:rsidRPr="00451503">
        <w:rPr>
          <w:rFonts w:eastAsia="Calibri"/>
        </w:rPr>
        <w:t xml:space="preserve">regional and national institutions </w:t>
      </w:r>
      <w:r w:rsidR="009F15BA">
        <w:rPr>
          <w:rFonts w:eastAsia="Calibri"/>
        </w:rPr>
        <w:t xml:space="preserve">were </w:t>
      </w:r>
      <w:r w:rsidRPr="00451503">
        <w:rPr>
          <w:rFonts w:eastAsia="Calibri"/>
        </w:rPr>
        <w:t>improved</w:t>
      </w:r>
      <w:r w:rsidR="002B5A73">
        <w:rPr>
          <w:rFonts w:eastAsia="Calibri"/>
        </w:rPr>
        <w:t xml:space="preserve"> as f</w:t>
      </w:r>
      <w:r w:rsidRPr="00451503">
        <w:rPr>
          <w:rFonts w:eastAsia="Calibri"/>
        </w:rPr>
        <w:t>rameworks for</w:t>
      </w:r>
      <w:r w:rsidR="003545A8">
        <w:rPr>
          <w:rFonts w:eastAsia="Calibri"/>
        </w:rPr>
        <w:t xml:space="preserve"> the coordination of</w:t>
      </w:r>
      <w:r w:rsidRPr="00451503">
        <w:rPr>
          <w:rFonts w:eastAsia="Calibri"/>
        </w:rPr>
        <w:t xml:space="preserve"> </w:t>
      </w:r>
      <w:r w:rsidR="00D94531" w:rsidRPr="00451503">
        <w:rPr>
          <w:rFonts w:eastAsia="Calibri"/>
        </w:rPr>
        <w:t xml:space="preserve">local development </w:t>
      </w:r>
      <w:r w:rsidR="009F15BA">
        <w:rPr>
          <w:rFonts w:eastAsia="Calibri"/>
        </w:rPr>
        <w:t xml:space="preserve">were </w:t>
      </w:r>
      <w:r w:rsidRPr="00451503">
        <w:rPr>
          <w:rFonts w:eastAsia="Calibri"/>
        </w:rPr>
        <w:t>established in four regions (Brakna, Gorgol, Assaba and Guidimakha)</w:t>
      </w:r>
      <w:r w:rsidR="003545A8">
        <w:rPr>
          <w:rFonts w:eastAsia="Calibri"/>
        </w:rPr>
        <w:t xml:space="preserve">, </w:t>
      </w:r>
      <w:r w:rsidRPr="00451503">
        <w:rPr>
          <w:rFonts w:eastAsia="Calibri"/>
        </w:rPr>
        <w:t>fill</w:t>
      </w:r>
      <w:r w:rsidR="003545A8">
        <w:rPr>
          <w:rFonts w:eastAsia="Calibri"/>
        </w:rPr>
        <w:t>ing</w:t>
      </w:r>
      <w:r w:rsidRPr="00451503">
        <w:rPr>
          <w:rFonts w:eastAsia="Calibri"/>
        </w:rPr>
        <w:t xml:space="preserve"> gaps in planning, coordination and monitoring. </w:t>
      </w:r>
      <w:r w:rsidR="002B5A73">
        <w:rPr>
          <w:rFonts w:eastAsia="Calibri"/>
        </w:rPr>
        <w:t>Despite this achievement, t</w:t>
      </w:r>
      <w:r w:rsidRPr="00451503">
        <w:rPr>
          <w:rFonts w:eastAsia="Calibri"/>
        </w:rPr>
        <w:t xml:space="preserve">he framework for local economic </w:t>
      </w:r>
      <w:r w:rsidRPr="00451503">
        <w:rPr>
          <w:rFonts w:eastAsia="Calibri"/>
        </w:rPr>
        <w:lastRenderedPageBreak/>
        <w:t xml:space="preserve">development </w:t>
      </w:r>
      <w:r w:rsidR="002B5A73">
        <w:rPr>
          <w:rFonts w:eastAsia="Calibri"/>
        </w:rPr>
        <w:t>is still</w:t>
      </w:r>
      <w:r w:rsidR="002B5A73" w:rsidRPr="00451503">
        <w:rPr>
          <w:rFonts w:eastAsia="Calibri"/>
        </w:rPr>
        <w:t xml:space="preserve"> </w:t>
      </w:r>
      <w:r w:rsidRPr="00451503">
        <w:rPr>
          <w:rFonts w:eastAsia="Calibri"/>
        </w:rPr>
        <w:t xml:space="preserve">weak and unstructured. At the municipal level, there are no territorial development plans </w:t>
      </w:r>
      <w:r w:rsidR="002B5A73">
        <w:rPr>
          <w:rFonts w:eastAsia="Calibri"/>
        </w:rPr>
        <w:t>to</w:t>
      </w:r>
      <w:r w:rsidRPr="00451503">
        <w:rPr>
          <w:rFonts w:eastAsia="Calibri"/>
        </w:rPr>
        <w:t xml:space="preserve"> guide and rationalize investments in economic </w:t>
      </w:r>
      <w:r w:rsidR="00926A4C">
        <w:rPr>
          <w:rFonts w:eastAsia="Calibri"/>
        </w:rPr>
        <w:t>infrastructure</w:t>
      </w:r>
      <w:r w:rsidR="002B5A73">
        <w:rPr>
          <w:rFonts w:eastAsia="Calibri"/>
        </w:rPr>
        <w:t>.</w:t>
      </w:r>
      <w:r w:rsidR="00766D54">
        <w:rPr>
          <w:rStyle w:val="FootnoteReference"/>
          <w:rFonts w:eastAsia="Calibri"/>
        </w:rPr>
        <w:footnoteReference w:id="11"/>
      </w:r>
      <w:r w:rsidR="00F85352" w:rsidRPr="00451503">
        <w:rPr>
          <w:rFonts w:eastAsia="Calibri"/>
          <w:lang w:val="en-GB"/>
        </w:rPr>
        <w:t xml:space="preserve"> </w:t>
      </w:r>
      <w:r w:rsidR="003545A8">
        <w:rPr>
          <w:rFonts w:eastAsia="Calibri"/>
          <w:lang w:val="en-GB"/>
        </w:rPr>
        <w:t xml:space="preserve">In addition, </w:t>
      </w:r>
      <w:r w:rsidR="00F85352" w:rsidRPr="00451503">
        <w:rPr>
          <w:rFonts w:eastAsia="Calibri"/>
          <w:lang w:val="en-GB"/>
        </w:rPr>
        <w:t>UNDP contributed to</w:t>
      </w:r>
      <w:r w:rsidR="002B5A73">
        <w:rPr>
          <w:rFonts w:eastAsia="Calibri"/>
          <w:lang w:val="en-GB"/>
        </w:rPr>
        <w:t xml:space="preserve"> building</w:t>
      </w:r>
      <w:r w:rsidR="00F85352" w:rsidRPr="00451503">
        <w:rPr>
          <w:rFonts w:eastAsia="Calibri"/>
          <w:lang w:val="en-GB"/>
        </w:rPr>
        <w:t xml:space="preserve"> national capacity to fight corruption</w:t>
      </w:r>
      <w:r w:rsidR="003545A8">
        <w:rPr>
          <w:rFonts w:eastAsia="Calibri"/>
          <w:lang w:val="en-GB"/>
        </w:rPr>
        <w:t xml:space="preserve"> and a</w:t>
      </w:r>
      <w:r w:rsidR="002B5A73">
        <w:rPr>
          <w:rFonts w:eastAsia="Calibri"/>
          <w:lang w:val="en-GB"/>
        </w:rPr>
        <w:t>lthough a</w:t>
      </w:r>
      <w:r w:rsidR="00F85352" w:rsidRPr="00451503">
        <w:rPr>
          <w:rFonts w:eastAsia="Calibri"/>
          <w:lang w:val="en-GB"/>
        </w:rPr>
        <w:t xml:space="preserve"> national strategy</w:t>
      </w:r>
      <w:r w:rsidR="002B5A73">
        <w:rPr>
          <w:rFonts w:eastAsia="Calibri"/>
          <w:lang w:val="en-GB"/>
        </w:rPr>
        <w:t xml:space="preserve"> and corruption law</w:t>
      </w:r>
      <w:r w:rsidR="00F85352" w:rsidRPr="00451503">
        <w:rPr>
          <w:rFonts w:eastAsia="Calibri"/>
          <w:lang w:val="en-GB"/>
        </w:rPr>
        <w:t xml:space="preserve"> </w:t>
      </w:r>
      <w:r w:rsidR="002B5A73">
        <w:rPr>
          <w:rFonts w:eastAsia="Calibri"/>
          <w:lang w:val="en-GB"/>
        </w:rPr>
        <w:t>have</w:t>
      </w:r>
      <w:r w:rsidR="002B5A73" w:rsidRPr="00451503">
        <w:rPr>
          <w:rFonts w:eastAsia="Calibri"/>
          <w:lang w:val="en-GB"/>
        </w:rPr>
        <w:t xml:space="preserve"> </w:t>
      </w:r>
      <w:r w:rsidR="00F85352" w:rsidRPr="00451503">
        <w:rPr>
          <w:rFonts w:eastAsia="Calibri"/>
          <w:lang w:val="en-GB"/>
        </w:rPr>
        <w:t>been adopted</w:t>
      </w:r>
      <w:r w:rsidR="002B5A73">
        <w:rPr>
          <w:rFonts w:eastAsia="Calibri"/>
          <w:lang w:val="en-GB"/>
        </w:rPr>
        <w:t>,</w:t>
      </w:r>
      <w:r w:rsidR="00F85352" w:rsidRPr="00451503">
        <w:rPr>
          <w:rFonts w:eastAsia="Calibri"/>
          <w:lang w:val="en-GB"/>
        </w:rPr>
        <w:t xml:space="preserve"> </w:t>
      </w:r>
      <w:r w:rsidR="002B5A73">
        <w:rPr>
          <w:rFonts w:eastAsia="Calibri"/>
          <w:lang w:val="en-GB"/>
        </w:rPr>
        <w:t xml:space="preserve">and </w:t>
      </w:r>
      <w:r w:rsidR="00F85352" w:rsidRPr="00451503">
        <w:rPr>
          <w:rFonts w:eastAsia="Calibri"/>
          <w:lang w:val="en-GB"/>
        </w:rPr>
        <w:t>specialized courts</w:t>
      </w:r>
      <w:r w:rsidR="002B5A73">
        <w:rPr>
          <w:rFonts w:eastAsia="Calibri"/>
          <w:lang w:val="en-GB"/>
        </w:rPr>
        <w:t xml:space="preserve"> created</w:t>
      </w:r>
      <w:r w:rsidR="00F85352" w:rsidRPr="00451503">
        <w:rPr>
          <w:rFonts w:eastAsia="Calibri"/>
          <w:lang w:val="en-GB"/>
        </w:rPr>
        <w:t xml:space="preserve">, more efforts are </w:t>
      </w:r>
      <w:r w:rsidR="002B5A73">
        <w:rPr>
          <w:rFonts w:eastAsia="Calibri"/>
          <w:lang w:val="en-GB"/>
        </w:rPr>
        <w:t>required</w:t>
      </w:r>
      <w:r w:rsidR="002B5A73" w:rsidRPr="00451503">
        <w:rPr>
          <w:rFonts w:eastAsia="Calibri"/>
          <w:lang w:val="en-GB"/>
        </w:rPr>
        <w:t xml:space="preserve"> </w:t>
      </w:r>
      <w:r w:rsidR="00F85352" w:rsidRPr="00451503">
        <w:rPr>
          <w:rFonts w:eastAsia="Calibri"/>
          <w:lang w:val="en-GB"/>
        </w:rPr>
        <w:t>to make progress</w:t>
      </w:r>
      <w:r w:rsidR="00C60960" w:rsidRPr="00451503">
        <w:rPr>
          <w:rFonts w:eastAsia="Calibri"/>
          <w:lang w:val="en-GB"/>
        </w:rPr>
        <w:t>.</w:t>
      </w:r>
      <w:r w:rsidR="00F85352" w:rsidRPr="00451503">
        <w:rPr>
          <w:rFonts w:eastAsia="Calibri"/>
          <w:lang w:val="en-GB"/>
        </w:rPr>
        <w:t xml:space="preserve"> </w:t>
      </w:r>
      <w:r w:rsidR="002B5A73">
        <w:rPr>
          <w:rFonts w:eastAsia="Calibri"/>
          <w:lang w:val="en-GB"/>
        </w:rPr>
        <w:t xml:space="preserve">UNDP will </w:t>
      </w:r>
      <w:r w:rsidR="009E5794">
        <w:rPr>
          <w:rFonts w:eastAsia="Calibri"/>
          <w:lang w:val="en-GB"/>
        </w:rPr>
        <w:t>build</w:t>
      </w:r>
      <w:r w:rsidR="00E75099">
        <w:rPr>
          <w:rFonts w:eastAsia="Calibri"/>
        </w:rPr>
        <w:t xml:space="preserve"> </w:t>
      </w:r>
      <w:r w:rsidR="00224A2B" w:rsidRPr="00451503">
        <w:rPr>
          <w:rFonts w:eastAsia="Calibri"/>
        </w:rPr>
        <w:t xml:space="preserve">on </w:t>
      </w:r>
      <w:r w:rsidR="00E75099">
        <w:rPr>
          <w:rFonts w:eastAsia="Calibri"/>
        </w:rPr>
        <w:t xml:space="preserve">previous </w:t>
      </w:r>
      <w:r w:rsidR="00224A2B" w:rsidRPr="00451503">
        <w:rPr>
          <w:rFonts w:eastAsia="Calibri"/>
        </w:rPr>
        <w:t>gains</w:t>
      </w:r>
      <w:r w:rsidR="002B5A73">
        <w:rPr>
          <w:rFonts w:eastAsia="Calibri"/>
        </w:rPr>
        <w:t>,</w:t>
      </w:r>
      <w:r w:rsidR="00224A2B" w:rsidRPr="00451503">
        <w:rPr>
          <w:rFonts w:eastAsia="Calibri"/>
        </w:rPr>
        <w:t xml:space="preserve"> </w:t>
      </w:r>
      <w:r w:rsidR="002B5A73">
        <w:rPr>
          <w:rFonts w:eastAsia="Calibri"/>
        </w:rPr>
        <w:t xml:space="preserve">and </w:t>
      </w:r>
      <w:r w:rsidR="00BE20D1" w:rsidRPr="00451503">
        <w:rPr>
          <w:lang w:val="en-GB" w:eastAsia="fr-FR"/>
        </w:rPr>
        <w:t>focus on strengthening the capacities of public administration</w:t>
      </w:r>
      <w:r w:rsidR="003545A8">
        <w:rPr>
          <w:lang w:val="en-GB" w:eastAsia="fr-FR"/>
        </w:rPr>
        <w:t>,</w:t>
      </w:r>
      <w:r w:rsidR="00BE20D1" w:rsidRPr="00451503">
        <w:rPr>
          <w:lang w:val="en-GB" w:eastAsia="fr-FR"/>
        </w:rPr>
        <w:t xml:space="preserve"> and local and regional authorities</w:t>
      </w:r>
      <w:r w:rsidR="002B5A73">
        <w:rPr>
          <w:lang w:val="en-GB" w:eastAsia="fr-FR"/>
        </w:rPr>
        <w:t xml:space="preserve">. This will be done to </w:t>
      </w:r>
      <w:r w:rsidR="00BE20D1" w:rsidRPr="00451503">
        <w:rPr>
          <w:lang w:val="en-GB" w:eastAsia="fr-FR"/>
        </w:rPr>
        <w:t>provi</w:t>
      </w:r>
      <w:r w:rsidR="002B5A73">
        <w:rPr>
          <w:lang w:val="en-GB" w:eastAsia="fr-FR"/>
        </w:rPr>
        <w:t xml:space="preserve">de </w:t>
      </w:r>
      <w:r w:rsidR="00BE20D1" w:rsidRPr="00451503">
        <w:rPr>
          <w:lang w:val="en-GB" w:eastAsia="fr-FR"/>
        </w:rPr>
        <w:t>quality public services and develop a culture of accountability and transparency.</w:t>
      </w:r>
      <w:r w:rsidR="008B33DA" w:rsidRPr="00451503">
        <w:rPr>
          <w:rFonts w:eastAsia="Calibri"/>
          <w:lang w:val="en-GB"/>
        </w:rPr>
        <w:t xml:space="preserve"> </w:t>
      </w:r>
    </w:p>
    <w:p w:rsidR="00BE20D1" w:rsidRPr="00451503" w:rsidRDefault="00470019" w:rsidP="003545A8">
      <w:pPr>
        <w:numPr>
          <w:ilvl w:val="0"/>
          <w:numId w:val="9"/>
        </w:numPr>
        <w:tabs>
          <w:tab w:val="left" w:pos="1080"/>
        </w:tabs>
        <w:spacing w:after="120"/>
        <w:ind w:right="680" w:hanging="11"/>
        <w:jc w:val="both"/>
        <w:rPr>
          <w:lang w:val="en-GB" w:eastAsia="fr-FR"/>
        </w:rPr>
      </w:pPr>
      <w:r w:rsidRPr="00451503">
        <w:rPr>
          <w:lang w:val="en-GB" w:eastAsia="fr-FR"/>
        </w:rPr>
        <w:t>UNDP interventions</w:t>
      </w:r>
      <w:r w:rsidR="00C80D72" w:rsidRPr="00451503">
        <w:rPr>
          <w:lang w:val="en-GB" w:eastAsia="fr-FR"/>
        </w:rPr>
        <w:t xml:space="preserve"> will </w:t>
      </w:r>
      <w:r w:rsidR="003545A8">
        <w:rPr>
          <w:lang w:val="en-GB" w:eastAsia="fr-FR"/>
        </w:rPr>
        <w:t>improve</w:t>
      </w:r>
      <w:r w:rsidR="00C80D72" w:rsidRPr="00451503">
        <w:rPr>
          <w:lang w:val="en-GB" w:eastAsia="fr-FR"/>
        </w:rPr>
        <w:t xml:space="preserve"> regional governance </w:t>
      </w:r>
      <w:r w:rsidR="0064742B" w:rsidRPr="00451503">
        <w:rPr>
          <w:lang w:val="en-GB" w:eastAsia="fr-FR"/>
        </w:rPr>
        <w:t xml:space="preserve">and </w:t>
      </w:r>
      <w:r w:rsidR="00CA6C83">
        <w:rPr>
          <w:lang w:val="en-GB" w:eastAsia="fr-FR"/>
        </w:rPr>
        <w:t>instil</w:t>
      </w:r>
      <w:r w:rsidR="002B5A73">
        <w:rPr>
          <w:lang w:val="en-GB" w:eastAsia="fr-FR"/>
        </w:rPr>
        <w:t xml:space="preserve"> </w:t>
      </w:r>
      <w:r w:rsidR="0064742B" w:rsidRPr="00451503">
        <w:rPr>
          <w:lang w:val="en-GB" w:eastAsia="fr-FR"/>
        </w:rPr>
        <w:t xml:space="preserve">a </w:t>
      </w:r>
      <w:r w:rsidR="00F85352" w:rsidRPr="00451503">
        <w:rPr>
          <w:lang w:val="en-GB" w:eastAsia="fr-FR"/>
        </w:rPr>
        <w:t>built-in</w:t>
      </w:r>
      <w:r w:rsidR="0064742B" w:rsidRPr="00451503">
        <w:rPr>
          <w:lang w:val="en-GB" w:eastAsia="fr-FR"/>
        </w:rPr>
        <w:t xml:space="preserve"> approach </w:t>
      </w:r>
      <w:r w:rsidR="00C80D72" w:rsidRPr="00451503">
        <w:rPr>
          <w:lang w:val="en-GB" w:eastAsia="fr-FR"/>
        </w:rPr>
        <w:t>of</w:t>
      </w:r>
      <w:r w:rsidR="0064742B" w:rsidRPr="00451503">
        <w:rPr>
          <w:lang w:val="en-GB" w:eastAsia="fr-FR"/>
        </w:rPr>
        <w:t xml:space="preserve"> </w:t>
      </w:r>
      <w:r w:rsidR="00C80D72" w:rsidRPr="00451503">
        <w:rPr>
          <w:lang w:val="en-GB" w:eastAsia="fr-FR"/>
        </w:rPr>
        <w:t xml:space="preserve">local economic </w:t>
      </w:r>
      <w:r w:rsidR="0064742B" w:rsidRPr="00451503">
        <w:rPr>
          <w:lang w:val="en-GB" w:eastAsia="fr-FR"/>
        </w:rPr>
        <w:t xml:space="preserve">development </w:t>
      </w:r>
      <w:r w:rsidR="003545A8">
        <w:rPr>
          <w:lang w:val="en-GB" w:eastAsia="fr-FR"/>
        </w:rPr>
        <w:t>to</w:t>
      </w:r>
      <w:r w:rsidR="003545A8" w:rsidRPr="00451503">
        <w:rPr>
          <w:lang w:val="en-GB" w:eastAsia="fr-FR"/>
        </w:rPr>
        <w:t xml:space="preserve"> </w:t>
      </w:r>
      <w:r w:rsidR="002B5A73">
        <w:rPr>
          <w:lang w:val="en-GB" w:eastAsia="fr-FR"/>
        </w:rPr>
        <w:t>create</w:t>
      </w:r>
      <w:r w:rsidR="00C80D72" w:rsidRPr="00451503">
        <w:rPr>
          <w:lang w:val="en-GB" w:eastAsia="fr-FR"/>
        </w:rPr>
        <w:t xml:space="preserve"> economic opportunities for women and youth. </w:t>
      </w:r>
      <w:r w:rsidR="002B5A73">
        <w:rPr>
          <w:lang w:val="en-GB" w:eastAsia="fr-FR"/>
        </w:rPr>
        <w:t>I</w:t>
      </w:r>
      <w:r w:rsidR="00680EC0" w:rsidRPr="00451503">
        <w:rPr>
          <w:lang w:val="en-GB" w:eastAsia="fr-FR"/>
        </w:rPr>
        <w:t xml:space="preserve">nterventions will focus on the </w:t>
      </w:r>
      <w:r w:rsidR="001A5DE0" w:rsidRPr="00451503">
        <w:rPr>
          <w:lang w:val="en-GB" w:eastAsia="fr-FR"/>
        </w:rPr>
        <w:t>poorest regions</w:t>
      </w:r>
      <w:r w:rsidR="003545A8">
        <w:rPr>
          <w:lang w:val="en-GB" w:eastAsia="fr-FR"/>
        </w:rPr>
        <w:t xml:space="preserve"> and</w:t>
      </w:r>
      <w:r w:rsidR="00D62C8F" w:rsidRPr="00451503">
        <w:rPr>
          <w:lang w:val="en-GB" w:eastAsia="fr-FR"/>
        </w:rPr>
        <w:t xml:space="preserve"> </w:t>
      </w:r>
      <w:r w:rsidR="00A43C39" w:rsidRPr="00451503">
        <w:rPr>
          <w:lang w:val="en-GB" w:eastAsia="fr-FR"/>
        </w:rPr>
        <w:t xml:space="preserve">UNDP will work with </w:t>
      </w:r>
      <w:r w:rsidR="00512330" w:rsidRPr="00451503">
        <w:rPr>
          <w:lang w:val="en-GB" w:eastAsia="fr-FR"/>
        </w:rPr>
        <w:t xml:space="preserve">the </w:t>
      </w:r>
      <w:r w:rsidR="00680EC0" w:rsidRPr="00451503">
        <w:rPr>
          <w:lang w:val="en-GB" w:eastAsia="fr-FR"/>
        </w:rPr>
        <w:t>E</w:t>
      </w:r>
      <w:r w:rsidR="002B5A73">
        <w:rPr>
          <w:lang w:val="en-GB" w:eastAsia="fr-FR"/>
        </w:rPr>
        <w:t xml:space="preserve">uropean </w:t>
      </w:r>
      <w:r w:rsidR="00680EC0" w:rsidRPr="00451503">
        <w:rPr>
          <w:lang w:val="en-GB" w:eastAsia="fr-FR"/>
        </w:rPr>
        <w:t>U</w:t>
      </w:r>
      <w:r w:rsidR="002B5A73">
        <w:rPr>
          <w:lang w:val="en-GB" w:eastAsia="fr-FR"/>
        </w:rPr>
        <w:t>nion</w:t>
      </w:r>
      <w:r w:rsidR="00A43C39" w:rsidRPr="00451503">
        <w:rPr>
          <w:lang w:val="en-GB" w:eastAsia="fr-FR"/>
        </w:rPr>
        <w:t xml:space="preserve">, </w:t>
      </w:r>
      <w:r w:rsidR="008D6161" w:rsidRPr="00451503">
        <w:rPr>
          <w:lang w:val="en-GB" w:eastAsia="fr-FR"/>
        </w:rPr>
        <w:t>W</w:t>
      </w:r>
      <w:r w:rsidR="002B5A73">
        <w:rPr>
          <w:lang w:val="en-GB" w:eastAsia="fr-FR"/>
        </w:rPr>
        <w:t xml:space="preserve">orld </w:t>
      </w:r>
      <w:r w:rsidR="008D6161" w:rsidRPr="00451503">
        <w:rPr>
          <w:lang w:val="en-GB" w:eastAsia="fr-FR"/>
        </w:rPr>
        <w:t>B</w:t>
      </w:r>
      <w:r w:rsidR="002B5A73">
        <w:rPr>
          <w:lang w:val="en-GB" w:eastAsia="fr-FR"/>
        </w:rPr>
        <w:t>ank</w:t>
      </w:r>
      <w:r w:rsidR="008D6161" w:rsidRPr="00451503">
        <w:rPr>
          <w:lang w:val="en-GB" w:eastAsia="fr-FR"/>
        </w:rPr>
        <w:t xml:space="preserve">, </w:t>
      </w:r>
      <w:r w:rsidR="00CA6C83">
        <w:rPr>
          <w:lang w:val="en-GB" w:eastAsia="fr-FR"/>
        </w:rPr>
        <w:t>GIZ</w:t>
      </w:r>
      <w:r w:rsidR="008D6161" w:rsidRPr="00451503">
        <w:rPr>
          <w:lang w:val="en-GB" w:eastAsia="fr-FR"/>
        </w:rPr>
        <w:t xml:space="preserve">, French Development Agency, </w:t>
      </w:r>
      <w:r w:rsidR="00A43C39" w:rsidRPr="00451503">
        <w:rPr>
          <w:lang w:val="en-GB" w:eastAsia="fr-FR"/>
        </w:rPr>
        <w:t xml:space="preserve">and other partners </w:t>
      </w:r>
      <w:r w:rsidR="003545A8">
        <w:rPr>
          <w:lang w:val="en-GB" w:eastAsia="fr-FR"/>
        </w:rPr>
        <w:t>on</w:t>
      </w:r>
      <w:r w:rsidR="003545A8" w:rsidRPr="00451503">
        <w:rPr>
          <w:lang w:val="en-GB" w:eastAsia="fr-FR"/>
        </w:rPr>
        <w:t xml:space="preserve"> </w:t>
      </w:r>
      <w:r w:rsidR="00C80D72" w:rsidRPr="00451503">
        <w:rPr>
          <w:lang w:val="en-GB" w:eastAsia="fr-FR"/>
        </w:rPr>
        <w:t>decentralization and regional governance</w:t>
      </w:r>
      <w:r w:rsidR="002B5A73">
        <w:rPr>
          <w:lang w:val="en-GB" w:eastAsia="fr-FR"/>
        </w:rPr>
        <w:t>,</w:t>
      </w:r>
      <w:r w:rsidR="00C80D72" w:rsidRPr="00451503">
        <w:rPr>
          <w:lang w:val="en-GB" w:eastAsia="fr-FR"/>
        </w:rPr>
        <w:t xml:space="preserve"> </w:t>
      </w:r>
      <w:r w:rsidR="00A43C39" w:rsidRPr="00451503">
        <w:rPr>
          <w:lang w:val="en-GB" w:eastAsia="fr-FR"/>
        </w:rPr>
        <w:t xml:space="preserve">and </w:t>
      </w:r>
      <w:r w:rsidR="002B5A73">
        <w:rPr>
          <w:lang w:val="en-GB" w:eastAsia="fr-FR"/>
        </w:rPr>
        <w:t>in</w:t>
      </w:r>
      <w:r w:rsidR="002B5A73" w:rsidRPr="00451503">
        <w:rPr>
          <w:lang w:val="en-GB" w:eastAsia="fr-FR"/>
        </w:rPr>
        <w:t xml:space="preserve"> </w:t>
      </w:r>
      <w:r w:rsidR="002B5A73">
        <w:rPr>
          <w:lang w:val="en-GB" w:eastAsia="fr-FR"/>
        </w:rPr>
        <w:t xml:space="preserve">facilitating </w:t>
      </w:r>
      <w:r w:rsidR="00A43C39" w:rsidRPr="00451503">
        <w:rPr>
          <w:lang w:val="en-GB" w:eastAsia="fr-FR"/>
        </w:rPr>
        <w:t>coordination between development partners and the government</w:t>
      </w:r>
      <w:r w:rsidR="00F338AA" w:rsidRPr="00451503">
        <w:rPr>
          <w:lang w:val="en-GB" w:eastAsia="fr-FR"/>
        </w:rPr>
        <w:t xml:space="preserve">. </w:t>
      </w:r>
      <w:r w:rsidR="002B5A73">
        <w:rPr>
          <w:lang w:val="en-GB" w:eastAsia="fr-FR"/>
        </w:rPr>
        <w:t xml:space="preserve">In addition, </w:t>
      </w:r>
      <w:r w:rsidR="00F85352" w:rsidRPr="00451503">
        <w:t>UNDP will fight against radicalization and security threats, and promote social cohesion</w:t>
      </w:r>
      <w:r w:rsidR="002B5A73">
        <w:t xml:space="preserve"> by assisting national stakeholders in </w:t>
      </w:r>
      <w:r w:rsidR="00960357" w:rsidRPr="00451503">
        <w:t>developing youth and women</w:t>
      </w:r>
      <w:r w:rsidR="003545A8">
        <w:t>-</w:t>
      </w:r>
      <w:r w:rsidR="00960357" w:rsidRPr="00451503">
        <w:t>leadership</w:t>
      </w:r>
      <w:r w:rsidR="002B5A73">
        <w:t xml:space="preserve"> programmes</w:t>
      </w:r>
      <w:r w:rsidR="000634F6">
        <w:t xml:space="preserve"> </w:t>
      </w:r>
      <w:r w:rsidR="003545A8">
        <w:t>for improved</w:t>
      </w:r>
      <w:r w:rsidR="003545A8" w:rsidRPr="00451503">
        <w:t xml:space="preserve"> </w:t>
      </w:r>
      <w:r w:rsidR="009E5794" w:rsidRPr="00451503">
        <w:t>socia</w:t>
      </w:r>
      <w:r w:rsidR="009E5794">
        <w:t>l</w:t>
      </w:r>
      <w:r w:rsidR="00F85352" w:rsidRPr="00451503">
        <w:t xml:space="preserve"> and economic </w:t>
      </w:r>
      <w:r w:rsidR="003545A8">
        <w:t xml:space="preserve">integration </w:t>
      </w:r>
      <w:r w:rsidR="002B5A73">
        <w:t xml:space="preserve">and </w:t>
      </w:r>
      <w:r w:rsidR="00035E79">
        <w:t xml:space="preserve">to </w:t>
      </w:r>
      <w:r w:rsidR="00F85352" w:rsidRPr="00451503">
        <w:t>creat</w:t>
      </w:r>
      <w:r w:rsidR="006E077F">
        <w:t>e</w:t>
      </w:r>
      <w:r w:rsidR="00F85352" w:rsidRPr="00451503">
        <w:t xml:space="preserve"> economic opportunities </w:t>
      </w:r>
      <w:r w:rsidR="002B5A73">
        <w:t xml:space="preserve">for the poorest </w:t>
      </w:r>
      <w:r w:rsidR="00035E79">
        <w:t xml:space="preserve">living </w:t>
      </w:r>
      <w:r w:rsidR="00F85352" w:rsidRPr="00451503">
        <w:t xml:space="preserve">in urban </w:t>
      </w:r>
      <w:r w:rsidR="00F85352" w:rsidRPr="0031127B">
        <w:rPr>
          <w:lang w:val="en-GB" w:eastAsia="fr-FR"/>
        </w:rPr>
        <w:t xml:space="preserve">and rural areas. UNDP will </w:t>
      </w:r>
      <w:r w:rsidR="002B5A73">
        <w:rPr>
          <w:lang w:val="en-GB" w:eastAsia="fr-FR"/>
        </w:rPr>
        <w:t>coordinate</w:t>
      </w:r>
      <w:r w:rsidR="00F85352" w:rsidRPr="0031127B">
        <w:rPr>
          <w:lang w:val="en-GB" w:eastAsia="fr-FR"/>
        </w:rPr>
        <w:t xml:space="preserve"> with</w:t>
      </w:r>
      <w:r w:rsidR="002B5A73">
        <w:rPr>
          <w:lang w:val="en-GB" w:eastAsia="fr-FR"/>
        </w:rPr>
        <w:t xml:space="preserve"> the</w:t>
      </w:r>
      <w:r w:rsidR="00F85352" w:rsidRPr="0031127B">
        <w:rPr>
          <w:lang w:val="en-GB" w:eastAsia="fr-FR"/>
        </w:rPr>
        <w:t xml:space="preserve"> </w:t>
      </w:r>
      <w:r w:rsidR="00C54725">
        <w:rPr>
          <w:lang w:val="en-GB" w:eastAsia="fr-FR"/>
        </w:rPr>
        <w:t xml:space="preserve">governments of the </w:t>
      </w:r>
      <w:r w:rsidR="002B5A73">
        <w:rPr>
          <w:lang w:val="en-GB" w:eastAsia="fr-FR"/>
        </w:rPr>
        <w:t>United States of America</w:t>
      </w:r>
      <w:r w:rsidR="00C54725">
        <w:rPr>
          <w:lang w:val="en-GB" w:eastAsia="fr-FR"/>
        </w:rPr>
        <w:t xml:space="preserve"> and</w:t>
      </w:r>
      <w:r w:rsidR="00F85352" w:rsidRPr="0031127B">
        <w:rPr>
          <w:lang w:val="en-GB" w:eastAsia="fr-FR"/>
        </w:rPr>
        <w:t xml:space="preserve"> Japan, </w:t>
      </w:r>
      <w:r w:rsidR="00035E79">
        <w:rPr>
          <w:lang w:val="en-GB" w:eastAsia="fr-FR"/>
        </w:rPr>
        <w:t xml:space="preserve">and </w:t>
      </w:r>
      <w:r w:rsidR="00F85352" w:rsidRPr="0031127B">
        <w:rPr>
          <w:lang w:val="en-GB" w:eastAsia="fr-FR"/>
        </w:rPr>
        <w:t xml:space="preserve">the G5 Sahel platform, </w:t>
      </w:r>
      <w:r w:rsidR="00035E79">
        <w:rPr>
          <w:lang w:val="en-GB" w:eastAsia="fr-FR"/>
        </w:rPr>
        <w:t xml:space="preserve">as well as </w:t>
      </w:r>
      <w:r w:rsidR="00C54725">
        <w:rPr>
          <w:lang w:val="en-GB" w:eastAsia="fr-FR"/>
        </w:rPr>
        <w:t xml:space="preserve">local </w:t>
      </w:r>
      <w:r w:rsidR="00F85352" w:rsidRPr="0031127B">
        <w:rPr>
          <w:lang w:val="en-GB" w:eastAsia="fr-FR"/>
        </w:rPr>
        <w:t>religious authorities and community leaders</w:t>
      </w:r>
      <w:r w:rsidR="002B5A73">
        <w:rPr>
          <w:lang w:val="en-GB" w:eastAsia="fr-FR"/>
        </w:rPr>
        <w:t xml:space="preserve"> on these interventions</w:t>
      </w:r>
      <w:r w:rsidR="00F85352" w:rsidRPr="0031127B">
        <w:rPr>
          <w:lang w:val="en-GB" w:eastAsia="fr-FR"/>
        </w:rPr>
        <w:t xml:space="preserve">. </w:t>
      </w:r>
    </w:p>
    <w:p w:rsidR="00EF53DD" w:rsidRPr="00FF491F" w:rsidRDefault="00F85352" w:rsidP="003F00AC">
      <w:pPr>
        <w:numPr>
          <w:ilvl w:val="0"/>
          <w:numId w:val="9"/>
        </w:numPr>
        <w:tabs>
          <w:tab w:val="left" w:pos="1080"/>
        </w:tabs>
        <w:spacing w:after="120"/>
        <w:ind w:right="680" w:firstLine="0"/>
        <w:jc w:val="both"/>
        <w:rPr>
          <w:lang w:val="en-GB" w:eastAsia="fr-FR"/>
        </w:rPr>
      </w:pPr>
      <w:r w:rsidRPr="008B2E65">
        <w:rPr>
          <w:rFonts w:eastAsia="Calibri"/>
          <w:lang w:val="en-GB"/>
        </w:rPr>
        <w:t>UNDP contribut</w:t>
      </w:r>
      <w:r w:rsidR="009C7668">
        <w:rPr>
          <w:rFonts w:eastAsia="Calibri"/>
          <w:lang w:val="en-GB"/>
        </w:rPr>
        <w:t xml:space="preserve">ed to strengthening </w:t>
      </w:r>
      <w:r w:rsidRPr="008B2E65">
        <w:rPr>
          <w:rFonts w:eastAsia="Calibri"/>
          <w:lang w:val="en-GB"/>
        </w:rPr>
        <w:t>democratic institutions</w:t>
      </w:r>
      <w:r w:rsidR="00035E79">
        <w:rPr>
          <w:rFonts w:eastAsia="Calibri"/>
          <w:lang w:val="en-GB"/>
        </w:rPr>
        <w:t xml:space="preserve"> and </w:t>
      </w:r>
      <w:r w:rsidRPr="008B2E65">
        <w:rPr>
          <w:rFonts w:eastAsia="Calibri"/>
          <w:lang w:val="en-GB"/>
        </w:rPr>
        <w:t xml:space="preserve">the </w:t>
      </w:r>
      <w:r w:rsidR="009C7668">
        <w:rPr>
          <w:rFonts w:eastAsia="Calibri"/>
          <w:lang w:val="en-GB"/>
        </w:rPr>
        <w:t xml:space="preserve">capacities of </w:t>
      </w:r>
      <w:r w:rsidRPr="008B2E65">
        <w:rPr>
          <w:rFonts w:eastAsia="Calibri"/>
          <w:lang w:val="en-GB"/>
        </w:rPr>
        <w:t>Parliament</w:t>
      </w:r>
      <w:r w:rsidR="00926A4C">
        <w:rPr>
          <w:rFonts w:eastAsia="Calibri"/>
          <w:lang w:val="en-GB"/>
        </w:rPr>
        <w:t>.</w:t>
      </w:r>
      <w:r w:rsidRPr="00451503">
        <w:rPr>
          <w:rFonts w:eastAsia="Calibri"/>
          <w:lang w:val="en-GB"/>
        </w:rPr>
        <w:t xml:space="preserve"> </w:t>
      </w:r>
      <w:r w:rsidR="009C7668">
        <w:rPr>
          <w:rFonts w:eastAsia="Calibri"/>
          <w:lang w:val="en-GB"/>
        </w:rPr>
        <w:t>There was an increas</w:t>
      </w:r>
      <w:r w:rsidRPr="00451503">
        <w:rPr>
          <w:rFonts w:eastAsia="Calibri"/>
          <w:lang w:val="en-GB"/>
        </w:rPr>
        <w:t>e</w:t>
      </w:r>
      <w:r w:rsidR="009C7668">
        <w:rPr>
          <w:rFonts w:eastAsia="Calibri"/>
          <w:lang w:val="en-GB"/>
        </w:rPr>
        <w:t xml:space="preserve"> in the</w:t>
      </w:r>
      <w:r w:rsidRPr="00451503">
        <w:rPr>
          <w:rFonts w:eastAsia="Calibri"/>
          <w:lang w:val="en-GB"/>
        </w:rPr>
        <w:t xml:space="preserve"> number of laws voted</w:t>
      </w:r>
      <w:r w:rsidR="00034B50">
        <w:rPr>
          <w:rFonts w:eastAsia="Calibri"/>
          <w:lang w:val="en-GB"/>
        </w:rPr>
        <w:t xml:space="preserve"> for</w:t>
      </w:r>
      <w:r w:rsidR="00035E79">
        <w:rPr>
          <w:rFonts w:eastAsia="Calibri"/>
          <w:lang w:val="en-GB"/>
        </w:rPr>
        <w:t>,</w:t>
      </w:r>
      <w:r w:rsidRPr="00451503">
        <w:rPr>
          <w:rFonts w:eastAsia="Calibri"/>
          <w:lang w:val="en-GB"/>
        </w:rPr>
        <w:t xml:space="preserve"> </w:t>
      </w:r>
      <w:r w:rsidR="00D72060">
        <w:rPr>
          <w:rFonts w:eastAsia="Calibri"/>
          <w:lang w:val="en-GB"/>
        </w:rPr>
        <w:t xml:space="preserve">and </w:t>
      </w:r>
      <w:r w:rsidRPr="00451503">
        <w:rPr>
          <w:rFonts w:eastAsia="Calibri"/>
          <w:lang w:val="en-GB"/>
        </w:rPr>
        <w:t>number of amendments made to bills submitted by executive</w:t>
      </w:r>
      <w:r w:rsidR="009C7668">
        <w:rPr>
          <w:rFonts w:eastAsia="Calibri"/>
          <w:lang w:val="en-GB"/>
        </w:rPr>
        <w:t xml:space="preserve"> powers</w:t>
      </w:r>
      <w:r w:rsidRPr="00451503">
        <w:rPr>
          <w:rFonts w:eastAsia="Calibri"/>
          <w:lang w:val="en-GB"/>
        </w:rPr>
        <w:t xml:space="preserve"> (15 proposals</w:t>
      </w:r>
      <w:r w:rsidR="009C7668">
        <w:rPr>
          <w:rFonts w:eastAsia="Calibri"/>
          <w:lang w:val="en-GB"/>
        </w:rPr>
        <w:t xml:space="preserve"> in total</w:t>
      </w:r>
      <w:r w:rsidRPr="00451503">
        <w:rPr>
          <w:rFonts w:eastAsia="Calibri"/>
          <w:lang w:val="en-GB"/>
        </w:rPr>
        <w:t>)</w:t>
      </w:r>
      <w:r w:rsidR="009C7668">
        <w:rPr>
          <w:rFonts w:eastAsia="Calibri"/>
          <w:lang w:val="en-GB"/>
        </w:rPr>
        <w:t>.</w:t>
      </w:r>
      <w:r w:rsidR="00034B50">
        <w:rPr>
          <w:rStyle w:val="FootnoteReference"/>
          <w:rFonts w:eastAsia="Calibri"/>
          <w:lang w:val="en-GB"/>
        </w:rPr>
        <w:footnoteReference w:id="12"/>
      </w:r>
      <w:r w:rsidRPr="00451503">
        <w:rPr>
          <w:rFonts w:eastAsia="Calibri"/>
          <w:lang w:val="en-GB"/>
        </w:rPr>
        <w:t xml:space="preserve"> Parliament</w:t>
      </w:r>
      <w:r w:rsidR="009C7668">
        <w:rPr>
          <w:rFonts w:eastAsia="Calibri"/>
          <w:lang w:val="en-GB"/>
        </w:rPr>
        <w:t>ary</w:t>
      </w:r>
      <w:r w:rsidRPr="00451503">
        <w:rPr>
          <w:rFonts w:eastAsia="Calibri"/>
          <w:lang w:val="en-GB"/>
        </w:rPr>
        <w:t xml:space="preserve"> oversight of government actions improved, allowing for discussions</w:t>
      </w:r>
      <w:r w:rsidR="009C7668">
        <w:rPr>
          <w:rFonts w:eastAsia="Calibri"/>
          <w:lang w:val="en-GB"/>
        </w:rPr>
        <w:t xml:space="preserve"> to take place</w:t>
      </w:r>
      <w:r w:rsidRPr="00451503">
        <w:rPr>
          <w:rFonts w:eastAsia="Calibri"/>
          <w:lang w:val="en-GB"/>
        </w:rPr>
        <w:t xml:space="preserve"> on the allocation and use of state resources</w:t>
      </w:r>
      <w:r w:rsidR="009C7668">
        <w:rPr>
          <w:rFonts w:eastAsia="Calibri"/>
          <w:lang w:val="en-GB"/>
        </w:rPr>
        <w:t>.</w:t>
      </w:r>
      <w:r w:rsidR="009C7668" w:rsidRPr="000634F6">
        <w:rPr>
          <w:vertAlign w:val="superscript"/>
        </w:rPr>
        <w:t>9</w:t>
      </w:r>
      <w:r w:rsidR="00731136">
        <w:rPr>
          <w:rFonts w:eastAsia="Calibri"/>
          <w:lang w:val="en-GB"/>
        </w:rPr>
        <w:t xml:space="preserve"> Yet, because </w:t>
      </w:r>
      <w:r w:rsidRPr="00451503">
        <w:rPr>
          <w:rFonts w:eastAsia="Calibri"/>
          <w:lang w:val="en-GB"/>
        </w:rPr>
        <w:t xml:space="preserve">progress </w:t>
      </w:r>
      <w:r w:rsidR="00731136">
        <w:rPr>
          <w:rFonts w:eastAsia="Calibri"/>
          <w:lang w:val="en-GB"/>
        </w:rPr>
        <w:t xml:space="preserve">has been slow it is </w:t>
      </w:r>
      <w:r w:rsidR="009C7668">
        <w:rPr>
          <w:rFonts w:eastAsia="Calibri"/>
          <w:lang w:val="en-GB"/>
        </w:rPr>
        <w:t xml:space="preserve">imperative </w:t>
      </w:r>
      <w:r w:rsidR="007A0358" w:rsidRPr="00451503">
        <w:rPr>
          <w:rFonts w:eastAsia="Calibri"/>
          <w:lang w:val="en-GB"/>
        </w:rPr>
        <w:t xml:space="preserve">to work </w:t>
      </w:r>
      <w:r w:rsidR="007A0358">
        <w:rPr>
          <w:rFonts w:eastAsia="Calibri"/>
          <w:lang w:val="en-GB"/>
        </w:rPr>
        <w:t xml:space="preserve">at the </w:t>
      </w:r>
      <w:r w:rsidR="009C7668">
        <w:rPr>
          <w:rFonts w:eastAsia="Calibri"/>
          <w:lang w:val="en-GB"/>
        </w:rPr>
        <w:t>p</w:t>
      </w:r>
      <w:r w:rsidR="007A0358">
        <w:rPr>
          <w:rFonts w:eastAsia="Calibri"/>
          <w:lang w:val="en-GB"/>
        </w:rPr>
        <w:t>arliament</w:t>
      </w:r>
      <w:r w:rsidR="009C7668">
        <w:rPr>
          <w:rFonts w:eastAsia="Calibri"/>
          <w:lang w:val="en-GB"/>
        </w:rPr>
        <w:t>ary</w:t>
      </w:r>
      <w:r w:rsidR="007A0358">
        <w:rPr>
          <w:rFonts w:eastAsia="Calibri"/>
          <w:lang w:val="en-GB"/>
        </w:rPr>
        <w:t xml:space="preserve"> and </w:t>
      </w:r>
      <w:r w:rsidR="007A0358" w:rsidRPr="00451503">
        <w:rPr>
          <w:rFonts w:eastAsia="Calibri"/>
          <w:lang w:val="en-GB"/>
        </w:rPr>
        <w:t>technical secretariat</w:t>
      </w:r>
      <w:r w:rsidRPr="00451503">
        <w:rPr>
          <w:rFonts w:eastAsia="Calibri"/>
          <w:lang w:val="en-GB"/>
        </w:rPr>
        <w:t xml:space="preserve"> leve</w:t>
      </w:r>
      <w:r w:rsidR="007A0358">
        <w:rPr>
          <w:rFonts w:eastAsia="Calibri"/>
          <w:lang w:val="en-GB"/>
        </w:rPr>
        <w:t>ls</w:t>
      </w:r>
      <w:r w:rsidR="009C7668">
        <w:rPr>
          <w:rFonts w:eastAsia="Calibri"/>
          <w:lang w:val="en-GB"/>
        </w:rPr>
        <w:t>.</w:t>
      </w:r>
      <w:r w:rsidR="009677E3">
        <w:rPr>
          <w:rStyle w:val="FootnoteReference"/>
          <w:rFonts w:eastAsia="Calibri"/>
          <w:lang w:val="en-GB"/>
        </w:rPr>
        <w:t>10</w:t>
      </w:r>
      <w:r w:rsidRPr="00451503">
        <w:rPr>
          <w:rFonts w:eastAsia="Calibri"/>
          <w:lang w:val="en-GB"/>
        </w:rPr>
        <w:t xml:space="preserve"> </w:t>
      </w:r>
      <w:r w:rsidR="00BE20D1" w:rsidRPr="00451503">
        <w:t xml:space="preserve">UNDP will continue to </w:t>
      </w:r>
      <w:r w:rsidR="00035E79">
        <w:t>promote</w:t>
      </w:r>
      <w:r w:rsidR="00BE20D1" w:rsidRPr="00451503">
        <w:t xml:space="preserve"> transparency</w:t>
      </w:r>
      <w:r w:rsidR="00C94681" w:rsidRPr="00451503">
        <w:t xml:space="preserve"> and accountability </w:t>
      </w:r>
      <w:r w:rsidR="00BE20D1" w:rsidRPr="00451503">
        <w:t xml:space="preserve">by strengthening the capacity of policy-making institutions. </w:t>
      </w:r>
      <w:r w:rsidR="00541F9D" w:rsidRPr="008B2E65">
        <w:t xml:space="preserve">UNDP will </w:t>
      </w:r>
      <w:r w:rsidR="009C7668">
        <w:t xml:space="preserve">advocate for increased </w:t>
      </w:r>
      <w:r w:rsidR="004D53A2" w:rsidRPr="00FF491F">
        <w:t xml:space="preserve">participation of women and youth </w:t>
      </w:r>
      <w:r w:rsidR="009C7668">
        <w:t>(</w:t>
      </w:r>
      <w:r w:rsidR="004D53A2" w:rsidRPr="00FF491F">
        <w:t>as candidates in national and municipal elections</w:t>
      </w:r>
      <w:r w:rsidR="009C7668">
        <w:t>)</w:t>
      </w:r>
      <w:r w:rsidR="004D53A2" w:rsidRPr="00FF491F">
        <w:t xml:space="preserve"> and </w:t>
      </w:r>
      <w:r w:rsidR="00512330" w:rsidRPr="00FF491F">
        <w:rPr>
          <w:lang w:val="en-GB" w:eastAsia="fr-FR"/>
        </w:rPr>
        <w:t xml:space="preserve">work with </w:t>
      </w:r>
      <w:r w:rsidR="003F64CD" w:rsidRPr="00FF491F">
        <w:rPr>
          <w:lang w:val="en-GB" w:eastAsia="fr-FR"/>
        </w:rPr>
        <w:t xml:space="preserve">stakeholders </w:t>
      </w:r>
      <w:r w:rsidR="00512330" w:rsidRPr="00FF491F">
        <w:rPr>
          <w:lang w:val="en-GB" w:eastAsia="fr-FR"/>
        </w:rPr>
        <w:t xml:space="preserve">to </w:t>
      </w:r>
      <w:r w:rsidR="00035E79" w:rsidRPr="00FF491F">
        <w:rPr>
          <w:lang w:val="en-GB"/>
        </w:rPr>
        <w:t>stimulate</w:t>
      </w:r>
      <w:r w:rsidR="00541F9D" w:rsidRPr="00FF491F">
        <w:rPr>
          <w:lang w:val="en-GB"/>
        </w:rPr>
        <w:t xml:space="preserve"> </w:t>
      </w:r>
      <w:r w:rsidR="00315164" w:rsidRPr="00FF491F">
        <w:rPr>
          <w:lang w:val="en-GB"/>
        </w:rPr>
        <w:t>social cohesion</w:t>
      </w:r>
      <w:r w:rsidR="000634F6">
        <w:rPr>
          <w:lang w:val="en-GB"/>
        </w:rPr>
        <w:t>.</w:t>
      </w:r>
    </w:p>
    <w:p w:rsidR="00107362" w:rsidRPr="00451503" w:rsidRDefault="009C7668" w:rsidP="003F00AC">
      <w:pPr>
        <w:numPr>
          <w:ilvl w:val="0"/>
          <w:numId w:val="9"/>
        </w:numPr>
        <w:tabs>
          <w:tab w:val="left" w:pos="1080"/>
        </w:tabs>
        <w:spacing w:after="120"/>
        <w:ind w:right="680" w:firstLine="0"/>
        <w:jc w:val="both"/>
        <w:rPr>
          <w:lang w:val="en-GB" w:eastAsia="fr-FR"/>
        </w:rPr>
      </w:pPr>
      <w:r>
        <w:rPr>
          <w:lang w:val="en-GB" w:eastAsia="fr-FR"/>
        </w:rPr>
        <w:t>With</w:t>
      </w:r>
      <w:r w:rsidRPr="0031127B">
        <w:rPr>
          <w:lang w:val="en-GB" w:eastAsia="fr-FR"/>
        </w:rPr>
        <w:t xml:space="preserve"> </w:t>
      </w:r>
      <w:r w:rsidR="00F85352" w:rsidRPr="0031127B">
        <w:rPr>
          <w:lang w:val="en-GB" w:eastAsia="fr-FR"/>
        </w:rPr>
        <w:t>UNDP support</w:t>
      </w:r>
      <w:r w:rsidR="00F66CC6">
        <w:rPr>
          <w:lang w:val="en-GB" w:eastAsia="fr-FR"/>
        </w:rPr>
        <w:t>,</w:t>
      </w:r>
      <w:r w:rsidR="00F85352" w:rsidRPr="0031127B">
        <w:rPr>
          <w:lang w:val="en-GB" w:eastAsia="fr-FR"/>
        </w:rPr>
        <w:t xml:space="preserve"> the percentage of </w:t>
      </w:r>
      <w:r>
        <w:rPr>
          <w:lang w:val="en-GB" w:eastAsia="fr-FR"/>
        </w:rPr>
        <w:t>female</w:t>
      </w:r>
      <w:r w:rsidRPr="0031127B">
        <w:rPr>
          <w:lang w:val="en-GB" w:eastAsia="fr-FR"/>
        </w:rPr>
        <w:t xml:space="preserve"> </w:t>
      </w:r>
      <w:r>
        <w:rPr>
          <w:lang w:val="en-GB" w:eastAsia="fr-FR"/>
        </w:rPr>
        <w:t>members of parliament</w:t>
      </w:r>
      <w:r w:rsidRPr="0031127B">
        <w:rPr>
          <w:lang w:val="en-GB" w:eastAsia="fr-FR"/>
        </w:rPr>
        <w:t xml:space="preserve"> </w:t>
      </w:r>
      <w:r w:rsidR="00F85352" w:rsidRPr="0031127B">
        <w:rPr>
          <w:lang w:val="en-GB" w:eastAsia="fr-FR"/>
        </w:rPr>
        <w:t>rose from 2</w:t>
      </w:r>
      <w:r>
        <w:rPr>
          <w:lang w:val="en-GB" w:eastAsia="fr-FR"/>
        </w:rPr>
        <w:t xml:space="preserve"> per cent</w:t>
      </w:r>
      <w:r w:rsidR="00F85352" w:rsidRPr="0031127B">
        <w:rPr>
          <w:lang w:val="en-GB" w:eastAsia="fr-FR"/>
        </w:rPr>
        <w:t xml:space="preserve"> in 2005 to 19.7</w:t>
      </w:r>
      <w:r>
        <w:rPr>
          <w:lang w:val="en-GB" w:eastAsia="fr-FR"/>
        </w:rPr>
        <w:t xml:space="preserve"> per cent</w:t>
      </w:r>
      <w:r w:rsidR="00F85352" w:rsidRPr="0031127B">
        <w:rPr>
          <w:lang w:val="en-GB" w:eastAsia="fr-FR"/>
        </w:rPr>
        <w:t xml:space="preserve"> in 2014</w:t>
      </w:r>
      <w:r>
        <w:rPr>
          <w:lang w:val="en-GB" w:eastAsia="fr-FR"/>
        </w:rPr>
        <w:t>.</w:t>
      </w:r>
      <w:r w:rsidR="009677E3" w:rsidRPr="00FF491F">
        <w:rPr>
          <w:vertAlign w:val="superscript"/>
          <w:lang w:eastAsia="fr-FR"/>
        </w:rPr>
        <w:footnoteReference w:id="13"/>
      </w:r>
      <w:r w:rsidR="00F85352" w:rsidRPr="0031127B">
        <w:rPr>
          <w:lang w:val="en-GB" w:eastAsia="fr-FR"/>
        </w:rPr>
        <w:t xml:space="preserve"> This</w:t>
      </w:r>
      <w:r w:rsidR="00F85352" w:rsidRPr="00451503">
        <w:rPr>
          <w:rFonts w:eastAsia="Calibri"/>
          <w:lang w:val="en-GB"/>
        </w:rPr>
        <w:t xml:space="preserve"> positive evolution</w:t>
      </w:r>
      <w:r>
        <w:rPr>
          <w:rFonts w:eastAsia="Calibri"/>
          <w:lang w:val="en-GB"/>
        </w:rPr>
        <w:t xml:space="preserve">, </w:t>
      </w:r>
      <w:r w:rsidR="00F85352" w:rsidRPr="00451503">
        <w:rPr>
          <w:rFonts w:eastAsia="Calibri"/>
          <w:lang w:val="en-GB"/>
        </w:rPr>
        <w:t>endorse</w:t>
      </w:r>
      <w:r>
        <w:rPr>
          <w:rFonts w:eastAsia="Calibri"/>
          <w:lang w:val="en-GB"/>
        </w:rPr>
        <w:t xml:space="preserve">d by </w:t>
      </w:r>
      <w:r w:rsidR="00F85352" w:rsidRPr="00451503">
        <w:rPr>
          <w:rFonts w:eastAsia="Calibri"/>
          <w:lang w:val="en-GB"/>
        </w:rPr>
        <w:t xml:space="preserve">the </w:t>
      </w:r>
      <w:r>
        <w:rPr>
          <w:rFonts w:eastAsia="Calibri"/>
          <w:lang w:val="en-GB"/>
        </w:rPr>
        <w:t>N</w:t>
      </w:r>
      <w:r w:rsidR="00F85352" w:rsidRPr="00451503">
        <w:rPr>
          <w:rFonts w:eastAsia="Calibri"/>
          <w:lang w:val="en-GB"/>
        </w:rPr>
        <w:t xml:space="preserve">ational </w:t>
      </w:r>
      <w:r>
        <w:rPr>
          <w:rFonts w:eastAsia="Calibri"/>
          <w:lang w:val="en-GB"/>
        </w:rPr>
        <w:t>G</w:t>
      </w:r>
      <w:r w:rsidR="00F85352" w:rsidRPr="00451503">
        <w:rPr>
          <w:rFonts w:eastAsia="Calibri"/>
          <w:lang w:val="en-GB"/>
        </w:rPr>
        <w:t xml:space="preserve">ender </w:t>
      </w:r>
      <w:r>
        <w:rPr>
          <w:rFonts w:eastAsia="Calibri"/>
          <w:lang w:val="en-GB"/>
        </w:rPr>
        <w:t>S</w:t>
      </w:r>
      <w:r w:rsidR="00F85352" w:rsidRPr="00451503">
        <w:rPr>
          <w:rFonts w:eastAsia="Calibri"/>
          <w:lang w:val="en-GB"/>
        </w:rPr>
        <w:t xml:space="preserve">trategy in 2015, provides a strong basis for UNDP to </w:t>
      </w:r>
      <w:r w:rsidR="00F66CC6">
        <w:rPr>
          <w:rFonts w:eastAsia="Calibri"/>
          <w:lang w:val="en-GB"/>
        </w:rPr>
        <w:t>assist</w:t>
      </w:r>
      <w:r w:rsidR="00F66CC6" w:rsidRPr="00451503">
        <w:rPr>
          <w:rFonts w:eastAsia="Calibri"/>
          <w:lang w:val="en-GB"/>
        </w:rPr>
        <w:t xml:space="preserve"> </w:t>
      </w:r>
      <w:r w:rsidR="00F85352" w:rsidRPr="00451503">
        <w:rPr>
          <w:rFonts w:eastAsia="Calibri"/>
          <w:lang w:val="en-GB"/>
        </w:rPr>
        <w:t>Mauritania in meeting the global objective of 33</w:t>
      </w:r>
      <w:r>
        <w:rPr>
          <w:rFonts w:eastAsia="Calibri"/>
          <w:lang w:val="en-GB"/>
        </w:rPr>
        <w:t xml:space="preserve"> per cent</w:t>
      </w:r>
      <w:r w:rsidR="00F85352" w:rsidRPr="00451503">
        <w:rPr>
          <w:rFonts w:eastAsia="Calibri"/>
          <w:lang w:val="en-GB"/>
        </w:rPr>
        <w:t xml:space="preserve"> </w:t>
      </w:r>
      <w:r>
        <w:rPr>
          <w:rFonts w:eastAsia="Calibri"/>
          <w:lang w:val="en-GB"/>
        </w:rPr>
        <w:t>female</w:t>
      </w:r>
      <w:r w:rsidRPr="00451503">
        <w:rPr>
          <w:rFonts w:eastAsia="Calibri"/>
          <w:lang w:val="en-GB"/>
        </w:rPr>
        <w:t xml:space="preserve"> </w:t>
      </w:r>
      <w:r w:rsidR="00F85352" w:rsidRPr="00451503">
        <w:rPr>
          <w:rFonts w:eastAsia="Calibri"/>
          <w:lang w:val="en-GB"/>
        </w:rPr>
        <w:t>representati</w:t>
      </w:r>
      <w:r w:rsidR="00F76DA3">
        <w:rPr>
          <w:rFonts w:eastAsia="Calibri"/>
          <w:lang w:val="en-GB"/>
        </w:rPr>
        <w:t>on</w:t>
      </w:r>
      <w:r>
        <w:rPr>
          <w:rFonts w:eastAsia="Calibri"/>
          <w:lang w:val="en-GB"/>
        </w:rPr>
        <w:t xml:space="preserve"> in Parliament</w:t>
      </w:r>
      <w:r w:rsidR="00F85352" w:rsidRPr="00451503">
        <w:rPr>
          <w:rFonts w:eastAsia="Calibri"/>
          <w:lang w:val="en-GB"/>
        </w:rPr>
        <w:t xml:space="preserve">. UNDP will continue to support Parliament </w:t>
      </w:r>
      <w:r>
        <w:rPr>
          <w:rFonts w:eastAsia="Calibri"/>
          <w:lang w:val="en-GB"/>
        </w:rPr>
        <w:t>in implementing</w:t>
      </w:r>
      <w:r w:rsidR="00F85352" w:rsidRPr="00451503">
        <w:rPr>
          <w:rFonts w:eastAsia="Calibri"/>
          <w:lang w:val="en-GB"/>
        </w:rPr>
        <w:t xml:space="preserve"> </w:t>
      </w:r>
      <w:r>
        <w:rPr>
          <w:rFonts w:eastAsia="Calibri"/>
          <w:lang w:val="en-GB"/>
        </w:rPr>
        <w:t>a</w:t>
      </w:r>
      <w:r w:rsidR="00F85352" w:rsidRPr="00451503">
        <w:rPr>
          <w:rFonts w:eastAsia="Calibri"/>
          <w:lang w:val="en-GB"/>
        </w:rPr>
        <w:t xml:space="preserve"> </w:t>
      </w:r>
      <w:r w:rsidR="007A0358">
        <w:rPr>
          <w:rFonts w:eastAsia="Calibri"/>
          <w:lang w:val="en-GB"/>
        </w:rPr>
        <w:t>w</w:t>
      </w:r>
      <w:r w:rsidR="00F85352" w:rsidRPr="00451503">
        <w:rPr>
          <w:rFonts w:eastAsia="Calibri"/>
          <w:lang w:val="en-GB"/>
        </w:rPr>
        <w:t>omen</w:t>
      </w:r>
      <w:r>
        <w:rPr>
          <w:rFonts w:eastAsia="Calibri"/>
          <w:lang w:val="en-GB"/>
        </w:rPr>
        <w:t>’s</w:t>
      </w:r>
      <w:r w:rsidR="00F85352" w:rsidRPr="00451503">
        <w:rPr>
          <w:rFonts w:eastAsia="Calibri"/>
          <w:lang w:val="en-GB"/>
        </w:rPr>
        <w:t xml:space="preserve"> </w:t>
      </w:r>
      <w:r w:rsidR="007A0358">
        <w:rPr>
          <w:rFonts w:eastAsia="Calibri"/>
          <w:lang w:val="en-GB"/>
        </w:rPr>
        <w:t>p</w:t>
      </w:r>
      <w:r w:rsidR="00F85352" w:rsidRPr="00451503">
        <w:rPr>
          <w:rFonts w:eastAsia="Calibri"/>
          <w:lang w:val="en-GB"/>
        </w:rPr>
        <w:t xml:space="preserve">eace and security agenda </w:t>
      </w:r>
      <w:r>
        <w:rPr>
          <w:rFonts w:eastAsia="Calibri"/>
          <w:lang w:val="en-GB"/>
        </w:rPr>
        <w:t>by</w:t>
      </w:r>
      <w:r w:rsidR="00F85352" w:rsidRPr="00451503">
        <w:rPr>
          <w:rFonts w:eastAsia="Calibri"/>
          <w:lang w:val="en-GB"/>
        </w:rPr>
        <w:t xml:space="preserve"> promot</w:t>
      </w:r>
      <w:r>
        <w:rPr>
          <w:rFonts w:eastAsia="Calibri"/>
          <w:lang w:val="en-GB"/>
        </w:rPr>
        <w:t>ing</w:t>
      </w:r>
      <w:r w:rsidR="00F85352" w:rsidRPr="00451503">
        <w:rPr>
          <w:rFonts w:eastAsia="Calibri"/>
          <w:lang w:val="en-GB"/>
        </w:rPr>
        <w:t xml:space="preserve"> gender equality in legislative functions. </w:t>
      </w:r>
      <w:r w:rsidR="00541F9D" w:rsidRPr="00451503">
        <w:t>The programme will</w:t>
      </w:r>
      <w:r w:rsidR="00F85352" w:rsidRPr="00451503">
        <w:t xml:space="preserve"> </w:t>
      </w:r>
      <w:r w:rsidR="00541F9D" w:rsidRPr="00451503">
        <w:t xml:space="preserve">strengthen the capacity of justice actors to develop protection and legal assistance mechanisms for vulnerable groups, with attention </w:t>
      </w:r>
      <w:r>
        <w:t xml:space="preserve">placed </w:t>
      </w:r>
      <w:r w:rsidR="003F64CD" w:rsidRPr="00451503">
        <w:t xml:space="preserve">on </w:t>
      </w:r>
      <w:r w:rsidR="00541F9D" w:rsidRPr="00451503">
        <w:t>women</w:t>
      </w:r>
      <w:r w:rsidR="009E3AE3" w:rsidRPr="00451503">
        <w:t xml:space="preserve">, </w:t>
      </w:r>
      <w:r w:rsidR="009B28A7" w:rsidRPr="00451503">
        <w:t>youth</w:t>
      </w:r>
      <w:r w:rsidR="009E3AE3" w:rsidRPr="00451503">
        <w:t xml:space="preserve"> and</w:t>
      </w:r>
      <w:r w:rsidR="009B28A7" w:rsidRPr="00451503">
        <w:t xml:space="preserve"> </w:t>
      </w:r>
      <w:r w:rsidR="00541F9D" w:rsidRPr="00451503">
        <w:t>prisoners</w:t>
      </w:r>
      <w:r w:rsidR="009E3AE3" w:rsidRPr="00451503">
        <w:t xml:space="preserve">. </w:t>
      </w:r>
      <w:r w:rsidR="00107362" w:rsidRPr="00451503">
        <w:t xml:space="preserve">Moreover, UNDP will partner with </w:t>
      </w:r>
      <w:r>
        <w:t>the United Nations Entity for Gender Equality and the Empowerment of Women (</w:t>
      </w:r>
      <w:r w:rsidR="00107362" w:rsidRPr="00451503">
        <w:t>UN</w:t>
      </w:r>
      <w:r>
        <w:t xml:space="preserve"> </w:t>
      </w:r>
      <w:r w:rsidRPr="00451503">
        <w:t>W</w:t>
      </w:r>
      <w:r>
        <w:t>omen)</w:t>
      </w:r>
      <w:r w:rsidRPr="00451503">
        <w:t xml:space="preserve"> </w:t>
      </w:r>
      <w:r>
        <w:t>on building the</w:t>
      </w:r>
      <w:r w:rsidR="00107362" w:rsidRPr="00451503">
        <w:t xml:space="preserve"> capacity of national </w:t>
      </w:r>
      <w:r w:rsidR="00682952" w:rsidRPr="00451503">
        <w:t>institutions regarding</w:t>
      </w:r>
      <w:r w:rsidR="00107362" w:rsidRPr="00451503">
        <w:t xml:space="preserve"> gender e</w:t>
      </w:r>
      <w:r w:rsidR="009E3AE3" w:rsidRPr="00451503">
        <w:t>quality and women’s empowerment.</w:t>
      </w:r>
    </w:p>
    <w:p w:rsidR="00541F9D" w:rsidRPr="00DB6A8E" w:rsidRDefault="009944E0" w:rsidP="003F00AC">
      <w:pPr>
        <w:numPr>
          <w:ilvl w:val="0"/>
          <w:numId w:val="9"/>
        </w:numPr>
        <w:tabs>
          <w:tab w:val="left" w:pos="1080"/>
        </w:tabs>
        <w:spacing w:after="120"/>
        <w:ind w:right="680" w:firstLine="0"/>
        <w:contextualSpacing/>
        <w:jc w:val="both"/>
        <w:rPr>
          <w:lang w:val="en-GB" w:eastAsia="fr-FR"/>
        </w:rPr>
      </w:pPr>
      <w:r w:rsidRPr="00451503">
        <w:t xml:space="preserve">In partnership with </w:t>
      </w:r>
      <w:r w:rsidR="0060557F" w:rsidRPr="00451503">
        <w:t>the E</w:t>
      </w:r>
      <w:r w:rsidR="009C7668">
        <w:t xml:space="preserve">uropean </w:t>
      </w:r>
      <w:r w:rsidR="0060557F" w:rsidRPr="00451503">
        <w:t>U</w:t>
      </w:r>
      <w:r w:rsidR="009C7668">
        <w:t>nion</w:t>
      </w:r>
      <w:r w:rsidR="0060557F" w:rsidRPr="00451503">
        <w:t xml:space="preserve">, </w:t>
      </w:r>
      <w:r w:rsidRPr="00451503">
        <w:t>other U</w:t>
      </w:r>
      <w:r w:rsidR="009C7668">
        <w:t xml:space="preserve">nited </w:t>
      </w:r>
      <w:r w:rsidRPr="00451503">
        <w:t>N</w:t>
      </w:r>
      <w:r w:rsidR="009C7668">
        <w:t>ations</w:t>
      </w:r>
      <w:r w:rsidRPr="00451503">
        <w:t xml:space="preserve"> </w:t>
      </w:r>
      <w:r w:rsidR="009C7668">
        <w:t>organizations—such as the United Nations Children’s Fund (</w:t>
      </w:r>
      <w:r w:rsidRPr="00451503">
        <w:t>UNICEF</w:t>
      </w:r>
      <w:r w:rsidR="009C7668">
        <w:t>)</w:t>
      </w:r>
      <w:r w:rsidRPr="00451503">
        <w:t>,</w:t>
      </w:r>
      <w:r w:rsidR="009C7668">
        <w:t xml:space="preserve"> the International Organization for Migration</w:t>
      </w:r>
      <w:r w:rsidRPr="00451503">
        <w:t xml:space="preserve"> </w:t>
      </w:r>
      <w:r w:rsidR="009C7668">
        <w:t>(</w:t>
      </w:r>
      <w:r w:rsidRPr="00451503">
        <w:t>IOM</w:t>
      </w:r>
      <w:r w:rsidR="009C7668">
        <w:t>)</w:t>
      </w:r>
      <w:r w:rsidRPr="00451503">
        <w:t xml:space="preserve"> and </w:t>
      </w:r>
      <w:r w:rsidR="009C7668">
        <w:t>the Office for the High Commissioner of Human Rights (</w:t>
      </w:r>
      <w:r w:rsidR="00F76DA3">
        <w:t>OHCHR</w:t>
      </w:r>
      <w:r w:rsidRPr="00451503">
        <w:t>)</w:t>
      </w:r>
      <w:r w:rsidR="009C7668">
        <w:t xml:space="preserve">—and the governments of the United States of America </w:t>
      </w:r>
      <w:r w:rsidRPr="00451503">
        <w:t>and Japan</w:t>
      </w:r>
      <w:r w:rsidR="00373F7E" w:rsidRPr="00451503">
        <w:t>, UNDP</w:t>
      </w:r>
      <w:r w:rsidR="00541F9D" w:rsidRPr="00451503">
        <w:t xml:space="preserve"> </w:t>
      </w:r>
      <w:r w:rsidR="0060557F" w:rsidRPr="00451503">
        <w:t xml:space="preserve">will support the dissemination and publication of international conventions and treaties, training of justice actors and </w:t>
      </w:r>
      <w:r w:rsidR="009C7668">
        <w:t>non-governmental organizations (</w:t>
      </w:r>
      <w:r w:rsidR="0060557F" w:rsidRPr="00451503">
        <w:t>NGOs</w:t>
      </w:r>
      <w:r w:rsidR="00E80E10">
        <w:t>)</w:t>
      </w:r>
      <w:r w:rsidR="0060557F" w:rsidRPr="00451503">
        <w:t xml:space="preserve"> on human rights</w:t>
      </w:r>
      <w:r w:rsidR="00FA6C8D">
        <w:t>,</w:t>
      </w:r>
      <w:r w:rsidR="007C707D" w:rsidRPr="00451503">
        <w:t xml:space="preserve"> and</w:t>
      </w:r>
      <w:r w:rsidR="0060557F" w:rsidRPr="00451503">
        <w:t xml:space="preserve"> modernization of judicial work</w:t>
      </w:r>
      <w:r w:rsidR="00FC1993" w:rsidRPr="00451503">
        <w:t xml:space="preserve"> </w:t>
      </w:r>
      <w:r w:rsidR="00236033" w:rsidRPr="00451503">
        <w:t>through</w:t>
      </w:r>
      <w:r w:rsidR="00E80E10">
        <w:t xml:space="preserve"> the</w:t>
      </w:r>
      <w:r w:rsidR="00236033" w:rsidRPr="00451503">
        <w:t xml:space="preserve"> use of </w:t>
      </w:r>
      <w:r w:rsidR="00440713">
        <w:t xml:space="preserve">new </w:t>
      </w:r>
      <w:r w:rsidR="000202C1" w:rsidRPr="00451503">
        <w:t>technolog</w:t>
      </w:r>
      <w:r w:rsidR="00E80E10">
        <w:t>y</w:t>
      </w:r>
      <w:r w:rsidR="000202C1" w:rsidRPr="00451503">
        <w:t>.</w:t>
      </w:r>
    </w:p>
    <w:p w:rsidR="00DB6A8E" w:rsidRPr="00DB6A8E" w:rsidRDefault="00DB6A8E" w:rsidP="00DB6A8E">
      <w:pPr>
        <w:tabs>
          <w:tab w:val="left" w:pos="1080"/>
        </w:tabs>
        <w:spacing w:after="120"/>
        <w:ind w:left="720" w:right="680"/>
        <w:contextualSpacing/>
        <w:jc w:val="both"/>
        <w:rPr>
          <w:sz w:val="12"/>
          <w:szCs w:val="12"/>
          <w:lang w:val="en-GB" w:eastAsia="fr-FR"/>
        </w:rPr>
      </w:pPr>
    </w:p>
    <w:p w:rsidR="008B33DA" w:rsidRPr="00451503" w:rsidRDefault="006A7E33" w:rsidP="00423C8C">
      <w:pPr>
        <w:tabs>
          <w:tab w:val="left" w:pos="1080"/>
        </w:tabs>
        <w:ind w:left="709" w:right="680"/>
        <w:jc w:val="both"/>
        <w:rPr>
          <w:b/>
          <w:lang w:val="en-GB"/>
        </w:rPr>
      </w:pPr>
      <w:r w:rsidRPr="00451503">
        <w:rPr>
          <w:b/>
          <w:lang w:val="en-GB"/>
        </w:rPr>
        <w:t>Fostering sustainable natural resource management and resilience to disasters and climate change</w:t>
      </w:r>
    </w:p>
    <w:p w:rsidR="00075655" w:rsidRPr="00DB6A8E" w:rsidRDefault="00075655" w:rsidP="003F00AC">
      <w:pPr>
        <w:tabs>
          <w:tab w:val="left" w:pos="1080"/>
        </w:tabs>
        <w:spacing w:after="120"/>
        <w:ind w:left="720" w:right="680"/>
        <w:contextualSpacing/>
        <w:jc w:val="both"/>
        <w:rPr>
          <w:sz w:val="12"/>
          <w:szCs w:val="12"/>
          <w:lang w:val="en-GB" w:eastAsia="fr-FR"/>
        </w:rPr>
      </w:pPr>
    </w:p>
    <w:p w:rsidR="00075655" w:rsidRPr="00DB6A8E" w:rsidRDefault="008B33DA" w:rsidP="003F00AC">
      <w:pPr>
        <w:numPr>
          <w:ilvl w:val="0"/>
          <w:numId w:val="9"/>
        </w:numPr>
        <w:tabs>
          <w:tab w:val="left" w:pos="1080"/>
        </w:tabs>
        <w:spacing w:after="120"/>
        <w:ind w:right="680" w:firstLine="0"/>
        <w:contextualSpacing/>
        <w:jc w:val="both"/>
        <w:rPr>
          <w:lang w:val="en-GB" w:eastAsia="fr-FR"/>
        </w:rPr>
      </w:pPr>
      <w:r w:rsidRPr="002C127A">
        <w:rPr>
          <w:lang w:val="en-GB" w:eastAsia="fr-FR"/>
        </w:rPr>
        <w:t>UNDP supported the government in mainstreaming environment and climate change in</w:t>
      </w:r>
      <w:r w:rsidR="00FA6C8D">
        <w:rPr>
          <w:lang w:val="en-GB" w:eastAsia="fr-FR"/>
        </w:rPr>
        <w:t>to</w:t>
      </w:r>
      <w:r w:rsidRPr="002C127A">
        <w:rPr>
          <w:lang w:val="en-GB" w:eastAsia="fr-FR"/>
        </w:rPr>
        <w:t xml:space="preserve"> national development strategies and policies</w:t>
      </w:r>
      <w:r w:rsidR="00E80E10">
        <w:rPr>
          <w:lang w:val="en-GB" w:eastAsia="fr-FR"/>
        </w:rPr>
        <w:t>.</w:t>
      </w:r>
      <w:r w:rsidR="009677E3">
        <w:rPr>
          <w:rStyle w:val="FootnoteReference"/>
          <w:lang w:val="en-GB" w:eastAsia="fr-FR"/>
        </w:rPr>
        <w:footnoteReference w:id="14"/>
      </w:r>
      <w:r w:rsidRPr="002C127A">
        <w:rPr>
          <w:lang w:val="en-GB" w:eastAsia="fr-FR"/>
        </w:rPr>
        <w:t xml:space="preserve"> </w:t>
      </w:r>
      <w:r w:rsidR="00E80E10">
        <w:rPr>
          <w:lang w:val="en-GB" w:eastAsia="fr-FR"/>
        </w:rPr>
        <w:t>The next step is</w:t>
      </w:r>
      <w:r w:rsidRPr="002C127A">
        <w:rPr>
          <w:lang w:val="en-GB" w:eastAsia="fr-FR"/>
        </w:rPr>
        <w:t xml:space="preserve"> to ensure implementation is effective, </w:t>
      </w:r>
      <w:r w:rsidR="00FA6C8D">
        <w:rPr>
          <w:lang w:val="en-GB" w:eastAsia="fr-FR"/>
        </w:rPr>
        <w:lastRenderedPageBreak/>
        <w:t xml:space="preserve">and </w:t>
      </w:r>
      <w:r w:rsidRPr="002C127A">
        <w:rPr>
          <w:lang w:val="en-GB" w:eastAsia="fr-FR"/>
        </w:rPr>
        <w:t>includ</w:t>
      </w:r>
      <w:r w:rsidR="00FA6C8D">
        <w:rPr>
          <w:lang w:val="en-GB" w:eastAsia="fr-FR"/>
        </w:rPr>
        <w:t>es</w:t>
      </w:r>
      <w:r w:rsidRPr="002C127A">
        <w:rPr>
          <w:lang w:val="en-GB" w:eastAsia="fr-FR"/>
        </w:rPr>
        <w:t xml:space="preserve"> </w:t>
      </w:r>
      <w:r w:rsidR="00E80E10">
        <w:rPr>
          <w:lang w:val="en-GB" w:eastAsia="fr-FR"/>
        </w:rPr>
        <w:t>methods to</w:t>
      </w:r>
      <w:r w:rsidRPr="002C127A">
        <w:rPr>
          <w:lang w:val="en-GB" w:eastAsia="fr-FR"/>
        </w:rPr>
        <w:t xml:space="preserve"> improve </w:t>
      </w:r>
      <w:r w:rsidRPr="00451503">
        <w:rPr>
          <w:lang w:val="en-GB" w:eastAsia="fr-FR"/>
        </w:rPr>
        <w:t xml:space="preserve">national environment coordination mechanisms and capacities. </w:t>
      </w:r>
      <w:r w:rsidR="00E80E10">
        <w:t>UNDP will do this</w:t>
      </w:r>
      <w:r w:rsidR="00075655" w:rsidRPr="00451503">
        <w:t xml:space="preserve"> by revitaliz</w:t>
      </w:r>
      <w:r w:rsidR="00E80E10">
        <w:t>ing</w:t>
      </w:r>
      <w:r w:rsidR="00075655" w:rsidRPr="00451503">
        <w:t xml:space="preserve"> existing inter-sectoral environmental coordination bodies to improve their operational capability. UNDP will ensure the framework for consultation and co-ordination of national actors is carried out on a sustainable basis</w:t>
      </w:r>
      <w:r w:rsidR="00FA6C8D">
        <w:t>,</w:t>
      </w:r>
      <w:r w:rsidR="00075655" w:rsidRPr="00451503">
        <w:t xml:space="preserve"> and </w:t>
      </w:r>
      <w:r w:rsidR="00E80E10">
        <w:t xml:space="preserve">the government allocates </w:t>
      </w:r>
      <w:r w:rsidR="00075655" w:rsidRPr="00451503">
        <w:t>long-term</w:t>
      </w:r>
      <w:r w:rsidR="00E80E10">
        <w:t>,</w:t>
      </w:r>
      <w:r w:rsidR="00075655" w:rsidRPr="00451503">
        <w:t xml:space="preserve"> financial resources </w:t>
      </w:r>
      <w:r w:rsidR="00E80E10">
        <w:t>for future initiatives</w:t>
      </w:r>
      <w:r w:rsidR="00D72060">
        <w:t>.</w:t>
      </w:r>
    </w:p>
    <w:p w:rsidR="00DB6A8E" w:rsidRPr="00DB6A8E" w:rsidRDefault="00DB6A8E" w:rsidP="00DB6A8E">
      <w:pPr>
        <w:tabs>
          <w:tab w:val="left" w:pos="1080"/>
        </w:tabs>
        <w:spacing w:after="120"/>
        <w:ind w:left="720" w:right="680"/>
        <w:contextualSpacing/>
        <w:jc w:val="both"/>
        <w:rPr>
          <w:sz w:val="12"/>
          <w:szCs w:val="12"/>
          <w:lang w:val="en-GB" w:eastAsia="fr-FR"/>
        </w:rPr>
      </w:pPr>
    </w:p>
    <w:p w:rsidR="006A7E33" w:rsidRPr="00451503" w:rsidRDefault="008B33DA" w:rsidP="003F00AC">
      <w:pPr>
        <w:numPr>
          <w:ilvl w:val="0"/>
          <w:numId w:val="9"/>
        </w:numPr>
        <w:tabs>
          <w:tab w:val="left" w:pos="1080"/>
        </w:tabs>
        <w:spacing w:after="120"/>
        <w:ind w:right="680" w:firstLine="0"/>
        <w:contextualSpacing/>
        <w:jc w:val="both"/>
        <w:rPr>
          <w:lang w:val="en-GB" w:eastAsia="fr-FR"/>
        </w:rPr>
      </w:pPr>
      <w:r w:rsidRPr="00451503">
        <w:rPr>
          <w:lang w:val="en-GB" w:eastAsia="fr-FR"/>
        </w:rPr>
        <w:t xml:space="preserve">UNDP </w:t>
      </w:r>
      <w:r w:rsidR="00E80E10">
        <w:rPr>
          <w:lang w:val="en-GB" w:eastAsia="fr-FR"/>
        </w:rPr>
        <w:t>helped</w:t>
      </w:r>
      <w:r w:rsidRPr="00451503">
        <w:rPr>
          <w:lang w:val="en-GB" w:eastAsia="fr-FR"/>
        </w:rPr>
        <w:t xml:space="preserve"> </w:t>
      </w:r>
      <w:r w:rsidR="00FA6C8D" w:rsidRPr="00451503">
        <w:rPr>
          <w:lang w:val="en-GB" w:eastAsia="fr-FR"/>
        </w:rPr>
        <w:t>improv</w:t>
      </w:r>
      <w:r w:rsidR="00FA6C8D">
        <w:rPr>
          <w:lang w:val="en-GB" w:eastAsia="fr-FR"/>
        </w:rPr>
        <w:t>e</w:t>
      </w:r>
      <w:r w:rsidRPr="00451503">
        <w:rPr>
          <w:lang w:val="en-GB" w:eastAsia="fr-FR"/>
        </w:rPr>
        <w:t xml:space="preserve"> Mauritania’s capacities to respond to the risk of disasters </w:t>
      </w:r>
      <w:r w:rsidR="009B237D">
        <w:rPr>
          <w:lang w:val="en-GB" w:eastAsia="fr-FR"/>
        </w:rPr>
        <w:t xml:space="preserve">and </w:t>
      </w:r>
      <w:r w:rsidR="00FA6C8D">
        <w:rPr>
          <w:lang w:val="en-GB" w:eastAsia="fr-FR"/>
        </w:rPr>
        <w:t xml:space="preserve">provide </w:t>
      </w:r>
      <w:r w:rsidRPr="00451503">
        <w:rPr>
          <w:lang w:val="en-GB" w:eastAsia="fr-FR"/>
        </w:rPr>
        <w:t xml:space="preserve">legal and institutional </w:t>
      </w:r>
      <w:r w:rsidR="00FA6C8D">
        <w:rPr>
          <w:lang w:val="en-GB" w:eastAsia="fr-FR"/>
        </w:rPr>
        <w:t>feedback</w:t>
      </w:r>
      <w:r w:rsidR="00FA6C8D" w:rsidRPr="00451503">
        <w:rPr>
          <w:lang w:val="en-GB" w:eastAsia="fr-FR"/>
        </w:rPr>
        <w:t xml:space="preserve"> </w:t>
      </w:r>
      <w:r w:rsidRPr="00451503">
        <w:rPr>
          <w:lang w:val="en-GB" w:eastAsia="fr-FR"/>
        </w:rPr>
        <w:t xml:space="preserve">in this area. </w:t>
      </w:r>
      <w:r w:rsidR="00FA6C8D">
        <w:rPr>
          <w:lang w:val="en-GB" w:eastAsia="fr-FR"/>
        </w:rPr>
        <w:t>Yet, it is still necessary</w:t>
      </w:r>
      <w:r w:rsidRPr="00451503">
        <w:rPr>
          <w:lang w:val="en-GB" w:eastAsia="fr-FR"/>
        </w:rPr>
        <w:t xml:space="preserve"> to </w:t>
      </w:r>
      <w:r w:rsidR="00E80E10">
        <w:rPr>
          <w:lang w:val="en-GB" w:eastAsia="fr-FR"/>
        </w:rPr>
        <w:t>provide</w:t>
      </w:r>
      <w:r w:rsidR="009B237D">
        <w:rPr>
          <w:lang w:val="en-GB" w:eastAsia="fr-FR"/>
        </w:rPr>
        <w:t xml:space="preserve"> </w:t>
      </w:r>
      <w:r w:rsidRPr="00451503">
        <w:rPr>
          <w:lang w:val="en-GB" w:eastAsia="fr-FR"/>
        </w:rPr>
        <w:t>clear institutional organization, a strategic plan for disaster risk reduction</w:t>
      </w:r>
      <w:r w:rsidR="00CF559D">
        <w:rPr>
          <w:lang w:val="en-GB" w:eastAsia="fr-FR"/>
        </w:rPr>
        <w:t>,</w:t>
      </w:r>
      <w:r w:rsidRPr="00451503">
        <w:rPr>
          <w:lang w:val="en-GB" w:eastAsia="fr-FR"/>
        </w:rPr>
        <w:t xml:space="preserve"> and mechanism</w:t>
      </w:r>
      <w:r w:rsidR="00CF559D">
        <w:rPr>
          <w:lang w:val="en-GB" w:eastAsia="fr-FR"/>
        </w:rPr>
        <w:t>s</w:t>
      </w:r>
      <w:r w:rsidRPr="00451503">
        <w:rPr>
          <w:lang w:val="en-GB" w:eastAsia="fr-FR"/>
        </w:rPr>
        <w:t xml:space="preserve"> </w:t>
      </w:r>
      <w:r w:rsidR="00CF559D">
        <w:rPr>
          <w:lang w:val="en-GB" w:eastAsia="fr-FR"/>
        </w:rPr>
        <w:t>for</w:t>
      </w:r>
      <w:r w:rsidR="00CF559D" w:rsidRPr="00451503">
        <w:rPr>
          <w:lang w:val="en-GB" w:eastAsia="fr-FR"/>
        </w:rPr>
        <w:t xml:space="preserve"> </w:t>
      </w:r>
      <w:r w:rsidRPr="00451503">
        <w:rPr>
          <w:lang w:val="en-GB" w:eastAsia="fr-FR"/>
        </w:rPr>
        <w:t>mobiliz</w:t>
      </w:r>
      <w:r w:rsidR="00CF559D">
        <w:rPr>
          <w:lang w:val="en-GB" w:eastAsia="fr-FR"/>
        </w:rPr>
        <w:t>ing</w:t>
      </w:r>
      <w:r w:rsidRPr="00451503">
        <w:rPr>
          <w:lang w:val="en-GB" w:eastAsia="fr-FR"/>
        </w:rPr>
        <w:t xml:space="preserve"> resources</w:t>
      </w:r>
      <w:r w:rsidR="009B237D">
        <w:rPr>
          <w:lang w:val="en-GB" w:eastAsia="fr-FR"/>
        </w:rPr>
        <w:t xml:space="preserve">. </w:t>
      </w:r>
      <w:r w:rsidR="007A0358">
        <w:rPr>
          <w:lang w:val="en-GB" w:eastAsia="fr-FR"/>
        </w:rPr>
        <w:t>T</w:t>
      </w:r>
      <w:r w:rsidR="00075655" w:rsidRPr="00451503">
        <w:rPr>
          <w:lang w:val="en-GB" w:eastAsia="fr-FR"/>
        </w:rPr>
        <w:t xml:space="preserve">he programme will contribute to the formulation and implementation of the National Plan for Disaster Risk Reduction, </w:t>
      </w:r>
      <w:r w:rsidR="00CF559D">
        <w:rPr>
          <w:lang w:val="en-GB" w:eastAsia="fr-FR"/>
        </w:rPr>
        <w:t xml:space="preserve">as well as </w:t>
      </w:r>
      <w:r w:rsidR="00075655" w:rsidRPr="00451503">
        <w:rPr>
          <w:lang w:val="en-GB" w:eastAsia="fr-FR"/>
        </w:rPr>
        <w:t>integrat</w:t>
      </w:r>
      <w:r w:rsidR="00FA6C8D">
        <w:rPr>
          <w:lang w:val="en-GB" w:eastAsia="fr-FR"/>
        </w:rPr>
        <w:t>e</w:t>
      </w:r>
      <w:r w:rsidR="00075655" w:rsidRPr="00451503">
        <w:rPr>
          <w:lang w:val="en-GB" w:eastAsia="fr-FR"/>
        </w:rPr>
        <w:t xml:space="preserve"> climate risks</w:t>
      </w:r>
      <w:r w:rsidR="00CF559D">
        <w:rPr>
          <w:lang w:val="en-GB" w:eastAsia="fr-FR"/>
        </w:rPr>
        <w:t>;</w:t>
      </w:r>
      <w:r w:rsidR="00075655" w:rsidRPr="00451503">
        <w:rPr>
          <w:lang w:val="en-GB" w:eastAsia="fr-FR"/>
        </w:rPr>
        <w:t xml:space="preserve"> improv</w:t>
      </w:r>
      <w:r w:rsidR="00FA6C8D">
        <w:rPr>
          <w:lang w:val="en-GB" w:eastAsia="fr-FR"/>
        </w:rPr>
        <w:t>e</w:t>
      </w:r>
      <w:r w:rsidR="00075655" w:rsidRPr="00451503">
        <w:rPr>
          <w:lang w:val="en-GB" w:eastAsia="fr-FR"/>
        </w:rPr>
        <w:t xml:space="preserve"> community resilience </w:t>
      </w:r>
      <w:r w:rsidR="00CF559D">
        <w:rPr>
          <w:lang w:val="en-GB" w:eastAsia="fr-FR"/>
        </w:rPr>
        <w:t>by</w:t>
      </w:r>
      <w:r w:rsidR="00CF559D" w:rsidRPr="00451503">
        <w:rPr>
          <w:lang w:val="en-GB" w:eastAsia="fr-FR"/>
        </w:rPr>
        <w:t xml:space="preserve"> </w:t>
      </w:r>
      <w:r w:rsidR="00F3336D">
        <w:rPr>
          <w:lang w:val="en-GB" w:eastAsia="fr-FR"/>
        </w:rPr>
        <w:t>collaborating</w:t>
      </w:r>
      <w:r w:rsidR="00F3336D" w:rsidRPr="00451503">
        <w:rPr>
          <w:lang w:val="en-GB" w:eastAsia="fr-FR"/>
        </w:rPr>
        <w:t xml:space="preserve"> </w:t>
      </w:r>
      <w:r w:rsidR="00075655" w:rsidRPr="00451503">
        <w:rPr>
          <w:lang w:val="en-GB" w:eastAsia="fr-FR"/>
        </w:rPr>
        <w:t>with local</w:t>
      </w:r>
      <w:r w:rsidR="00F3336D">
        <w:rPr>
          <w:lang w:val="en-GB" w:eastAsia="fr-FR"/>
        </w:rPr>
        <w:t>,</w:t>
      </w:r>
      <w:r w:rsidR="00075655" w:rsidRPr="00451503">
        <w:rPr>
          <w:lang w:val="en-GB" w:eastAsia="fr-FR"/>
        </w:rPr>
        <w:t xml:space="preserve"> NGOs</w:t>
      </w:r>
      <w:r w:rsidR="00CF559D">
        <w:rPr>
          <w:lang w:val="en-GB" w:eastAsia="fr-FR"/>
        </w:rPr>
        <w:t>;</w:t>
      </w:r>
      <w:r w:rsidR="00075655" w:rsidRPr="00451503">
        <w:rPr>
          <w:lang w:val="en-GB" w:eastAsia="fr-FR"/>
        </w:rPr>
        <w:t xml:space="preserve"> strengthen the national early warning system</w:t>
      </w:r>
      <w:r w:rsidR="00CF559D">
        <w:rPr>
          <w:lang w:val="en-GB" w:eastAsia="fr-FR"/>
        </w:rPr>
        <w:t>,</w:t>
      </w:r>
      <w:r w:rsidR="00075655" w:rsidRPr="00451503">
        <w:rPr>
          <w:lang w:val="en-GB" w:eastAsia="fr-FR"/>
        </w:rPr>
        <w:t xml:space="preserve"> and mobiliz</w:t>
      </w:r>
      <w:r w:rsidR="00FA6C8D">
        <w:rPr>
          <w:lang w:val="en-GB" w:eastAsia="fr-FR"/>
        </w:rPr>
        <w:t>e</w:t>
      </w:r>
      <w:r w:rsidR="00075655" w:rsidRPr="00451503">
        <w:rPr>
          <w:lang w:val="en-GB" w:eastAsia="fr-FR"/>
        </w:rPr>
        <w:t xml:space="preserve"> partnership</w:t>
      </w:r>
      <w:r w:rsidR="00CF559D">
        <w:rPr>
          <w:lang w:val="en-GB" w:eastAsia="fr-FR"/>
        </w:rPr>
        <w:t>s</w:t>
      </w:r>
      <w:r w:rsidR="00075655" w:rsidRPr="00451503">
        <w:rPr>
          <w:lang w:val="en-GB" w:eastAsia="fr-FR"/>
        </w:rPr>
        <w:t xml:space="preserve"> and funding</w:t>
      </w:r>
      <w:r w:rsidR="005A0A30">
        <w:rPr>
          <w:lang w:val="en-GB" w:eastAsia="fr-FR"/>
        </w:rPr>
        <w:t>.</w:t>
      </w:r>
      <w:r w:rsidR="00075655" w:rsidRPr="00451503">
        <w:rPr>
          <w:lang w:val="en-GB" w:eastAsia="fr-FR"/>
        </w:rPr>
        <w:t xml:space="preserve"> The programme will focus on post-disaster recovery by strengthening the capacity of </w:t>
      </w:r>
      <w:r w:rsidR="00CF559D">
        <w:rPr>
          <w:lang w:val="en-GB" w:eastAsia="fr-FR"/>
        </w:rPr>
        <w:t xml:space="preserve">local </w:t>
      </w:r>
      <w:r w:rsidR="00075655" w:rsidRPr="00451503">
        <w:rPr>
          <w:lang w:val="en-GB" w:eastAsia="fr-FR"/>
        </w:rPr>
        <w:t xml:space="preserve">governments and communities. </w:t>
      </w:r>
      <w:r w:rsidR="00CF559D">
        <w:rPr>
          <w:lang w:val="en-GB" w:eastAsia="fr-FR"/>
        </w:rPr>
        <w:t>S</w:t>
      </w:r>
      <w:r w:rsidR="00075655" w:rsidRPr="00451503">
        <w:rPr>
          <w:lang w:val="en-GB" w:eastAsia="fr-FR"/>
        </w:rPr>
        <w:t>upport will include develop</w:t>
      </w:r>
      <w:r w:rsidR="00CF559D">
        <w:rPr>
          <w:lang w:val="en-GB" w:eastAsia="fr-FR"/>
        </w:rPr>
        <w:t>ing</w:t>
      </w:r>
      <w:r w:rsidR="00075655" w:rsidRPr="00451503">
        <w:rPr>
          <w:lang w:val="en-GB" w:eastAsia="fr-FR"/>
        </w:rPr>
        <w:t xml:space="preserve"> risk reduction plans/strategies at the local level </w:t>
      </w:r>
      <w:r w:rsidR="00CF559D">
        <w:rPr>
          <w:lang w:val="en-GB" w:eastAsia="fr-FR"/>
        </w:rPr>
        <w:t xml:space="preserve">that </w:t>
      </w:r>
      <w:r w:rsidR="00075655" w:rsidRPr="00451503">
        <w:rPr>
          <w:lang w:val="en-GB" w:eastAsia="fr-FR"/>
        </w:rPr>
        <w:t>directly invol</w:t>
      </w:r>
      <w:r w:rsidR="00CF559D">
        <w:rPr>
          <w:lang w:val="en-GB" w:eastAsia="fr-FR"/>
        </w:rPr>
        <w:t>ve</w:t>
      </w:r>
      <w:r w:rsidR="00075655" w:rsidRPr="00451503">
        <w:rPr>
          <w:lang w:val="en-GB" w:eastAsia="fr-FR"/>
        </w:rPr>
        <w:t xml:space="preserve"> communities. The programme will support mainstreaming gender into the formulation and implementation of the National Plan for Disaster Risk Reduction, local contingency plans</w:t>
      </w:r>
      <w:r w:rsidR="00CF559D">
        <w:rPr>
          <w:lang w:val="en-GB" w:eastAsia="fr-FR"/>
        </w:rPr>
        <w:t>,</w:t>
      </w:r>
      <w:r w:rsidR="00075655" w:rsidRPr="00451503">
        <w:rPr>
          <w:lang w:val="en-GB" w:eastAsia="fr-FR"/>
        </w:rPr>
        <w:t xml:space="preserve"> and strategies on renewable energies and water</w:t>
      </w:r>
      <w:r w:rsidR="00C43E34" w:rsidRPr="00451503">
        <w:rPr>
          <w:lang w:val="en-GB" w:eastAsia="fr-FR"/>
        </w:rPr>
        <w:t>.</w:t>
      </w:r>
    </w:p>
    <w:p w:rsidR="009B28A7" w:rsidRPr="00DB6A8E" w:rsidRDefault="009B28A7" w:rsidP="003F00AC">
      <w:pPr>
        <w:tabs>
          <w:tab w:val="left" w:pos="1080"/>
        </w:tabs>
        <w:spacing w:after="120"/>
        <w:ind w:right="680"/>
        <w:contextualSpacing/>
        <w:jc w:val="both"/>
        <w:rPr>
          <w:sz w:val="12"/>
          <w:szCs w:val="12"/>
          <w:lang w:val="en-GB" w:eastAsia="fr-FR"/>
        </w:rPr>
      </w:pPr>
    </w:p>
    <w:p w:rsidR="003638FE" w:rsidRPr="00DB6A8E" w:rsidRDefault="007C707D" w:rsidP="00DB6A8E">
      <w:pPr>
        <w:numPr>
          <w:ilvl w:val="0"/>
          <w:numId w:val="9"/>
        </w:numPr>
        <w:tabs>
          <w:tab w:val="left" w:pos="1080"/>
        </w:tabs>
        <w:ind w:right="680" w:firstLine="0"/>
        <w:contextualSpacing/>
        <w:jc w:val="both"/>
        <w:rPr>
          <w:lang w:val="en-GB" w:eastAsia="fr-FR"/>
        </w:rPr>
      </w:pPr>
      <w:r w:rsidRPr="00451503">
        <w:rPr>
          <w:lang w:val="en-GB"/>
        </w:rPr>
        <w:t>The programme will contribute to the unification of legal and regulatory framework</w:t>
      </w:r>
      <w:r w:rsidR="00CF559D">
        <w:rPr>
          <w:lang w:val="en-GB"/>
        </w:rPr>
        <w:t>s</w:t>
      </w:r>
      <w:r w:rsidRPr="00451503">
        <w:rPr>
          <w:lang w:val="en-GB"/>
        </w:rPr>
        <w:t xml:space="preserve"> for sustainable environmental management </w:t>
      </w:r>
      <w:r w:rsidR="00CF559D">
        <w:rPr>
          <w:lang w:val="en-GB"/>
        </w:rPr>
        <w:t>by</w:t>
      </w:r>
      <w:r w:rsidRPr="00451503">
        <w:rPr>
          <w:lang w:val="en-GB"/>
        </w:rPr>
        <w:t xml:space="preserve"> harmoniz</w:t>
      </w:r>
      <w:r w:rsidR="00CF559D">
        <w:rPr>
          <w:lang w:val="en-GB"/>
        </w:rPr>
        <w:t>ing</w:t>
      </w:r>
      <w:r w:rsidRPr="00451503">
        <w:rPr>
          <w:lang w:val="en-GB"/>
        </w:rPr>
        <w:t xml:space="preserve"> legal </w:t>
      </w:r>
      <w:r w:rsidR="00CF559D">
        <w:rPr>
          <w:lang w:val="en-GB"/>
        </w:rPr>
        <w:t>arrangements</w:t>
      </w:r>
      <w:r w:rsidR="00CF559D" w:rsidRPr="00451503">
        <w:rPr>
          <w:lang w:val="en-GB"/>
        </w:rPr>
        <w:t xml:space="preserve"> </w:t>
      </w:r>
      <w:r w:rsidRPr="00451503">
        <w:rPr>
          <w:lang w:val="en-GB"/>
        </w:rPr>
        <w:t>relat</w:t>
      </w:r>
      <w:r w:rsidR="00CF559D">
        <w:rPr>
          <w:lang w:val="en-GB"/>
        </w:rPr>
        <w:t>ed</w:t>
      </w:r>
      <w:r w:rsidRPr="00451503">
        <w:rPr>
          <w:lang w:val="en-GB"/>
        </w:rPr>
        <w:t xml:space="preserve"> to </w:t>
      </w:r>
      <w:r w:rsidR="00440713" w:rsidRPr="00451503">
        <w:rPr>
          <w:lang w:val="en-GB"/>
        </w:rPr>
        <w:t xml:space="preserve">natural resources and environment </w:t>
      </w:r>
      <w:r w:rsidRPr="00451503">
        <w:rPr>
          <w:lang w:val="en-GB"/>
        </w:rPr>
        <w:t>sustainable management</w:t>
      </w:r>
      <w:r w:rsidR="00CF559D">
        <w:rPr>
          <w:lang w:val="en-GB"/>
        </w:rPr>
        <w:t>,</w:t>
      </w:r>
      <w:r w:rsidRPr="00451503">
        <w:rPr>
          <w:lang w:val="en-GB"/>
        </w:rPr>
        <w:t xml:space="preserve"> </w:t>
      </w:r>
      <w:r w:rsidR="00CF559D">
        <w:rPr>
          <w:lang w:val="en-GB"/>
        </w:rPr>
        <w:t>along with finalizing and adopting</w:t>
      </w:r>
      <w:r w:rsidRPr="00451503">
        <w:rPr>
          <w:lang w:val="en-GB"/>
        </w:rPr>
        <w:t xml:space="preserve"> legislation </w:t>
      </w:r>
      <w:r w:rsidR="00CF559D">
        <w:rPr>
          <w:lang w:val="en-GB"/>
        </w:rPr>
        <w:t>on</w:t>
      </w:r>
      <w:r w:rsidR="00CF559D" w:rsidRPr="00451503">
        <w:rPr>
          <w:lang w:val="en-GB"/>
        </w:rPr>
        <w:t xml:space="preserve"> </w:t>
      </w:r>
      <w:r w:rsidRPr="00451503">
        <w:rPr>
          <w:lang w:val="en-GB"/>
        </w:rPr>
        <w:t>the framework law on the environment.</w:t>
      </w:r>
      <w:r w:rsidR="00075655" w:rsidRPr="00451503">
        <w:rPr>
          <w:lang w:val="en-GB"/>
        </w:rPr>
        <w:t xml:space="preserve"> </w:t>
      </w:r>
      <w:r w:rsidR="00110A09" w:rsidRPr="00451503">
        <w:rPr>
          <w:lang w:val="en-GB"/>
        </w:rPr>
        <w:t xml:space="preserve">Ecosystem management and </w:t>
      </w:r>
      <w:r w:rsidR="00CF559D">
        <w:rPr>
          <w:lang w:val="en-GB"/>
        </w:rPr>
        <w:t xml:space="preserve">better </w:t>
      </w:r>
      <w:r w:rsidR="00110A09" w:rsidRPr="00451503">
        <w:rPr>
          <w:lang w:val="en-GB"/>
        </w:rPr>
        <w:t xml:space="preserve">use of natural resources </w:t>
      </w:r>
      <w:r w:rsidR="00CF559D">
        <w:rPr>
          <w:lang w:val="en-GB"/>
        </w:rPr>
        <w:t>are areas of focus</w:t>
      </w:r>
      <w:r w:rsidR="00F77A3C">
        <w:rPr>
          <w:lang w:val="en-GB"/>
        </w:rPr>
        <w:t>,</w:t>
      </w:r>
      <w:r w:rsidR="00CF559D">
        <w:rPr>
          <w:lang w:val="en-GB"/>
        </w:rPr>
        <w:t xml:space="preserve"> and UNDP will</w:t>
      </w:r>
      <w:r w:rsidR="00440713">
        <w:rPr>
          <w:lang w:val="en-GB"/>
        </w:rPr>
        <w:t xml:space="preserve"> </w:t>
      </w:r>
      <w:r w:rsidR="00110A09" w:rsidRPr="00451503">
        <w:rPr>
          <w:lang w:val="en-GB"/>
        </w:rPr>
        <w:t>strengthen the technical and institutional capaci</w:t>
      </w:r>
      <w:r w:rsidR="00CF559D">
        <w:rPr>
          <w:lang w:val="en-GB"/>
        </w:rPr>
        <w:t>ties</w:t>
      </w:r>
      <w:r w:rsidR="00110A09" w:rsidRPr="00451503">
        <w:rPr>
          <w:lang w:val="en-GB"/>
        </w:rPr>
        <w:t xml:space="preserve"> </w:t>
      </w:r>
      <w:r w:rsidR="00F77A3C">
        <w:rPr>
          <w:lang w:val="en-GB"/>
        </w:rPr>
        <w:t>for</w:t>
      </w:r>
      <w:r w:rsidR="00F77A3C" w:rsidRPr="00451503">
        <w:rPr>
          <w:lang w:val="en-GB"/>
        </w:rPr>
        <w:t xml:space="preserve"> </w:t>
      </w:r>
      <w:r w:rsidR="00110A09" w:rsidRPr="00451503">
        <w:rPr>
          <w:lang w:val="en-GB"/>
        </w:rPr>
        <w:t xml:space="preserve">ecosystem </w:t>
      </w:r>
      <w:r w:rsidR="00440713" w:rsidRPr="00451503">
        <w:rPr>
          <w:lang w:val="en-GB"/>
        </w:rPr>
        <w:t xml:space="preserve">and water resource </w:t>
      </w:r>
      <w:r w:rsidR="00110A09" w:rsidRPr="00451503">
        <w:rPr>
          <w:lang w:val="en-GB"/>
        </w:rPr>
        <w:t xml:space="preserve">management. </w:t>
      </w:r>
      <w:r w:rsidR="00657060" w:rsidRPr="00451503">
        <w:rPr>
          <w:lang w:val="en-GB"/>
        </w:rPr>
        <w:t xml:space="preserve">UNDP will </w:t>
      </w:r>
      <w:r w:rsidR="000202C1" w:rsidRPr="00451503">
        <w:rPr>
          <w:lang w:val="en-GB"/>
        </w:rPr>
        <w:t xml:space="preserve">identify and implement </w:t>
      </w:r>
      <w:r w:rsidR="0096795A" w:rsidRPr="00451503">
        <w:rPr>
          <w:lang w:val="en-GB"/>
        </w:rPr>
        <w:t xml:space="preserve">projects </w:t>
      </w:r>
      <w:r w:rsidR="000202C1" w:rsidRPr="00451503">
        <w:rPr>
          <w:lang w:val="en-GB"/>
        </w:rPr>
        <w:t xml:space="preserve">that </w:t>
      </w:r>
      <w:r w:rsidR="00CF559D">
        <w:rPr>
          <w:lang w:val="en-GB"/>
        </w:rPr>
        <w:t>are</w:t>
      </w:r>
      <w:r w:rsidR="00CF559D" w:rsidRPr="00451503">
        <w:rPr>
          <w:lang w:val="en-GB"/>
        </w:rPr>
        <w:t xml:space="preserve"> </w:t>
      </w:r>
      <w:r w:rsidR="0096795A" w:rsidRPr="00451503">
        <w:rPr>
          <w:lang w:val="en-GB"/>
        </w:rPr>
        <w:t xml:space="preserve">sustainable and </w:t>
      </w:r>
      <w:r w:rsidR="000202C1" w:rsidRPr="00451503">
        <w:rPr>
          <w:lang w:val="en-GB"/>
        </w:rPr>
        <w:t xml:space="preserve">directly </w:t>
      </w:r>
      <w:r w:rsidR="00F3336D">
        <w:rPr>
          <w:lang w:val="en-GB"/>
        </w:rPr>
        <w:t xml:space="preserve">affect </w:t>
      </w:r>
      <w:r w:rsidR="00657060" w:rsidRPr="00451503">
        <w:rPr>
          <w:lang w:val="en-GB"/>
        </w:rPr>
        <w:t>communities and national institutions.</w:t>
      </w:r>
      <w:r w:rsidR="0096795A" w:rsidRPr="00451503">
        <w:rPr>
          <w:lang w:val="en-GB"/>
        </w:rPr>
        <w:t xml:space="preserve"> </w:t>
      </w:r>
      <w:r w:rsidR="00541F9D" w:rsidRPr="00451503">
        <w:t>The programme will continue to integrate environmental</w:t>
      </w:r>
      <w:r w:rsidR="00C15495" w:rsidRPr="00451503">
        <w:t>, disaster risk reduction</w:t>
      </w:r>
      <w:r w:rsidR="00CF559D">
        <w:t>,</w:t>
      </w:r>
      <w:r w:rsidR="00541F9D" w:rsidRPr="00451503">
        <w:t xml:space="preserve"> and climate change issues into national</w:t>
      </w:r>
      <w:r w:rsidR="00C15495" w:rsidRPr="00451503">
        <w:t>, sub-national</w:t>
      </w:r>
      <w:r w:rsidR="00541F9D" w:rsidRPr="00451503">
        <w:t xml:space="preserve"> and sectoral development policies, strategies and program</w:t>
      </w:r>
      <w:r w:rsidR="00B25402" w:rsidRPr="00451503">
        <w:t>me</w:t>
      </w:r>
      <w:r w:rsidR="001C1A59" w:rsidRPr="00451503">
        <w:t xml:space="preserve">s. </w:t>
      </w:r>
    </w:p>
    <w:p w:rsidR="00DB6A8E" w:rsidRPr="00DB6A8E" w:rsidRDefault="00DB6A8E" w:rsidP="00DB6A8E">
      <w:pPr>
        <w:pStyle w:val="ListParagraph"/>
        <w:rPr>
          <w:sz w:val="12"/>
          <w:szCs w:val="12"/>
          <w:lang w:val="en-GB" w:eastAsia="fr-FR"/>
        </w:rPr>
      </w:pPr>
    </w:p>
    <w:p w:rsidR="003E0823" w:rsidRPr="00451503" w:rsidRDefault="00F77A3C" w:rsidP="003F00AC">
      <w:pPr>
        <w:numPr>
          <w:ilvl w:val="0"/>
          <w:numId w:val="9"/>
        </w:numPr>
        <w:tabs>
          <w:tab w:val="left" w:pos="1080"/>
        </w:tabs>
        <w:spacing w:after="120"/>
        <w:ind w:right="680" w:firstLine="0"/>
        <w:contextualSpacing/>
        <w:jc w:val="both"/>
        <w:rPr>
          <w:lang w:val="en-GB" w:eastAsia="fr-FR"/>
        </w:rPr>
      </w:pPr>
      <w:r>
        <w:rPr>
          <w:lang w:val="en-GB" w:eastAsia="fr-FR"/>
        </w:rPr>
        <w:t>De</w:t>
      </w:r>
      <w:r w:rsidR="00194181" w:rsidRPr="002C127A">
        <w:rPr>
          <w:lang w:val="en-GB" w:eastAsia="fr-FR"/>
        </w:rPr>
        <w:t xml:space="preserve">spite advances </w:t>
      </w:r>
      <w:r w:rsidR="00CF559D">
        <w:rPr>
          <w:lang w:val="en-GB" w:eastAsia="fr-FR"/>
        </w:rPr>
        <w:t xml:space="preserve">made </w:t>
      </w:r>
      <w:r w:rsidR="00204B5B" w:rsidRPr="002C127A">
        <w:rPr>
          <w:lang w:val="en-GB" w:eastAsia="fr-FR"/>
        </w:rPr>
        <w:t>in the energy sector</w:t>
      </w:r>
      <w:r w:rsidR="00BD3439" w:rsidRPr="002C127A">
        <w:rPr>
          <w:lang w:val="en-GB" w:eastAsia="fr-FR"/>
        </w:rPr>
        <w:t>,</w:t>
      </w:r>
      <w:r w:rsidR="00075655" w:rsidRPr="002C127A">
        <w:rPr>
          <w:lang w:val="en-GB" w:eastAsia="fr-FR"/>
        </w:rPr>
        <w:t xml:space="preserve"> </w:t>
      </w:r>
      <w:r w:rsidR="00CF559D">
        <w:rPr>
          <w:lang w:val="en-GB" w:eastAsia="fr-FR"/>
        </w:rPr>
        <w:t>impoverished</w:t>
      </w:r>
      <w:r w:rsidR="00CF559D" w:rsidRPr="002C127A">
        <w:rPr>
          <w:lang w:val="en-GB" w:eastAsia="fr-FR"/>
        </w:rPr>
        <w:t xml:space="preserve"> </w:t>
      </w:r>
      <w:r w:rsidR="00075655" w:rsidRPr="002C127A">
        <w:rPr>
          <w:lang w:val="en-GB" w:eastAsia="fr-FR"/>
        </w:rPr>
        <w:t xml:space="preserve">rural communities </w:t>
      </w:r>
      <w:r w:rsidR="00CF559D">
        <w:rPr>
          <w:lang w:val="en-GB" w:eastAsia="fr-FR"/>
        </w:rPr>
        <w:t>do not have</w:t>
      </w:r>
      <w:r w:rsidR="00BD3439" w:rsidRPr="002C127A">
        <w:rPr>
          <w:lang w:val="en-GB" w:eastAsia="fr-FR"/>
        </w:rPr>
        <w:t xml:space="preserve"> </w:t>
      </w:r>
      <w:r w:rsidR="00075655" w:rsidRPr="002C127A">
        <w:rPr>
          <w:lang w:val="en-GB" w:eastAsia="fr-FR"/>
        </w:rPr>
        <w:t>access to clean and affordable sources of energy.</w:t>
      </w:r>
      <w:r w:rsidR="00BD3439" w:rsidRPr="002C127A">
        <w:rPr>
          <w:lang w:val="en-GB" w:eastAsia="fr-FR"/>
        </w:rPr>
        <w:t xml:space="preserve"> The new programme </w:t>
      </w:r>
      <w:r w:rsidR="00541F9D" w:rsidRPr="002C127A">
        <w:t xml:space="preserve">will support </w:t>
      </w:r>
      <w:r w:rsidR="007A0358" w:rsidRPr="002C127A">
        <w:t xml:space="preserve">the </w:t>
      </w:r>
      <w:r w:rsidR="007C707D" w:rsidRPr="002C127A">
        <w:t>Sustainable Energy for All (</w:t>
      </w:r>
      <w:r w:rsidR="00541F9D" w:rsidRPr="002C127A">
        <w:t>SE4ALL</w:t>
      </w:r>
      <w:r w:rsidR="007C707D" w:rsidRPr="002C127A">
        <w:t>)</w:t>
      </w:r>
      <w:r w:rsidR="00541F9D" w:rsidRPr="002C127A">
        <w:t xml:space="preserve"> process </w:t>
      </w:r>
      <w:r w:rsidR="00CF559D">
        <w:t>by using complimentary</w:t>
      </w:r>
      <w:r w:rsidR="00541F9D" w:rsidRPr="002C127A">
        <w:t xml:space="preserve"> approaches </w:t>
      </w:r>
      <w:r w:rsidR="00CF559D">
        <w:t>from</w:t>
      </w:r>
      <w:r w:rsidR="00CF559D" w:rsidRPr="002C127A">
        <w:t xml:space="preserve"> </w:t>
      </w:r>
      <w:r w:rsidR="00CF559D">
        <w:t>international f</w:t>
      </w:r>
      <w:r w:rsidR="00541F9D" w:rsidRPr="002C127A">
        <w:t xml:space="preserve">inancial </w:t>
      </w:r>
      <w:r w:rsidR="00CF559D">
        <w:t>i</w:t>
      </w:r>
      <w:r w:rsidR="00541F9D" w:rsidRPr="002C127A">
        <w:t>nstitutions (</w:t>
      </w:r>
      <w:r w:rsidR="00CF559D">
        <w:t xml:space="preserve">e.g. </w:t>
      </w:r>
      <w:r w:rsidR="00541F9D" w:rsidRPr="002C127A">
        <w:t>World Bank and Af</w:t>
      </w:r>
      <w:r w:rsidR="001B0C8F" w:rsidRPr="002C127A">
        <w:t>DB</w:t>
      </w:r>
      <w:r w:rsidR="00541F9D" w:rsidRPr="002C127A">
        <w:t xml:space="preserve">) </w:t>
      </w:r>
      <w:r w:rsidR="009B1DAE">
        <w:t>and best practices from United Nations Development Programme</w:t>
      </w:r>
      <w:r>
        <w:t>.</w:t>
      </w:r>
      <w:r w:rsidR="00541F9D" w:rsidRPr="002C127A">
        <w:t xml:space="preserve"> The programme will support </w:t>
      </w:r>
      <w:r w:rsidR="009F0376" w:rsidRPr="002C127A">
        <w:t>g</w:t>
      </w:r>
      <w:r w:rsidR="00541F9D" w:rsidRPr="002C127A">
        <w:t xml:space="preserve">overnment efforts </w:t>
      </w:r>
      <w:r w:rsidR="00CF559D">
        <w:t>in</w:t>
      </w:r>
      <w:r w:rsidR="00CF559D" w:rsidRPr="002C127A">
        <w:t xml:space="preserve"> </w:t>
      </w:r>
      <w:r w:rsidR="00541F9D" w:rsidRPr="002C127A">
        <w:t>creat</w:t>
      </w:r>
      <w:r w:rsidR="00CF559D">
        <w:t>ing</w:t>
      </w:r>
      <w:r w:rsidR="00541F9D" w:rsidRPr="002C127A">
        <w:t xml:space="preserve"> an enabling environment for </w:t>
      </w:r>
      <w:r w:rsidR="00CF559D">
        <w:t xml:space="preserve">the </w:t>
      </w:r>
      <w:r w:rsidR="00541F9D" w:rsidRPr="002C127A">
        <w:t>development of renewable energ</w:t>
      </w:r>
      <w:r w:rsidR="00CF559D">
        <w:t>y</w:t>
      </w:r>
      <w:r w:rsidR="00B25402" w:rsidRPr="002C127A">
        <w:t xml:space="preserve"> and</w:t>
      </w:r>
      <w:r w:rsidR="00541F9D" w:rsidRPr="002C127A">
        <w:t xml:space="preserve"> </w:t>
      </w:r>
      <w:r w:rsidR="00CF559D">
        <w:t>in</w:t>
      </w:r>
      <w:r w:rsidR="00CF559D" w:rsidRPr="002C127A">
        <w:t xml:space="preserve"> </w:t>
      </w:r>
      <w:r w:rsidR="00541F9D" w:rsidRPr="002C127A">
        <w:t>alleviat</w:t>
      </w:r>
      <w:r w:rsidR="00CF559D">
        <w:t>ing</w:t>
      </w:r>
      <w:r w:rsidR="00541F9D" w:rsidRPr="002C127A">
        <w:t xml:space="preserve"> energy poverty, </w:t>
      </w:r>
      <w:r w:rsidR="00CF559D">
        <w:t>particularly</w:t>
      </w:r>
      <w:r w:rsidR="00CF559D" w:rsidRPr="002C127A">
        <w:t xml:space="preserve"> </w:t>
      </w:r>
      <w:r w:rsidR="00541F9D" w:rsidRPr="002C127A">
        <w:t>in rural areas.</w:t>
      </w:r>
      <w:r w:rsidR="003E0823" w:rsidRPr="002C127A">
        <w:rPr>
          <w:lang w:val="en-GB" w:eastAsia="fr-FR"/>
        </w:rPr>
        <w:t xml:space="preserve"> Because of </w:t>
      </w:r>
      <w:r w:rsidR="00BF75CC">
        <w:rPr>
          <w:lang w:val="en-GB" w:eastAsia="fr-FR"/>
        </w:rPr>
        <w:t>the</w:t>
      </w:r>
      <w:r w:rsidR="00BF75CC" w:rsidRPr="002C127A">
        <w:rPr>
          <w:lang w:val="en-GB" w:eastAsia="fr-FR"/>
        </w:rPr>
        <w:t xml:space="preserve"> </w:t>
      </w:r>
      <w:r w:rsidR="00BA0164">
        <w:rPr>
          <w:lang w:val="en-GB" w:eastAsia="fr-FR"/>
        </w:rPr>
        <w:t>potential</w:t>
      </w:r>
      <w:r w:rsidR="00BA0164" w:rsidRPr="002C127A">
        <w:rPr>
          <w:lang w:val="en-GB" w:eastAsia="fr-FR"/>
        </w:rPr>
        <w:t xml:space="preserve"> </w:t>
      </w:r>
      <w:r w:rsidR="003E0823" w:rsidRPr="002C127A">
        <w:rPr>
          <w:lang w:val="en-GB" w:eastAsia="fr-FR"/>
        </w:rPr>
        <w:t xml:space="preserve">impact, </w:t>
      </w:r>
      <w:r w:rsidR="009F0376" w:rsidRPr="002C127A">
        <w:rPr>
          <w:lang w:val="en-GB" w:eastAsia="fr-FR"/>
        </w:rPr>
        <w:t>agricultural</w:t>
      </w:r>
      <w:r w:rsidR="00BA0164">
        <w:rPr>
          <w:lang w:val="en-GB" w:eastAsia="fr-FR"/>
        </w:rPr>
        <w:t xml:space="preserve">, </w:t>
      </w:r>
      <w:r w:rsidR="009F0376" w:rsidRPr="002C127A">
        <w:rPr>
          <w:lang w:val="en-GB" w:eastAsia="fr-FR"/>
        </w:rPr>
        <w:t>market</w:t>
      </w:r>
      <w:r w:rsidR="00BA0164">
        <w:rPr>
          <w:lang w:val="en-GB" w:eastAsia="fr-FR"/>
        </w:rPr>
        <w:t xml:space="preserve">, </w:t>
      </w:r>
      <w:r w:rsidR="009F0376" w:rsidRPr="002C127A">
        <w:rPr>
          <w:lang w:val="en-GB" w:eastAsia="fr-FR"/>
        </w:rPr>
        <w:t>and community</w:t>
      </w:r>
      <w:r w:rsidR="009F0376" w:rsidRPr="00451503">
        <w:rPr>
          <w:lang w:val="en-GB" w:eastAsia="fr-FR"/>
        </w:rPr>
        <w:t xml:space="preserve"> income generating activities will be prioritized </w:t>
      </w:r>
      <w:r w:rsidR="003E0823" w:rsidRPr="00451503">
        <w:rPr>
          <w:lang w:val="en-GB" w:eastAsia="fr-FR"/>
        </w:rPr>
        <w:t xml:space="preserve">to reach </w:t>
      </w:r>
      <w:r w:rsidR="00BA0164">
        <w:rPr>
          <w:lang w:val="en-GB" w:eastAsia="fr-FR"/>
        </w:rPr>
        <w:t>the most</w:t>
      </w:r>
      <w:r w:rsidR="00BA0164" w:rsidRPr="00451503">
        <w:rPr>
          <w:lang w:val="en-GB" w:eastAsia="fr-FR"/>
        </w:rPr>
        <w:t xml:space="preserve"> </w:t>
      </w:r>
      <w:r w:rsidR="003E0823" w:rsidRPr="00451503">
        <w:rPr>
          <w:lang w:val="en-GB" w:eastAsia="fr-FR"/>
        </w:rPr>
        <w:t xml:space="preserve">vulnerable </w:t>
      </w:r>
      <w:r w:rsidR="00BF75CC">
        <w:rPr>
          <w:lang w:val="en-GB" w:eastAsia="fr-FR"/>
        </w:rPr>
        <w:t>and at-risk</w:t>
      </w:r>
      <w:r w:rsidR="003E0823" w:rsidRPr="00451503">
        <w:rPr>
          <w:lang w:val="en-GB" w:eastAsia="fr-FR"/>
        </w:rPr>
        <w:t>, especially women.</w:t>
      </w:r>
    </w:p>
    <w:p w:rsidR="007658B9" w:rsidRPr="00451503" w:rsidRDefault="007658B9" w:rsidP="007D6C08">
      <w:pPr>
        <w:ind w:right="680"/>
        <w:contextualSpacing/>
        <w:jc w:val="both"/>
        <w:rPr>
          <w:lang w:val="en-GB" w:eastAsia="fr-FR"/>
        </w:rPr>
      </w:pPr>
    </w:p>
    <w:p w:rsidR="00541F9D" w:rsidRPr="00D71B13" w:rsidRDefault="00B33991" w:rsidP="00DB6A8E">
      <w:pPr>
        <w:pStyle w:val="ListParagraph"/>
        <w:ind w:left="810" w:hanging="630"/>
        <w:rPr>
          <w:b/>
          <w:sz w:val="28"/>
          <w:szCs w:val="24"/>
          <w:lang w:val="en-GB" w:eastAsia="fr-FR"/>
        </w:rPr>
      </w:pPr>
      <w:r w:rsidRPr="00D71B13">
        <w:rPr>
          <w:b/>
          <w:sz w:val="28"/>
          <w:szCs w:val="24"/>
          <w:lang w:val="en-GB" w:eastAsia="fr-FR"/>
        </w:rPr>
        <w:t xml:space="preserve">III. </w:t>
      </w:r>
      <w:r w:rsidR="00423C8C">
        <w:rPr>
          <w:b/>
          <w:sz w:val="28"/>
          <w:szCs w:val="24"/>
          <w:lang w:val="en-GB" w:eastAsia="fr-FR"/>
        </w:rPr>
        <w:t xml:space="preserve"> </w:t>
      </w:r>
      <w:r w:rsidR="00541F9D" w:rsidRPr="00D71B13">
        <w:rPr>
          <w:b/>
          <w:sz w:val="28"/>
          <w:szCs w:val="24"/>
          <w:lang w:val="en-GB" w:eastAsia="fr-FR"/>
        </w:rPr>
        <w:t xml:space="preserve">Programme and </w:t>
      </w:r>
      <w:r w:rsidR="007D6C08" w:rsidRPr="00D71B13">
        <w:rPr>
          <w:b/>
          <w:sz w:val="28"/>
          <w:szCs w:val="24"/>
          <w:lang w:val="en-GB" w:eastAsia="fr-FR"/>
        </w:rPr>
        <w:t>r</w:t>
      </w:r>
      <w:r w:rsidR="00541F9D" w:rsidRPr="00D71B13">
        <w:rPr>
          <w:b/>
          <w:sz w:val="28"/>
          <w:szCs w:val="24"/>
          <w:lang w:val="en-GB" w:eastAsia="fr-FR"/>
        </w:rPr>
        <w:t xml:space="preserve">isk </w:t>
      </w:r>
      <w:r w:rsidR="007D6C08" w:rsidRPr="00D71B13">
        <w:rPr>
          <w:b/>
          <w:sz w:val="28"/>
          <w:szCs w:val="24"/>
          <w:lang w:val="en-GB" w:eastAsia="fr-FR"/>
        </w:rPr>
        <w:t>m</w:t>
      </w:r>
      <w:r w:rsidR="00541F9D" w:rsidRPr="00D71B13">
        <w:rPr>
          <w:b/>
          <w:sz w:val="28"/>
          <w:szCs w:val="24"/>
          <w:lang w:val="en-GB" w:eastAsia="fr-FR"/>
        </w:rPr>
        <w:t>anagement</w:t>
      </w:r>
    </w:p>
    <w:p w:rsidR="00541F9D" w:rsidRPr="00451503" w:rsidRDefault="00541F9D" w:rsidP="007D6C08">
      <w:pPr>
        <w:pStyle w:val="ListParagraph"/>
        <w:tabs>
          <w:tab w:val="left" w:pos="1080"/>
        </w:tabs>
        <w:rPr>
          <w:b/>
          <w:lang w:val="en-GB" w:eastAsia="fr-FR"/>
        </w:rPr>
      </w:pPr>
    </w:p>
    <w:p w:rsidR="00CB10B5" w:rsidRPr="00CB10B5" w:rsidRDefault="007B066D" w:rsidP="007D6C08">
      <w:pPr>
        <w:numPr>
          <w:ilvl w:val="0"/>
          <w:numId w:val="9"/>
        </w:numPr>
        <w:tabs>
          <w:tab w:val="left" w:pos="1080"/>
        </w:tabs>
        <w:spacing w:after="120"/>
        <w:ind w:right="680" w:firstLine="0"/>
        <w:jc w:val="both"/>
        <w:rPr>
          <w:lang w:val="en-GB" w:eastAsia="fr-FR"/>
        </w:rPr>
      </w:pPr>
      <w:r w:rsidRPr="00451503">
        <w:rPr>
          <w:lang w:val="en-GB" w:eastAsia="fr-FR"/>
        </w:rPr>
        <w:t xml:space="preserve">The programme will be </w:t>
      </w:r>
      <w:r w:rsidR="00BA0164">
        <w:rPr>
          <w:lang w:val="en-GB" w:eastAsia="fr-FR"/>
        </w:rPr>
        <w:t xml:space="preserve">executed </w:t>
      </w:r>
      <w:r w:rsidRPr="00451503">
        <w:rPr>
          <w:lang w:val="en-GB" w:eastAsia="fr-FR"/>
        </w:rPr>
        <w:t>nationally</w:t>
      </w:r>
      <w:r w:rsidR="00BA0164">
        <w:rPr>
          <w:lang w:val="en-GB" w:eastAsia="fr-FR"/>
        </w:rPr>
        <w:t>. P</w:t>
      </w:r>
      <w:r w:rsidR="00CB10B5" w:rsidRPr="00834059">
        <w:rPr>
          <w:lang w:val="en-GB"/>
        </w:rPr>
        <w:t xml:space="preserve">rojects will use the most appropriate implementation modality to ensure </w:t>
      </w:r>
      <w:r w:rsidR="00CB10B5">
        <w:rPr>
          <w:lang w:val="en-GB"/>
        </w:rPr>
        <w:t>an</w:t>
      </w:r>
      <w:r w:rsidR="00CB10B5" w:rsidRPr="00834059">
        <w:rPr>
          <w:lang w:val="en-GB"/>
        </w:rPr>
        <w:t xml:space="preserve"> effective and efficient delivery of </w:t>
      </w:r>
      <w:r w:rsidR="00CB10B5">
        <w:rPr>
          <w:lang w:val="en-GB"/>
        </w:rPr>
        <w:t>nationally owned</w:t>
      </w:r>
      <w:r w:rsidR="00BA0164">
        <w:rPr>
          <w:lang w:val="en-GB"/>
        </w:rPr>
        <w:t xml:space="preserve"> and</w:t>
      </w:r>
      <w:r w:rsidR="00CB10B5">
        <w:rPr>
          <w:lang w:val="en-GB"/>
        </w:rPr>
        <w:t xml:space="preserve"> </w:t>
      </w:r>
      <w:r w:rsidR="00CB10B5" w:rsidRPr="00834059">
        <w:rPr>
          <w:lang w:val="en-GB"/>
        </w:rPr>
        <w:t>sustainable res</w:t>
      </w:r>
      <w:r w:rsidR="00CB10B5">
        <w:rPr>
          <w:lang w:val="en-GB"/>
        </w:rPr>
        <w:t xml:space="preserve">ults. </w:t>
      </w:r>
      <w:r w:rsidR="00CB10B5" w:rsidRPr="00834059">
        <w:rPr>
          <w:lang w:val="en-GB"/>
        </w:rPr>
        <w:t xml:space="preserve">Direct implementation will safeguard and ensure UNDP accountability in complex programming situations. </w:t>
      </w:r>
      <w:r w:rsidR="008F2ADF" w:rsidRPr="00451503">
        <w:rPr>
          <w:lang w:val="en-GB" w:eastAsia="fr-FR"/>
        </w:rPr>
        <w:t xml:space="preserve">The </w:t>
      </w:r>
      <w:r w:rsidRPr="00451503">
        <w:rPr>
          <w:lang w:val="en-GB" w:eastAsia="fr-FR"/>
        </w:rPr>
        <w:t>Harmonised Approach to Cash Transfer (HACT) will be used in a coordinated fashion with other U</w:t>
      </w:r>
      <w:r w:rsidR="00BA0164">
        <w:rPr>
          <w:lang w:val="en-GB" w:eastAsia="fr-FR"/>
        </w:rPr>
        <w:t xml:space="preserve">nited </w:t>
      </w:r>
      <w:r w:rsidRPr="00451503">
        <w:rPr>
          <w:lang w:val="en-GB" w:eastAsia="fr-FR"/>
        </w:rPr>
        <w:t>N</w:t>
      </w:r>
      <w:r w:rsidR="00BA0164">
        <w:rPr>
          <w:lang w:val="en-GB" w:eastAsia="fr-FR"/>
        </w:rPr>
        <w:t>ations organizations</w:t>
      </w:r>
      <w:r w:rsidRPr="00451503">
        <w:rPr>
          <w:lang w:val="en-GB" w:eastAsia="fr-FR"/>
        </w:rPr>
        <w:t xml:space="preserve"> </w:t>
      </w:r>
      <w:r w:rsidR="00BA0164">
        <w:rPr>
          <w:lang w:val="en-GB" w:eastAsia="fr-FR"/>
        </w:rPr>
        <w:t>in</w:t>
      </w:r>
      <w:r w:rsidRPr="00451503">
        <w:rPr>
          <w:lang w:val="en-GB" w:eastAsia="fr-FR"/>
        </w:rPr>
        <w:t xml:space="preserve"> manag</w:t>
      </w:r>
      <w:r w:rsidR="00BA0164">
        <w:rPr>
          <w:lang w:val="en-GB" w:eastAsia="fr-FR"/>
        </w:rPr>
        <w:t>ing</w:t>
      </w:r>
      <w:r w:rsidRPr="00451503">
        <w:rPr>
          <w:lang w:val="en-GB" w:eastAsia="fr-FR"/>
        </w:rPr>
        <w:t xml:space="preserve"> financial risks. Where appropriate, UNDP will provide necessary support to national implementing partners in addressing capacity gaps. Accelerated procedures </w:t>
      </w:r>
      <w:r w:rsidR="00BA0164">
        <w:rPr>
          <w:lang w:val="en-GB" w:eastAsia="fr-FR"/>
        </w:rPr>
        <w:t>may</w:t>
      </w:r>
      <w:r w:rsidR="00BA0164" w:rsidRPr="00451503">
        <w:rPr>
          <w:lang w:val="en-GB" w:eastAsia="fr-FR"/>
        </w:rPr>
        <w:t xml:space="preserve"> </w:t>
      </w:r>
      <w:r w:rsidRPr="00451503">
        <w:rPr>
          <w:lang w:val="en-GB" w:eastAsia="fr-FR"/>
        </w:rPr>
        <w:t xml:space="preserve">be adopted to provide a rapid response to crisis situations and respond effectively to new requests for UNDP support. </w:t>
      </w:r>
      <w:r w:rsidR="006B74F6" w:rsidRPr="00451503">
        <w:rPr>
          <w:lang w:val="en-GB" w:eastAsia="fr-FR"/>
        </w:rPr>
        <w:t xml:space="preserve">In accordance with Executive Board decision DP/2-013/32, all direct costs associated with project implementation should be charged to the concerned projects. </w:t>
      </w:r>
      <w:r w:rsidR="00CB10B5" w:rsidRPr="00CB10B5">
        <w:rPr>
          <w:lang w:val="en-GB"/>
        </w:rPr>
        <w:t>UNDP will review structures and procedures to ensure they are “fit for purpose” when implementing the programme, and agile enough to adapt to evolving contexts, United Nations reforms</w:t>
      </w:r>
      <w:r w:rsidR="00BA0164">
        <w:rPr>
          <w:lang w:val="en-GB"/>
        </w:rPr>
        <w:t>,</w:t>
      </w:r>
      <w:r w:rsidR="00CB10B5" w:rsidRPr="00CB10B5">
        <w:rPr>
          <w:lang w:val="en-GB"/>
        </w:rPr>
        <w:t xml:space="preserve"> and the new UNDP Strategic Plan. </w:t>
      </w:r>
    </w:p>
    <w:p w:rsidR="007B066D" w:rsidRPr="00451503" w:rsidRDefault="007B066D" w:rsidP="007D6C08">
      <w:pPr>
        <w:numPr>
          <w:ilvl w:val="0"/>
          <w:numId w:val="9"/>
        </w:numPr>
        <w:tabs>
          <w:tab w:val="left" w:pos="1080"/>
        </w:tabs>
        <w:spacing w:after="120"/>
        <w:ind w:right="680" w:firstLine="0"/>
        <w:jc w:val="both"/>
        <w:rPr>
          <w:lang w:val="en-GB" w:eastAsia="fr-FR"/>
        </w:rPr>
      </w:pPr>
      <w:r w:rsidRPr="00451503">
        <w:rPr>
          <w:lang w:val="en-GB" w:eastAsia="fr-FR"/>
        </w:rPr>
        <w:t xml:space="preserve">UNDP will </w:t>
      </w:r>
      <w:r w:rsidR="00DD4D99">
        <w:rPr>
          <w:lang w:val="en-GB" w:eastAsia="fr-FR"/>
        </w:rPr>
        <w:t xml:space="preserve">improve </w:t>
      </w:r>
      <w:r w:rsidRPr="00451503">
        <w:rPr>
          <w:lang w:val="en-GB" w:eastAsia="fr-FR"/>
        </w:rPr>
        <w:t xml:space="preserve">country office </w:t>
      </w:r>
      <w:r w:rsidR="00FF491F">
        <w:rPr>
          <w:lang w:val="en-GB" w:eastAsia="fr-FR"/>
        </w:rPr>
        <w:t xml:space="preserve">staff </w:t>
      </w:r>
      <w:r w:rsidR="00FF491F" w:rsidRPr="00451503">
        <w:rPr>
          <w:lang w:val="en-GB" w:eastAsia="fr-FR"/>
        </w:rPr>
        <w:t>capacities</w:t>
      </w:r>
      <w:r w:rsidR="00DD4D99">
        <w:rPr>
          <w:lang w:val="en-GB" w:eastAsia="fr-FR"/>
        </w:rPr>
        <w:t xml:space="preserve"> </w:t>
      </w:r>
      <w:r w:rsidRPr="00451503">
        <w:rPr>
          <w:lang w:val="en-GB" w:eastAsia="fr-FR"/>
        </w:rPr>
        <w:t xml:space="preserve">to </w:t>
      </w:r>
      <w:r w:rsidR="00DD4D99">
        <w:rPr>
          <w:lang w:val="en-GB" w:eastAsia="fr-FR"/>
        </w:rPr>
        <w:t xml:space="preserve">properly </w:t>
      </w:r>
      <w:r w:rsidRPr="00451503">
        <w:rPr>
          <w:lang w:val="en-GB" w:eastAsia="fr-FR"/>
        </w:rPr>
        <w:t>implement the country programme</w:t>
      </w:r>
      <w:r w:rsidR="00DD4D99">
        <w:rPr>
          <w:lang w:val="en-GB" w:eastAsia="fr-FR"/>
        </w:rPr>
        <w:t xml:space="preserve">, mainly </w:t>
      </w:r>
      <w:r w:rsidRPr="00451503">
        <w:rPr>
          <w:lang w:val="en-GB" w:eastAsia="fr-FR"/>
        </w:rPr>
        <w:t>through training</w:t>
      </w:r>
      <w:r w:rsidR="00BA0164">
        <w:rPr>
          <w:lang w:val="en-GB" w:eastAsia="fr-FR"/>
        </w:rPr>
        <w:t xml:space="preserve"> courses, seminars, and modules</w:t>
      </w:r>
      <w:r w:rsidR="00DD4D99">
        <w:rPr>
          <w:lang w:val="en-GB" w:eastAsia="fr-FR"/>
        </w:rPr>
        <w:t>.</w:t>
      </w:r>
      <w:r w:rsidRPr="00451503">
        <w:rPr>
          <w:lang w:val="en-GB" w:eastAsia="fr-FR"/>
        </w:rPr>
        <w:t xml:space="preserve"> The country office will </w:t>
      </w:r>
      <w:r w:rsidR="0095268B" w:rsidRPr="00451503">
        <w:rPr>
          <w:lang w:val="en-GB" w:eastAsia="fr-FR"/>
        </w:rPr>
        <w:t xml:space="preserve">make use, </w:t>
      </w:r>
      <w:r w:rsidR="00BA0164">
        <w:rPr>
          <w:lang w:val="en-GB" w:eastAsia="fr-FR"/>
        </w:rPr>
        <w:t>when necessary and possible</w:t>
      </w:r>
      <w:r w:rsidR="0095268B" w:rsidRPr="00451503">
        <w:rPr>
          <w:lang w:val="en-GB" w:eastAsia="fr-FR"/>
        </w:rPr>
        <w:t xml:space="preserve">, of existing UNDP business </w:t>
      </w:r>
      <w:r w:rsidR="00F267A2" w:rsidRPr="00451503">
        <w:rPr>
          <w:lang w:val="en-GB" w:eastAsia="fr-FR"/>
        </w:rPr>
        <w:t>centre services</w:t>
      </w:r>
      <w:r w:rsidR="0095268B" w:rsidRPr="00451503">
        <w:rPr>
          <w:lang w:val="en-GB" w:eastAsia="fr-FR"/>
        </w:rPr>
        <w:t xml:space="preserve"> to address specific needs</w:t>
      </w:r>
      <w:r w:rsidR="00BA0164">
        <w:rPr>
          <w:lang w:val="en-GB" w:eastAsia="fr-FR"/>
        </w:rPr>
        <w:t>,</w:t>
      </w:r>
      <w:r w:rsidR="00873E6F">
        <w:rPr>
          <w:lang w:val="en-GB" w:eastAsia="fr-FR"/>
        </w:rPr>
        <w:t xml:space="preserve"> and will </w:t>
      </w:r>
      <w:r w:rsidRPr="00451503">
        <w:rPr>
          <w:lang w:val="en-GB" w:eastAsia="fr-FR"/>
        </w:rPr>
        <w:t xml:space="preserve">take steps to strengthen the capacities of the National Execution Support </w:t>
      </w:r>
      <w:r w:rsidR="00BF5F98" w:rsidRPr="00451503">
        <w:rPr>
          <w:lang w:val="en-GB" w:eastAsia="fr-FR"/>
        </w:rPr>
        <w:t>Cell</w:t>
      </w:r>
      <w:r w:rsidRPr="00451503">
        <w:rPr>
          <w:lang w:val="en-GB" w:eastAsia="fr-FR"/>
        </w:rPr>
        <w:t xml:space="preserve"> to </w:t>
      </w:r>
      <w:r w:rsidR="00F3336D">
        <w:rPr>
          <w:lang w:val="en-GB" w:eastAsia="fr-FR"/>
        </w:rPr>
        <w:lastRenderedPageBreak/>
        <w:t>improve</w:t>
      </w:r>
      <w:r w:rsidRPr="00451503">
        <w:rPr>
          <w:lang w:val="en-GB" w:eastAsia="fr-FR"/>
        </w:rPr>
        <w:t xml:space="preserve"> delivery capacity </w:t>
      </w:r>
      <w:r w:rsidR="00BA0164">
        <w:rPr>
          <w:lang w:val="en-GB" w:eastAsia="fr-FR"/>
        </w:rPr>
        <w:t>(</w:t>
      </w:r>
      <w:r w:rsidRPr="00451503">
        <w:rPr>
          <w:lang w:val="en-GB" w:eastAsia="fr-FR"/>
        </w:rPr>
        <w:t xml:space="preserve">while contributing to </w:t>
      </w:r>
      <w:r w:rsidR="0018759B">
        <w:rPr>
          <w:lang w:val="en-GB" w:eastAsia="fr-FR"/>
        </w:rPr>
        <w:t xml:space="preserve">building </w:t>
      </w:r>
      <w:r w:rsidRPr="00451503">
        <w:rPr>
          <w:lang w:val="en-GB" w:eastAsia="fr-FR"/>
        </w:rPr>
        <w:t>the capacity of national partners</w:t>
      </w:r>
      <w:r w:rsidR="00BA0164">
        <w:rPr>
          <w:lang w:val="en-GB" w:eastAsia="fr-FR"/>
        </w:rPr>
        <w:t>)</w:t>
      </w:r>
      <w:r w:rsidRPr="00451503">
        <w:rPr>
          <w:lang w:val="en-GB" w:eastAsia="fr-FR"/>
        </w:rPr>
        <w:t xml:space="preserve">. </w:t>
      </w:r>
      <w:r w:rsidR="00BA0164">
        <w:rPr>
          <w:lang w:val="en-GB" w:eastAsia="fr-FR"/>
        </w:rPr>
        <w:t xml:space="preserve">Complimentary </w:t>
      </w:r>
      <w:r w:rsidRPr="00451503">
        <w:rPr>
          <w:lang w:val="en-GB" w:eastAsia="fr-FR"/>
        </w:rPr>
        <w:t xml:space="preserve">actions will be </w:t>
      </w:r>
      <w:r w:rsidR="000B023C">
        <w:rPr>
          <w:lang w:val="en-GB" w:eastAsia="fr-FR"/>
        </w:rPr>
        <w:t>taken</w:t>
      </w:r>
      <w:r w:rsidR="000B023C" w:rsidRPr="00451503">
        <w:rPr>
          <w:lang w:val="en-GB" w:eastAsia="fr-FR"/>
        </w:rPr>
        <w:t xml:space="preserve"> </w:t>
      </w:r>
      <w:r w:rsidRPr="00451503">
        <w:rPr>
          <w:lang w:val="en-GB" w:eastAsia="fr-FR"/>
        </w:rPr>
        <w:t>with other partners for efficiency and economies of scale</w:t>
      </w:r>
      <w:r w:rsidR="006E1D73" w:rsidRPr="00451503">
        <w:rPr>
          <w:lang w:val="en-GB" w:eastAsia="fr-FR"/>
        </w:rPr>
        <w:t>.</w:t>
      </w:r>
    </w:p>
    <w:p w:rsidR="00A3290F" w:rsidRPr="00F11604" w:rsidRDefault="0055275F" w:rsidP="007D6C08">
      <w:pPr>
        <w:numPr>
          <w:ilvl w:val="0"/>
          <w:numId w:val="9"/>
        </w:numPr>
        <w:tabs>
          <w:tab w:val="left" w:pos="1080"/>
        </w:tabs>
        <w:spacing w:after="120"/>
        <w:ind w:right="680" w:firstLine="0"/>
        <w:jc w:val="both"/>
        <w:rPr>
          <w:lang w:val="en-GB" w:eastAsia="fr-FR"/>
        </w:rPr>
      </w:pPr>
      <w:r w:rsidRPr="00451503">
        <w:rPr>
          <w:lang w:val="en-GB" w:eastAsia="fr-FR"/>
        </w:rPr>
        <w:t xml:space="preserve">UNDP identified five areas </w:t>
      </w:r>
      <w:r w:rsidR="000B023C">
        <w:rPr>
          <w:lang w:val="en-GB" w:eastAsia="fr-FR"/>
        </w:rPr>
        <w:t>where</w:t>
      </w:r>
      <w:r w:rsidRPr="00451503">
        <w:rPr>
          <w:lang w:val="en-GB" w:eastAsia="fr-FR"/>
        </w:rPr>
        <w:t xml:space="preserve"> </w:t>
      </w:r>
      <w:r w:rsidR="008B0CE5">
        <w:rPr>
          <w:lang w:val="en-GB" w:eastAsia="fr-FR"/>
        </w:rPr>
        <w:t xml:space="preserve">risk </w:t>
      </w:r>
      <w:r w:rsidRPr="00451503">
        <w:rPr>
          <w:lang w:val="en-GB" w:eastAsia="fr-FR"/>
        </w:rPr>
        <w:t>mitigation strategies are required</w:t>
      </w:r>
      <w:r w:rsidR="000B023C">
        <w:rPr>
          <w:lang w:val="en-GB" w:eastAsia="fr-FR"/>
        </w:rPr>
        <w:t>,</w:t>
      </w:r>
      <w:r w:rsidR="00873E6F">
        <w:rPr>
          <w:lang w:val="en-GB" w:eastAsia="fr-FR"/>
        </w:rPr>
        <w:t xml:space="preserve"> </w:t>
      </w:r>
      <w:r w:rsidR="000B023C">
        <w:rPr>
          <w:lang w:val="en-GB" w:eastAsia="fr-FR"/>
        </w:rPr>
        <w:t xml:space="preserve">these </w:t>
      </w:r>
      <w:r w:rsidR="00873E6F">
        <w:rPr>
          <w:lang w:val="en-GB" w:eastAsia="fr-FR"/>
        </w:rPr>
        <w:t xml:space="preserve">are: </w:t>
      </w:r>
      <w:r w:rsidRPr="00451503">
        <w:rPr>
          <w:lang w:val="en-GB" w:eastAsia="fr-FR"/>
        </w:rPr>
        <w:t>(i) programmatic areas; (ii) climate impact and disasters; (iii) security</w:t>
      </w:r>
      <w:r w:rsidR="000B023C">
        <w:rPr>
          <w:lang w:val="en-GB" w:eastAsia="fr-FR"/>
        </w:rPr>
        <w:t>;</w:t>
      </w:r>
      <w:r w:rsidRPr="00451503">
        <w:rPr>
          <w:lang w:val="en-GB" w:eastAsia="fr-FR"/>
        </w:rPr>
        <w:t xml:space="preserve"> (iv) limited capacity of national partners and structures</w:t>
      </w:r>
      <w:r w:rsidR="000B023C">
        <w:rPr>
          <w:lang w:val="en-GB" w:eastAsia="fr-FR"/>
        </w:rPr>
        <w:t xml:space="preserve"> to execute programmes,</w:t>
      </w:r>
      <w:r w:rsidRPr="00451503">
        <w:rPr>
          <w:lang w:val="en-GB" w:eastAsia="fr-FR"/>
        </w:rPr>
        <w:t xml:space="preserve"> and (v) </w:t>
      </w:r>
      <w:r w:rsidRPr="00922990">
        <w:rPr>
          <w:lang w:val="en-GB" w:eastAsia="fr-FR"/>
        </w:rPr>
        <w:t>socio-political conflicts</w:t>
      </w:r>
      <w:r w:rsidR="000B023C" w:rsidRPr="00922990">
        <w:rPr>
          <w:lang w:val="en-GB" w:eastAsia="fr-FR"/>
        </w:rPr>
        <w:t>,</w:t>
      </w:r>
      <w:r w:rsidRPr="00922990">
        <w:rPr>
          <w:lang w:val="en-GB" w:eastAsia="fr-FR"/>
        </w:rPr>
        <w:t xml:space="preserve"> with special attention </w:t>
      </w:r>
      <w:r w:rsidR="000B023C" w:rsidRPr="00922990">
        <w:rPr>
          <w:lang w:val="en-GB" w:eastAsia="fr-FR"/>
        </w:rPr>
        <w:t xml:space="preserve">on </w:t>
      </w:r>
      <w:r w:rsidRPr="00922990">
        <w:rPr>
          <w:lang w:val="en-GB" w:eastAsia="fr-FR"/>
        </w:rPr>
        <w:t xml:space="preserve">human rights and gender equality. </w:t>
      </w:r>
      <w:r w:rsidR="00A3290F" w:rsidRPr="00922990">
        <w:t xml:space="preserve">To </w:t>
      </w:r>
      <w:r w:rsidR="008B0CE5" w:rsidRPr="00922990">
        <w:t xml:space="preserve">adequately </w:t>
      </w:r>
      <w:r w:rsidR="00A3290F" w:rsidRPr="00922990">
        <w:t>address</w:t>
      </w:r>
      <w:bookmarkStart w:id="2" w:name="_GoBack"/>
      <w:bookmarkEnd w:id="2"/>
      <w:r w:rsidR="00A3290F" w:rsidRPr="00451503">
        <w:t xml:space="preserve"> these risks, </w:t>
      </w:r>
      <w:r w:rsidR="00C65BB4" w:rsidRPr="00F11604">
        <w:rPr>
          <w:lang w:val="en-GB" w:eastAsia="fr-FR"/>
        </w:rPr>
        <w:t xml:space="preserve">a mitigation plan will be developed during </w:t>
      </w:r>
      <w:r w:rsidR="008B0CE5">
        <w:rPr>
          <w:lang w:val="en-GB" w:eastAsia="fr-FR"/>
        </w:rPr>
        <w:t xml:space="preserve">the </w:t>
      </w:r>
      <w:r w:rsidR="00C65BB4" w:rsidRPr="00F11604">
        <w:rPr>
          <w:lang w:val="en-GB" w:eastAsia="fr-FR"/>
        </w:rPr>
        <w:t>programme/project</w:t>
      </w:r>
      <w:r w:rsidR="000B023C">
        <w:rPr>
          <w:lang w:val="en-GB" w:eastAsia="fr-FR"/>
        </w:rPr>
        <w:t xml:space="preserve"> preparation phase</w:t>
      </w:r>
      <w:r w:rsidR="00C65BB4" w:rsidRPr="00F11604">
        <w:rPr>
          <w:lang w:val="en-GB" w:eastAsia="fr-FR"/>
        </w:rPr>
        <w:t xml:space="preserve"> in collaboration with national stakeholders</w:t>
      </w:r>
      <w:r w:rsidR="000B023C">
        <w:rPr>
          <w:lang w:val="en-GB" w:eastAsia="fr-FR"/>
        </w:rPr>
        <w:t>. This will be done</w:t>
      </w:r>
      <w:r w:rsidR="00C65BB4" w:rsidRPr="00F11604">
        <w:rPr>
          <w:lang w:val="en-GB" w:eastAsia="fr-FR"/>
        </w:rPr>
        <w:t xml:space="preserve"> to ensure increased national contribution</w:t>
      </w:r>
      <w:r w:rsidR="000B023C">
        <w:rPr>
          <w:lang w:val="en-GB" w:eastAsia="fr-FR"/>
        </w:rPr>
        <w:t>s</w:t>
      </w:r>
      <w:r w:rsidR="00C65BB4" w:rsidRPr="00F11604">
        <w:rPr>
          <w:lang w:val="en-GB" w:eastAsia="fr-FR"/>
        </w:rPr>
        <w:t xml:space="preserve"> to programme activities. </w:t>
      </w:r>
      <w:r w:rsidR="00A3290F" w:rsidRPr="00451503">
        <w:t xml:space="preserve">The </w:t>
      </w:r>
      <w:r w:rsidR="000B023C">
        <w:t xml:space="preserve">country </w:t>
      </w:r>
      <w:r w:rsidR="00A3290F" w:rsidRPr="00451503">
        <w:t>office will adopt new UNDP quality assurance standards</w:t>
      </w:r>
      <w:r w:rsidR="00ED463D" w:rsidRPr="00451503">
        <w:t>.</w:t>
      </w:r>
      <w:r w:rsidR="00A3290F" w:rsidRPr="00451503">
        <w:t xml:space="preserve"> </w:t>
      </w:r>
      <w:r w:rsidR="00C65BB4" w:rsidRPr="00451503">
        <w:t xml:space="preserve">Actions will be identified and implemented to </w:t>
      </w:r>
      <w:r w:rsidR="00A3290F" w:rsidRPr="00451503">
        <w:t>strengthen the resource mobilization strategy</w:t>
      </w:r>
      <w:r w:rsidR="000B023C">
        <w:t>, and will include</w:t>
      </w:r>
      <w:r w:rsidR="00A3290F" w:rsidRPr="00451503">
        <w:t xml:space="preserve"> </w:t>
      </w:r>
      <w:r w:rsidR="00F3336D">
        <w:t>improved</w:t>
      </w:r>
      <w:r w:rsidR="00A3290F" w:rsidRPr="00451503">
        <w:t xml:space="preserve"> communication and donor visibility</w:t>
      </w:r>
      <w:r w:rsidR="00873E6F">
        <w:t xml:space="preserve">, </w:t>
      </w:r>
      <w:r w:rsidR="000B023C">
        <w:t>development of</w:t>
      </w:r>
      <w:r w:rsidR="00A3290F" w:rsidRPr="00451503">
        <w:t xml:space="preserve"> an early warning system</w:t>
      </w:r>
      <w:r w:rsidR="000B023C">
        <w:t>,</w:t>
      </w:r>
      <w:r w:rsidR="00A3290F" w:rsidRPr="00451503">
        <w:t xml:space="preserve"> </w:t>
      </w:r>
      <w:r w:rsidR="001B2700" w:rsidRPr="00451503">
        <w:t xml:space="preserve">and </w:t>
      </w:r>
      <w:r w:rsidR="00F3336D">
        <w:t>seeking assistance from</w:t>
      </w:r>
      <w:r w:rsidR="001B0C8F">
        <w:t xml:space="preserve"> </w:t>
      </w:r>
      <w:r w:rsidR="001B2700" w:rsidRPr="00451503">
        <w:t xml:space="preserve">the </w:t>
      </w:r>
      <w:r w:rsidR="00A3290F" w:rsidRPr="00451503">
        <w:t xml:space="preserve">UNDP </w:t>
      </w:r>
      <w:r w:rsidR="001B0C8F">
        <w:t>R</w:t>
      </w:r>
      <w:r w:rsidR="00A3290F" w:rsidRPr="00451503">
        <w:t xml:space="preserve">egional </w:t>
      </w:r>
      <w:r w:rsidR="001B0C8F">
        <w:t>S</w:t>
      </w:r>
      <w:r w:rsidR="001B2700" w:rsidRPr="00451503">
        <w:t xml:space="preserve">ervice </w:t>
      </w:r>
      <w:r w:rsidR="001B0C8F">
        <w:t>C</w:t>
      </w:r>
      <w:r w:rsidR="001B2700" w:rsidRPr="00451503">
        <w:t>entre</w:t>
      </w:r>
      <w:r w:rsidR="00A3290F" w:rsidRPr="00451503">
        <w:t xml:space="preserve">. Fast-track procedures will be utilized </w:t>
      </w:r>
      <w:r w:rsidR="002B577B">
        <w:t>to generate</w:t>
      </w:r>
      <w:r w:rsidR="002B577B" w:rsidRPr="00451503">
        <w:t xml:space="preserve"> </w:t>
      </w:r>
      <w:r w:rsidR="00A3290F" w:rsidRPr="00451503">
        <w:t>timely responses to crisis situations and emerg</w:t>
      </w:r>
      <w:r w:rsidR="001B0C8F">
        <w:t>enc</w:t>
      </w:r>
      <w:r w:rsidR="002B577B">
        <w:t>ies</w:t>
      </w:r>
      <w:r w:rsidR="001B0C8F">
        <w:t>.</w:t>
      </w:r>
    </w:p>
    <w:p w:rsidR="00A3290F" w:rsidRPr="00451503" w:rsidRDefault="002B577B" w:rsidP="007D6C08">
      <w:pPr>
        <w:numPr>
          <w:ilvl w:val="0"/>
          <w:numId w:val="9"/>
        </w:numPr>
        <w:tabs>
          <w:tab w:val="left" w:pos="1080"/>
        </w:tabs>
        <w:spacing w:after="120"/>
        <w:ind w:right="680" w:firstLine="0"/>
        <w:jc w:val="both"/>
        <w:rPr>
          <w:lang w:val="en-GB" w:eastAsia="fr-FR"/>
        </w:rPr>
      </w:pPr>
      <w:r>
        <w:rPr>
          <w:lang w:val="en-GB" w:eastAsia="fr-FR"/>
        </w:rPr>
        <w:t>P</w:t>
      </w:r>
      <w:r w:rsidR="00A3290F" w:rsidRPr="00451503">
        <w:rPr>
          <w:lang w:val="en-GB" w:eastAsia="fr-FR"/>
        </w:rPr>
        <w:t xml:space="preserve">rogrammatic risks arise from reduced levels of support from traditional donors, </w:t>
      </w:r>
      <w:r>
        <w:rPr>
          <w:lang w:val="en-GB" w:eastAsia="fr-FR"/>
        </w:rPr>
        <w:t>a</w:t>
      </w:r>
      <w:r w:rsidRPr="00451503">
        <w:rPr>
          <w:lang w:val="en-GB" w:eastAsia="fr-FR"/>
        </w:rPr>
        <w:t xml:space="preserve"> </w:t>
      </w:r>
      <w:r w:rsidR="00A3290F" w:rsidRPr="00451503">
        <w:rPr>
          <w:lang w:val="en-GB" w:eastAsia="fr-FR"/>
        </w:rPr>
        <w:t>lack of resources to implement programmes</w:t>
      </w:r>
      <w:r>
        <w:rPr>
          <w:lang w:val="en-GB" w:eastAsia="fr-FR"/>
        </w:rPr>
        <w:t>,</w:t>
      </w:r>
      <w:r w:rsidR="00A3290F" w:rsidRPr="00451503">
        <w:rPr>
          <w:lang w:val="en-GB" w:eastAsia="fr-FR"/>
        </w:rPr>
        <w:t xml:space="preserve"> and </w:t>
      </w:r>
      <w:r>
        <w:rPr>
          <w:lang w:val="en-GB" w:eastAsia="fr-FR"/>
        </w:rPr>
        <w:t>not enough</w:t>
      </w:r>
      <w:r w:rsidR="00A3290F" w:rsidRPr="00451503">
        <w:rPr>
          <w:lang w:val="en-GB" w:eastAsia="fr-FR"/>
        </w:rPr>
        <w:t xml:space="preserve"> funds. T</w:t>
      </w:r>
      <w:r>
        <w:rPr>
          <w:lang w:val="en-GB" w:eastAsia="fr-FR"/>
        </w:rPr>
        <w:t>o mitigate this UNDP will</w:t>
      </w:r>
      <w:r w:rsidR="00A3290F" w:rsidRPr="00451503">
        <w:rPr>
          <w:lang w:val="en-GB" w:eastAsia="fr-FR"/>
        </w:rPr>
        <w:t xml:space="preserve"> implement a </w:t>
      </w:r>
      <w:r>
        <w:rPr>
          <w:lang w:val="en-GB" w:eastAsia="fr-FR"/>
        </w:rPr>
        <w:t xml:space="preserve">resource </w:t>
      </w:r>
      <w:r w:rsidR="00A3290F" w:rsidRPr="00451503">
        <w:rPr>
          <w:lang w:val="en-GB" w:eastAsia="fr-FR"/>
        </w:rPr>
        <w:t>mobiliz</w:t>
      </w:r>
      <w:r>
        <w:rPr>
          <w:lang w:val="en-GB" w:eastAsia="fr-FR"/>
        </w:rPr>
        <w:t xml:space="preserve">ation plan that </w:t>
      </w:r>
      <w:r w:rsidR="008B0CE5">
        <w:rPr>
          <w:lang w:val="en-GB" w:eastAsia="fr-FR"/>
        </w:rPr>
        <w:t>involves</w:t>
      </w:r>
      <w:r>
        <w:rPr>
          <w:lang w:val="en-GB" w:eastAsia="fr-FR"/>
        </w:rPr>
        <w:t xml:space="preserve"> </w:t>
      </w:r>
      <w:r w:rsidR="00A3290F" w:rsidRPr="00451503">
        <w:rPr>
          <w:lang w:val="en-GB" w:eastAsia="fr-FR"/>
        </w:rPr>
        <w:t xml:space="preserve">non-traditional donors, </w:t>
      </w:r>
      <w:r w:rsidR="003F1B3C">
        <w:rPr>
          <w:lang w:val="en-GB" w:eastAsia="fr-FR"/>
        </w:rPr>
        <w:t>such as</w:t>
      </w:r>
      <w:r w:rsidR="00E93ABF">
        <w:rPr>
          <w:lang w:val="en-GB" w:eastAsia="fr-FR"/>
        </w:rPr>
        <w:t xml:space="preserve"> </w:t>
      </w:r>
      <w:r w:rsidR="00A3290F" w:rsidRPr="00451503">
        <w:rPr>
          <w:lang w:val="en-GB" w:eastAsia="fr-FR"/>
        </w:rPr>
        <w:t>Gulf countries</w:t>
      </w:r>
      <w:r w:rsidR="00EC05ED">
        <w:rPr>
          <w:lang w:val="en-GB" w:eastAsia="fr-FR"/>
        </w:rPr>
        <w:t xml:space="preserve"> (</w:t>
      </w:r>
      <w:r>
        <w:rPr>
          <w:lang w:val="en-GB" w:eastAsia="fr-FR"/>
        </w:rPr>
        <w:t xml:space="preserve">e.g. </w:t>
      </w:r>
      <w:r w:rsidR="003F1B3C">
        <w:rPr>
          <w:lang w:val="en-GB" w:eastAsia="fr-FR"/>
        </w:rPr>
        <w:t>the United Arab Emirates</w:t>
      </w:r>
      <w:r w:rsidR="00EC05ED">
        <w:rPr>
          <w:lang w:val="en-GB" w:eastAsia="fr-FR"/>
        </w:rPr>
        <w:t>)</w:t>
      </w:r>
      <w:r w:rsidR="00F9272D">
        <w:rPr>
          <w:lang w:val="en-GB" w:eastAsia="fr-FR"/>
        </w:rPr>
        <w:t xml:space="preserve">, </w:t>
      </w:r>
      <w:r w:rsidR="008B0CE5">
        <w:rPr>
          <w:lang w:val="en-GB" w:eastAsia="fr-FR"/>
        </w:rPr>
        <w:t xml:space="preserve">the </w:t>
      </w:r>
      <w:r w:rsidR="009E5794" w:rsidRPr="00451503">
        <w:rPr>
          <w:lang w:val="en-GB" w:eastAsia="fr-FR"/>
        </w:rPr>
        <w:t>S</w:t>
      </w:r>
      <w:r w:rsidR="009E5794">
        <w:rPr>
          <w:lang w:val="en-GB" w:eastAsia="fr-FR"/>
        </w:rPr>
        <w:t>outh</w:t>
      </w:r>
      <w:r w:rsidR="009B1DAE">
        <w:rPr>
          <w:lang w:val="en-GB" w:eastAsia="fr-FR"/>
        </w:rPr>
        <w:t xml:space="preserve"> </w:t>
      </w:r>
      <w:r w:rsidR="00F9272D" w:rsidRPr="00451503">
        <w:rPr>
          <w:lang w:val="en-GB" w:eastAsia="fr-FR"/>
        </w:rPr>
        <w:t>A</w:t>
      </w:r>
      <w:r w:rsidR="009B1DAE">
        <w:rPr>
          <w:lang w:val="en-GB" w:eastAsia="fr-FR"/>
        </w:rPr>
        <w:t>frica</w:t>
      </w:r>
      <w:r w:rsidR="00F9272D" w:rsidRPr="00451503">
        <w:rPr>
          <w:lang w:val="en-GB" w:eastAsia="fr-FR"/>
        </w:rPr>
        <w:t xml:space="preserve"> Fund</w:t>
      </w:r>
      <w:r w:rsidR="008B0CE5">
        <w:rPr>
          <w:lang w:val="en-GB" w:eastAsia="fr-FR"/>
        </w:rPr>
        <w:t>,</w:t>
      </w:r>
      <w:r w:rsidR="00F9272D">
        <w:rPr>
          <w:lang w:val="en-GB" w:eastAsia="fr-FR"/>
        </w:rPr>
        <w:t xml:space="preserve"> </w:t>
      </w:r>
      <w:r w:rsidR="00EC05ED">
        <w:rPr>
          <w:lang w:val="en-GB" w:eastAsia="fr-FR"/>
        </w:rPr>
        <w:t xml:space="preserve">and </w:t>
      </w:r>
      <w:r w:rsidR="008B0CE5">
        <w:rPr>
          <w:lang w:val="en-GB" w:eastAsia="fr-FR"/>
        </w:rPr>
        <w:t xml:space="preserve">countries with </w:t>
      </w:r>
      <w:r w:rsidR="003F1B3C">
        <w:rPr>
          <w:lang w:val="en-GB" w:eastAsia="fr-FR"/>
        </w:rPr>
        <w:t>emerging economies</w:t>
      </w:r>
      <w:r w:rsidR="008B0CE5">
        <w:rPr>
          <w:lang w:val="en-GB" w:eastAsia="fr-FR"/>
        </w:rPr>
        <w:t xml:space="preserve">: </w:t>
      </w:r>
      <w:r w:rsidR="003F1B3C">
        <w:rPr>
          <w:lang w:val="en-GB" w:eastAsia="fr-FR"/>
        </w:rPr>
        <w:t>Brazil, Russia, India, China, and South Africa</w:t>
      </w:r>
      <w:r w:rsidR="00A3290F" w:rsidRPr="00451503">
        <w:rPr>
          <w:lang w:val="en-GB" w:eastAsia="fr-FR"/>
        </w:rPr>
        <w:t xml:space="preserve">. </w:t>
      </w:r>
      <w:r w:rsidR="008B0CE5">
        <w:rPr>
          <w:lang w:val="en-GB" w:eastAsia="fr-FR"/>
        </w:rPr>
        <w:t>Greater focus will be placed on</w:t>
      </w:r>
      <w:r>
        <w:rPr>
          <w:lang w:val="en-GB" w:eastAsia="fr-FR"/>
        </w:rPr>
        <w:t xml:space="preserve"> </w:t>
      </w:r>
      <w:r w:rsidR="008B0CE5">
        <w:rPr>
          <w:lang w:val="en-GB" w:eastAsia="fr-FR"/>
        </w:rPr>
        <w:t xml:space="preserve">raising the </w:t>
      </w:r>
      <w:r w:rsidR="00A3290F" w:rsidRPr="00451503">
        <w:rPr>
          <w:lang w:val="en-GB" w:eastAsia="fr-FR"/>
        </w:rPr>
        <w:t>communication and visibility</w:t>
      </w:r>
      <w:r w:rsidR="008B0CE5">
        <w:rPr>
          <w:lang w:val="en-GB" w:eastAsia="fr-FR"/>
        </w:rPr>
        <w:t xml:space="preserve"> profile</w:t>
      </w:r>
      <w:r w:rsidR="00A3290F" w:rsidRPr="00451503">
        <w:rPr>
          <w:lang w:val="en-GB" w:eastAsia="fr-FR"/>
        </w:rPr>
        <w:t xml:space="preserve"> of interventions</w:t>
      </w:r>
      <w:r>
        <w:rPr>
          <w:lang w:val="en-GB" w:eastAsia="fr-FR"/>
        </w:rPr>
        <w:t>,</w:t>
      </w:r>
      <w:r w:rsidR="00A3290F" w:rsidRPr="00451503">
        <w:rPr>
          <w:lang w:val="en-GB" w:eastAsia="fr-FR"/>
        </w:rPr>
        <w:t xml:space="preserve"> </w:t>
      </w:r>
      <w:r w:rsidR="008B0CE5">
        <w:rPr>
          <w:lang w:val="en-GB" w:eastAsia="fr-FR"/>
        </w:rPr>
        <w:t>as well as</w:t>
      </w:r>
      <w:r w:rsidR="008B0CE5" w:rsidRPr="00451503">
        <w:rPr>
          <w:lang w:val="en-GB" w:eastAsia="fr-FR"/>
        </w:rPr>
        <w:t xml:space="preserve"> </w:t>
      </w:r>
      <w:r w:rsidR="00A3290F" w:rsidRPr="00451503">
        <w:rPr>
          <w:lang w:val="en-GB" w:eastAsia="fr-FR"/>
        </w:rPr>
        <w:t xml:space="preserve">exploring new funding mechanisms </w:t>
      </w:r>
      <w:r>
        <w:rPr>
          <w:lang w:val="en-GB" w:eastAsia="fr-FR"/>
        </w:rPr>
        <w:t>like</w:t>
      </w:r>
      <w:r w:rsidRPr="00451503">
        <w:rPr>
          <w:lang w:val="en-GB" w:eastAsia="fr-FR"/>
        </w:rPr>
        <w:t xml:space="preserve"> </w:t>
      </w:r>
      <w:r w:rsidR="00A3290F" w:rsidRPr="00451503">
        <w:rPr>
          <w:lang w:val="en-GB" w:eastAsia="fr-FR"/>
        </w:rPr>
        <w:t xml:space="preserve">the Green Climate Fund, the Global Environment Facility, </w:t>
      </w:r>
      <w:r w:rsidR="00F9272D">
        <w:rPr>
          <w:lang w:val="en-GB" w:eastAsia="fr-FR"/>
        </w:rPr>
        <w:t>p</w:t>
      </w:r>
      <w:r w:rsidR="00F9272D" w:rsidRPr="00F9272D">
        <w:rPr>
          <w:lang w:val="en-GB" w:eastAsia="fr-FR"/>
        </w:rPr>
        <w:t>ublic-private partnerships</w:t>
      </w:r>
      <w:r w:rsidR="008B0CE5">
        <w:rPr>
          <w:lang w:val="en-GB" w:eastAsia="fr-FR"/>
        </w:rPr>
        <w:t>,</w:t>
      </w:r>
      <w:r w:rsidR="00F9272D" w:rsidRPr="00F9272D">
        <w:rPr>
          <w:lang w:val="en-GB" w:eastAsia="fr-FR"/>
        </w:rPr>
        <w:t xml:space="preserve"> </w:t>
      </w:r>
      <w:r w:rsidR="00A3290F" w:rsidRPr="00451503">
        <w:rPr>
          <w:lang w:val="en-GB" w:eastAsia="fr-FR"/>
        </w:rPr>
        <w:t>and South-South Cooperation funding opportunities such as the Perez-Guerrero Trust Fund</w:t>
      </w:r>
      <w:r w:rsidR="008B0CE5">
        <w:rPr>
          <w:lang w:val="en-GB" w:eastAsia="fr-FR"/>
        </w:rPr>
        <w:t xml:space="preserve">, </w:t>
      </w:r>
      <w:r w:rsidR="00A3290F" w:rsidRPr="00451503">
        <w:rPr>
          <w:lang w:val="en-GB" w:eastAsia="fr-FR"/>
        </w:rPr>
        <w:t>and collaborative approach</w:t>
      </w:r>
      <w:r>
        <w:rPr>
          <w:lang w:val="en-GB" w:eastAsia="fr-FR"/>
        </w:rPr>
        <w:t>es</w:t>
      </w:r>
      <w:r w:rsidR="00A3290F" w:rsidRPr="00451503">
        <w:rPr>
          <w:lang w:val="en-GB" w:eastAsia="fr-FR"/>
        </w:rPr>
        <w:t xml:space="preserve"> with the G5-Sahel. UNDP will advocate for </w:t>
      </w:r>
      <w:r>
        <w:rPr>
          <w:lang w:val="en-GB" w:eastAsia="fr-FR"/>
        </w:rPr>
        <w:t xml:space="preserve">the government to </w:t>
      </w:r>
      <w:r w:rsidR="002A74C0">
        <w:rPr>
          <w:lang w:val="en-GB" w:eastAsia="fr-FR"/>
        </w:rPr>
        <w:t xml:space="preserve">shift from funding to financing, in accordance with the spirit of </w:t>
      </w:r>
      <w:r>
        <w:rPr>
          <w:lang w:val="en-GB" w:eastAsia="fr-FR"/>
        </w:rPr>
        <w:t xml:space="preserve">the </w:t>
      </w:r>
      <w:r w:rsidR="002A74C0">
        <w:rPr>
          <w:lang w:val="en-GB" w:eastAsia="fr-FR"/>
        </w:rPr>
        <w:t>Addis Ababa</w:t>
      </w:r>
      <w:r>
        <w:rPr>
          <w:lang w:val="en-GB" w:eastAsia="fr-FR"/>
        </w:rPr>
        <w:t xml:space="preserve"> agreement</w:t>
      </w:r>
      <w:r w:rsidR="00F9272D">
        <w:rPr>
          <w:lang w:val="en-GB" w:eastAsia="fr-FR"/>
        </w:rPr>
        <w:t>,</w:t>
      </w:r>
      <w:r w:rsidR="002A74C0">
        <w:rPr>
          <w:lang w:val="en-GB" w:eastAsia="fr-FR"/>
        </w:rPr>
        <w:t xml:space="preserve"> and </w:t>
      </w:r>
      <w:r>
        <w:rPr>
          <w:lang w:val="en-GB" w:eastAsia="fr-FR"/>
        </w:rPr>
        <w:t xml:space="preserve">make a </w:t>
      </w:r>
      <w:r w:rsidR="002A74C0">
        <w:rPr>
          <w:lang w:val="en-GB" w:eastAsia="fr-FR"/>
        </w:rPr>
        <w:t xml:space="preserve">greater contribution </w:t>
      </w:r>
      <w:r w:rsidR="00A3290F" w:rsidRPr="00451503">
        <w:rPr>
          <w:lang w:val="en-GB" w:eastAsia="fr-FR"/>
        </w:rPr>
        <w:t xml:space="preserve">to the </w:t>
      </w:r>
      <w:r>
        <w:rPr>
          <w:lang w:val="en-GB" w:eastAsia="fr-FR"/>
        </w:rPr>
        <w:t>national p</w:t>
      </w:r>
      <w:r w:rsidR="00A3290F" w:rsidRPr="00451503">
        <w:rPr>
          <w:lang w:val="en-GB" w:eastAsia="fr-FR"/>
        </w:rPr>
        <w:t>rogramme</w:t>
      </w:r>
      <w:r w:rsidR="001B0C8F">
        <w:rPr>
          <w:lang w:val="en-GB" w:eastAsia="fr-FR"/>
        </w:rPr>
        <w:t>,</w:t>
      </w:r>
      <w:r w:rsidR="00A3290F" w:rsidRPr="00451503">
        <w:rPr>
          <w:lang w:val="en-GB" w:eastAsia="fr-FR"/>
        </w:rPr>
        <w:t xml:space="preserve"> mainly in </w:t>
      </w:r>
      <w:r>
        <w:rPr>
          <w:lang w:val="en-GB" w:eastAsia="fr-FR"/>
        </w:rPr>
        <w:t xml:space="preserve">terms of </w:t>
      </w:r>
      <w:r w:rsidR="00A3290F" w:rsidRPr="00451503">
        <w:rPr>
          <w:lang w:val="en-GB" w:eastAsia="fr-FR"/>
        </w:rPr>
        <w:t>regional governance.</w:t>
      </w:r>
    </w:p>
    <w:p w:rsidR="00A3290F" w:rsidRPr="007A0358" w:rsidRDefault="00ED463D" w:rsidP="007D6C08">
      <w:pPr>
        <w:numPr>
          <w:ilvl w:val="0"/>
          <w:numId w:val="9"/>
        </w:numPr>
        <w:tabs>
          <w:tab w:val="left" w:pos="1080"/>
        </w:tabs>
        <w:spacing w:after="120"/>
        <w:ind w:right="680" w:firstLine="0"/>
        <w:jc w:val="both"/>
        <w:rPr>
          <w:lang w:val="en-GB" w:eastAsia="fr-FR"/>
        </w:rPr>
      </w:pPr>
      <w:r w:rsidRPr="007A0358">
        <w:rPr>
          <w:lang w:val="en-GB" w:eastAsia="fr-FR"/>
        </w:rPr>
        <w:t xml:space="preserve">To address </w:t>
      </w:r>
      <w:r w:rsidR="00C65BB4" w:rsidRPr="007A0358">
        <w:rPr>
          <w:lang w:val="en-GB" w:eastAsia="fr-FR"/>
        </w:rPr>
        <w:t xml:space="preserve">climate </w:t>
      </w:r>
      <w:r w:rsidR="002B577B">
        <w:rPr>
          <w:lang w:val="en-GB" w:eastAsia="fr-FR"/>
        </w:rPr>
        <w:t>change</w:t>
      </w:r>
      <w:r w:rsidR="002B577B" w:rsidRPr="007A0358">
        <w:rPr>
          <w:lang w:val="en-GB" w:eastAsia="fr-FR"/>
        </w:rPr>
        <w:t xml:space="preserve"> </w:t>
      </w:r>
      <w:r w:rsidR="00C65BB4" w:rsidRPr="007A0358">
        <w:rPr>
          <w:lang w:val="en-GB" w:eastAsia="fr-FR"/>
        </w:rPr>
        <w:t>and disasters</w:t>
      </w:r>
      <w:r w:rsidRPr="007A0358">
        <w:rPr>
          <w:lang w:val="en-GB" w:eastAsia="fr-FR"/>
        </w:rPr>
        <w:t xml:space="preserve"> risks, the office will adopt UNDP social and environmental standards</w:t>
      </w:r>
      <w:r w:rsidR="007A0358" w:rsidRPr="007A0358">
        <w:rPr>
          <w:lang w:val="en-GB" w:eastAsia="fr-FR"/>
        </w:rPr>
        <w:t>.</w:t>
      </w:r>
      <w:r w:rsidRPr="007A0358">
        <w:rPr>
          <w:lang w:val="en-GB" w:eastAsia="fr-FR"/>
        </w:rPr>
        <w:t xml:space="preserve"> </w:t>
      </w:r>
      <w:r w:rsidR="003F1B3C">
        <w:rPr>
          <w:lang w:val="en-GB" w:eastAsia="fr-FR"/>
        </w:rPr>
        <w:t>As for s</w:t>
      </w:r>
      <w:r w:rsidR="002B577B" w:rsidRPr="007A0358">
        <w:rPr>
          <w:lang w:val="en-GB" w:eastAsia="fr-FR"/>
        </w:rPr>
        <w:t>ecurity risks</w:t>
      </w:r>
      <w:r w:rsidR="003F1B3C">
        <w:rPr>
          <w:lang w:val="en-GB" w:eastAsia="fr-FR"/>
        </w:rPr>
        <w:t>, most</w:t>
      </w:r>
      <w:r w:rsidR="002B577B">
        <w:rPr>
          <w:lang w:val="en-GB" w:eastAsia="fr-FR"/>
        </w:rPr>
        <w:t xml:space="preserve"> arise because Mauritania shares a border with Mali and the Maghreb. </w:t>
      </w:r>
      <w:r w:rsidR="008B0CE5">
        <w:rPr>
          <w:lang w:val="en-GB" w:eastAsia="fr-FR"/>
        </w:rPr>
        <w:t>T</w:t>
      </w:r>
      <w:r w:rsidR="002B577B">
        <w:rPr>
          <w:lang w:val="en-GB" w:eastAsia="fr-FR"/>
        </w:rPr>
        <w:t>he country office will</w:t>
      </w:r>
      <w:r w:rsidR="008B0CE5">
        <w:rPr>
          <w:lang w:val="en-GB" w:eastAsia="fr-FR"/>
        </w:rPr>
        <w:t xml:space="preserve"> </w:t>
      </w:r>
      <w:r w:rsidR="002B577B">
        <w:rPr>
          <w:lang w:val="en-GB" w:eastAsia="fr-FR"/>
        </w:rPr>
        <w:t xml:space="preserve">implement </w:t>
      </w:r>
      <w:r w:rsidR="00C65BB4" w:rsidRPr="007A0358">
        <w:rPr>
          <w:lang w:val="en-GB" w:eastAsia="fr-FR"/>
        </w:rPr>
        <w:t xml:space="preserve">a plan to reinforce </w:t>
      </w:r>
      <w:r w:rsidR="002B577B">
        <w:rPr>
          <w:lang w:val="en-GB" w:eastAsia="fr-FR"/>
        </w:rPr>
        <w:t>the</w:t>
      </w:r>
      <w:r w:rsidR="001B0C8F" w:rsidRPr="007A0358">
        <w:rPr>
          <w:lang w:val="en-GB" w:eastAsia="fr-FR"/>
        </w:rPr>
        <w:t xml:space="preserve"> </w:t>
      </w:r>
      <w:r w:rsidR="00C65BB4" w:rsidRPr="007A0358">
        <w:rPr>
          <w:lang w:val="en-GB" w:eastAsia="fr-FR"/>
        </w:rPr>
        <w:t>capacities</w:t>
      </w:r>
      <w:r w:rsidR="002B577B">
        <w:rPr>
          <w:lang w:val="en-GB" w:eastAsia="fr-FR"/>
        </w:rPr>
        <w:t xml:space="preserve"> of </w:t>
      </w:r>
      <w:r w:rsidR="008B0CE5">
        <w:rPr>
          <w:lang w:val="en-GB" w:eastAsia="fr-FR"/>
        </w:rPr>
        <w:t xml:space="preserve">security </w:t>
      </w:r>
      <w:r w:rsidR="002B577B">
        <w:rPr>
          <w:lang w:val="en-GB" w:eastAsia="fr-FR"/>
        </w:rPr>
        <w:t>partners</w:t>
      </w:r>
      <w:r w:rsidR="003F1B3C">
        <w:rPr>
          <w:lang w:val="en-GB" w:eastAsia="fr-FR"/>
        </w:rPr>
        <w:t xml:space="preserve"> at the national level</w:t>
      </w:r>
      <w:r w:rsidR="002B577B">
        <w:rPr>
          <w:lang w:val="en-GB" w:eastAsia="fr-FR"/>
        </w:rPr>
        <w:t>. This will be done</w:t>
      </w:r>
      <w:r w:rsidR="00C65BB4" w:rsidRPr="007A0358">
        <w:rPr>
          <w:lang w:val="en-GB" w:eastAsia="fr-FR"/>
        </w:rPr>
        <w:t xml:space="preserve"> in collaboration with other </w:t>
      </w:r>
      <w:r w:rsidR="002B577B">
        <w:rPr>
          <w:lang w:val="en-GB" w:eastAsia="fr-FR"/>
        </w:rPr>
        <w:t>United Nations</w:t>
      </w:r>
      <w:r w:rsidR="002B577B" w:rsidRPr="007A0358">
        <w:rPr>
          <w:lang w:val="en-GB" w:eastAsia="fr-FR"/>
        </w:rPr>
        <w:t xml:space="preserve"> </w:t>
      </w:r>
      <w:r w:rsidR="002B577B">
        <w:rPr>
          <w:lang w:val="en-GB" w:eastAsia="fr-FR"/>
        </w:rPr>
        <w:t>organizations</w:t>
      </w:r>
      <w:r w:rsidR="002B577B" w:rsidRPr="007A0358">
        <w:rPr>
          <w:lang w:val="en-GB" w:eastAsia="fr-FR"/>
        </w:rPr>
        <w:t xml:space="preserve"> </w:t>
      </w:r>
      <w:r w:rsidR="00C65BB4" w:rsidRPr="007A0358">
        <w:rPr>
          <w:lang w:val="en-GB" w:eastAsia="fr-FR"/>
        </w:rPr>
        <w:t xml:space="preserve">implementing the HACT. </w:t>
      </w:r>
      <w:r w:rsidR="002B577B">
        <w:rPr>
          <w:lang w:val="en-GB" w:eastAsia="fr-FR"/>
        </w:rPr>
        <w:t xml:space="preserve">A </w:t>
      </w:r>
      <w:r w:rsidR="00103F8C" w:rsidRPr="00103F8C">
        <w:rPr>
          <w:lang w:val="en-GB" w:eastAsia="fr-FR"/>
        </w:rPr>
        <w:t xml:space="preserve">Business Continuity Plan </w:t>
      </w:r>
      <w:r w:rsidR="002B577B">
        <w:rPr>
          <w:lang w:val="en-GB" w:eastAsia="fr-FR"/>
        </w:rPr>
        <w:t xml:space="preserve">will be established </w:t>
      </w:r>
      <w:r w:rsidR="00103F8C" w:rsidRPr="00103F8C">
        <w:rPr>
          <w:lang w:val="en-GB" w:eastAsia="fr-FR"/>
        </w:rPr>
        <w:t xml:space="preserve">in collaboration with </w:t>
      </w:r>
      <w:r w:rsidR="002B577B">
        <w:rPr>
          <w:lang w:val="en-GB" w:eastAsia="fr-FR"/>
        </w:rPr>
        <w:t>the United Nations Department for Safety and Security (</w:t>
      </w:r>
      <w:r w:rsidR="00103F8C" w:rsidRPr="00103F8C">
        <w:rPr>
          <w:lang w:val="en-GB" w:eastAsia="fr-FR"/>
        </w:rPr>
        <w:t>UNDSS</w:t>
      </w:r>
      <w:r w:rsidR="002B577B">
        <w:rPr>
          <w:lang w:val="en-GB" w:eastAsia="fr-FR"/>
        </w:rPr>
        <w:t>)</w:t>
      </w:r>
      <w:r w:rsidR="00103F8C" w:rsidRPr="00103F8C">
        <w:rPr>
          <w:lang w:val="en-GB" w:eastAsia="fr-FR"/>
        </w:rPr>
        <w:t>.</w:t>
      </w:r>
      <w:r w:rsidRPr="00451503">
        <w:t xml:space="preserve"> </w:t>
      </w:r>
      <w:r w:rsidR="002B577B">
        <w:rPr>
          <w:lang w:val="en-GB" w:eastAsia="fr-FR"/>
        </w:rPr>
        <w:t>Collaborati</w:t>
      </w:r>
      <w:r w:rsidR="008B0CE5">
        <w:rPr>
          <w:lang w:val="en-GB" w:eastAsia="fr-FR"/>
        </w:rPr>
        <w:t>ons</w:t>
      </w:r>
      <w:r w:rsidR="002B577B">
        <w:rPr>
          <w:lang w:val="en-GB" w:eastAsia="fr-FR"/>
        </w:rPr>
        <w:t xml:space="preserve"> </w:t>
      </w:r>
      <w:r w:rsidRPr="007A0358">
        <w:rPr>
          <w:lang w:val="en-GB" w:eastAsia="fr-FR"/>
        </w:rPr>
        <w:t>with the</w:t>
      </w:r>
      <w:r w:rsidR="00182356">
        <w:rPr>
          <w:lang w:val="en-GB" w:eastAsia="fr-FR"/>
        </w:rPr>
        <w:t xml:space="preserve"> U</w:t>
      </w:r>
      <w:r w:rsidR="008B0CE5">
        <w:rPr>
          <w:lang w:val="en-GB" w:eastAsia="fr-FR"/>
        </w:rPr>
        <w:t xml:space="preserve">nited </w:t>
      </w:r>
      <w:r w:rsidR="00182356">
        <w:rPr>
          <w:lang w:val="en-GB" w:eastAsia="fr-FR"/>
        </w:rPr>
        <w:t>N</w:t>
      </w:r>
      <w:r w:rsidR="008B0CE5">
        <w:rPr>
          <w:lang w:val="en-GB" w:eastAsia="fr-FR"/>
        </w:rPr>
        <w:t>ations</w:t>
      </w:r>
      <w:r w:rsidRPr="007A0358">
        <w:rPr>
          <w:lang w:val="en-GB" w:eastAsia="fr-FR"/>
        </w:rPr>
        <w:t xml:space="preserve"> Political and Development Advisor and </w:t>
      </w:r>
      <w:r w:rsidR="00873E6F">
        <w:rPr>
          <w:lang w:val="en-GB" w:eastAsia="fr-FR"/>
        </w:rPr>
        <w:t>OHCHR</w:t>
      </w:r>
      <w:r w:rsidR="002B577B">
        <w:rPr>
          <w:lang w:val="en-GB" w:eastAsia="fr-FR"/>
        </w:rPr>
        <w:t xml:space="preserve"> will hopefully </w:t>
      </w:r>
      <w:r w:rsidR="002B577B">
        <w:t>mitigate s</w:t>
      </w:r>
      <w:r w:rsidR="002B577B" w:rsidRPr="00451503">
        <w:t>ocio</w:t>
      </w:r>
      <w:r w:rsidR="002B577B" w:rsidRPr="007A0358">
        <w:rPr>
          <w:lang w:val="en-GB" w:eastAsia="fr-FR"/>
        </w:rPr>
        <w:t>-political conflict</w:t>
      </w:r>
      <w:r w:rsidR="002F0099">
        <w:rPr>
          <w:lang w:val="en-GB" w:eastAsia="fr-FR"/>
        </w:rPr>
        <w:t>, while</w:t>
      </w:r>
      <w:r w:rsidR="00873E6F">
        <w:rPr>
          <w:lang w:val="en-GB" w:eastAsia="fr-FR"/>
        </w:rPr>
        <w:t xml:space="preserve"> </w:t>
      </w:r>
      <w:r w:rsidR="002F0099">
        <w:rPr>
          <w:lang w:val="en-GB" w:eastAsia="fr-FR"/>
        </w:rPr>
        <w:t>g</w:t>
      </w:r>
      <w:r w:rsidR="008F6D87">
        <w:rPr>
          <w:lang w:val="en-GB" w:eastAsia="fr-FR"/>
        </w:rPr>
        <w:t>ender</w:t>
      </w:r>
      <w:r w:rsidR="002F0099">
        <w:rPr>
          <w:lang w:val="en-GB" w:eastAsia="fr-FR"/>
        </w:rPr>
        <w:t>-</w:t>
      </w:r>
      <w:r w:rsidR="008F6D87">
        <w:rPr>
          <w:lang w:val="en-GB" w:eastAsia="fr-FR"/>
        </w:rPr>
        <w:t xml:space="preserve">related risks will be </w:t>
      </w:r>
      <w:r w:rsidR="002B577B">
        <w:rPr>
          <w:lang w:val="en-GB" w:eastAsia="fr-FR"/>
        </w:rPr>
        <w:t>alleviated</w:t>
      </w:r>
      <w:r w:rsidR="008F6D87">
        <w:rPr>
          <w:lang w:val="en-GB" w:eastAsia="fr-FR"/>
        </w:rPr>
        <w:t xml:space="preserve"> through</w:t>
      </w:r>
      <w:r w:rsidR="008B0CE5">
        <w:rPr>
          <w:lang w:val="en-GB" w:eastAsia="fr-FR"/>
        </w:rPr>
        <w:t xml:space="preserve"> the implementation of</w:t>
      </w:r>
      <w:r w:rsidR="008F6D87">
        <w:rPr>
          <w:lang w:val="en-GB" w:eastAsia="fr-FR"/>
        </w:rPr>
        <w:t xml:space="preserve"> programmes </w:t>
      </w:r>
      <w:r w:rsidR="00FA0F16">
        <w:rPr>
          <w:lang w:val="en-GB" w:eastAsia="fr-FR"/>
        </w:rPr>
        <w:t>on</w:t>
      </w:r>
      <w:r w:rsidR="008F6D87">
        <w:rPr>
          <w:lang w:val="en-GB" w:eastAsia="fr-FR"/>
        </w:rPr>
        <w:t xml:space="preserve"> economic empowerment and political participation. </w:t>
      </w:r>
      <w:r w:rsidR="00C65BB4" w:rsidRPr="007A0358">
        <w:rPr>
          <w:lang w:val="en-GB" w:eastAsia="fr-FR"/>
        </w:rPr>
        <w:t xml:space="preserve">Programme risks will be monitored every six-months </w:t>
      </w:r>
      <w:r w:rsidR="00FA0F16">
        <w:rPr>
          <w:lang w:val="en-GB" w:eastAsia="fr-FR"/>
        </w:rPr>
        <w:t xml:space="preserve">through a mid-term </w:t>
      </w:r>
      <w:r w:rsidR="00C65BB4" w:rsidRPr="007A0358">
        <w:rPr>
          <w:lang w:val="en-GB" w:eastAsia="fr-FR"/>
        </w:rPr>
        <w:t>review</w:t>
      </w:r>
      <w:r w:rsidR="00FA0F16">
        <w:rPr>
          <w:lang w:val="en-GB" w:eastAsia="fr-FR"/>
        </w:rPr>
        <w:t xml:space="preserve">, </w:t>
      </w:r>
      <w:r w:rsidR="008B0CE5">
        <w:rPr>
          <w:lang w:val="en-GB" w:eastAsia="fr-FR"/>
        </w:rPr>
        <w:t xml:space="preserve">and </w:t>
      </w:r>
      <w:r w:rsidR="00FA0F16">
        <w:rPr>
          <w:lang w:val="en-GB" w:eastAsia="fr-FR"/>
        </w:rPr>
        <w:t>p</w:t>
      </w:r>
      <w:r w:rsidR="00C65BB4" w:rsidRPr="007A0358">
        <w:rPr>
          <w:lang w:val="en-GB" w:eastAsia="fr-FR"/>
        </w:rPr>
        <w:t>roject risks will be monitored on a quarterly basis.</w:t>
      </w:r>
    </w:p>
    <w:p w:rsidR="00FA634F" w:rsidRPr="00451503" w:rsidRDefault="00A3290F" w:rsidP="007D6C08">
      <w:pPr>
        <w:numPr>
          <w:ilvl w:val="0"/>
          <w:numId w:val="9"/>
        </w:numPr>
        <w:tabs>
          <w:tab w:val="left" w:pos="1080"/>
        </w:tabs>
        <w:ind w:right="680" w:firstLine="0"/>
        <w:jc w:val="both"/>
        <w:rPr>
          <w:lang w:val="en-GB" w:eastAsia="fr-FR"/>
        </w:rPr>
      </w:pPr>
      <w:r w:rsidRPr="00451503">
        <w:rPr>
          <w:lang w:val="en-GB" w:eastAsia="fr-FR"/>
        </w:rPr>
        <w:t>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w:t>
      </w:r>
      <w:r w:rsidR="008B0CE5">
        <w:rPr>
          <w:lang w:val="en-GB" w:eastAsia="fr-FR"/>
        </w:rPr>
        <w:t>,</w:t>
      </w:r>
      <w:r w:rsidRPr="00451503">
        <w:rPr>
          <w:lang w:val="en-GB" w:eastAsia="fr-FR"/>
        </w:rPr>
        <w:t xml:space="preserve"> and headquarter levels with respect to country programmes is prescribed in the </w:t>
      </w:r>
      <w:r w:rsidR="00FA0F16">
        <w:rPr>
          <w:lang w:val="en-GB" w:eastAsia="fr-FR"/>
        </w:rPr>
        <w:t>UNDP</w:t>
      </w:r>
      <w:r w:rsidR="00FA0F16" w:rsidRPr="00451503">
        <w:rPr>
          <w:lang w:val="en-GB" w:eastAsia="fr-FR"/>
        </w:rPr>
        <w:t xml:space="preserve"> </w:t>
      </w:r>
      <w:r w:rsidRPr="00451503">
        <w:rPr>
          <w:lang w:val="en-GB" w:eastAsia="fr-FR"/>
        </w:rPr>
        <w:t>Programme and Operations Policies and Procedures and the Internal Control Framework</w:t>
      </w:r>
      <w:r w:rsidR="001B0C8F">
        <w:rPr>
          <w:lang w:val="en-GB" w:eastAsia="fr-FR"/>
        </w:rPr>
        <w:t>.</w:t>
      </w:r>
    </w:p>
    <w:p w:rsidR="00CB10B5" w:rsidRPr="00451503" w:rsidRDefault="00CB10B5" w:rsidP="007D6C08">
      <w:pPr>
        <w:pStyle w:val="ListParagraph"/>
        <w:ind w:hanging="540"/>
        <w:rPr>
          <w:lang w:val="en-GB" w:eastAsia="fr-FR"/>
        </w:rPr>
      </w:pPr>
    </w:p>
    <w:p w:rsidR="00557278" w:rsidRPr="008B0CE5" w:rsidRDefault="00557278" w:rsidP="00423C8C">
      <w:pPr>
        <w:pStyle w:val="Heading2"/>
        <w:keepNext w:val="0"/>
        <w:widowControl w:val="0"/>
        <w:tabs>
          <w:tab w:val="left" w:pos="720"/>
        </w:tabs>
        <w:spacing w:after="120"/>
        <w:ind w:right="680"/>
        <w:jc w:val="both"/>
        <w:rPr>
          <w:szCs w:val="24"/>
          <w:lang w:val="en-GB" w:eastAsia="fr-FR"/>
        </w:rPr>
      </w:pPr>
      <w:bookmarkStart w:id="3" w:name="_Toc479680378"/>
      <w:r w:rsidRPr="008B0CE5">
        <w:rPr>
          <w:rFonts w:ascii="Times New Roman" w:hAnsi="Times New Roman"/>
          <w:bCs/>
          <w:szCs w:val="24"/>
          <w:lang w:val="en-GB"/>
        </w:rPr>
        <w:t>IV.</w:t>
      </w:r>
      <w:r w:rsidR="007D6C08" w:rsidRPr="008B0CE5">
        <w:rPr>
          <w:rFonts w:ascii="Times New Roman" w:hAnsi="Times New Roman"/>
          <w:bCs/>
          <w:szCs w:val="24"/>
          <w:lang w:val="en-GB"/>
        </w:rPr>
        <w:tab/>
      </w:r>
      <w:r w:rsidRPr="008B0CE5">
        <w:rPr>
          <w:rFonts w:ascii="Times New Roman" w:hAnsi="Times New Roman"/>
          <w:bCs/>
          <w:szCs w:val="24"/>
          <w:lang w:val="en-GB"/>
        </w:rPr>
        <w:t xml:space="preserve">Monitoring and </w:t>
      </w:r>
      <w:r w:rsidR="007D6C08" w:rsidRPr="008B0CE5">
        <w:rPr>
          <w:rFonts w:ascii="Times New Roman" w:hAnsi="Times New Roman"/>
          <w:bCs/>
          <w:szCs w:val="24"/>
          <w:lang w:val="en-GB"/>
        </w:rPr>
        <w:t>e</w:t>
      </w:r>
      <w:r w:rsidRPr="008B0CE5">
        <w:rPr>
          <w:rFonts w:ascii="Times New Roman" w:hAnsi="Times New Roman"/>
          <w:bCs/>
          <w:szCs w:val="24"/>
          <w:lang w:val="en-GB"/>
        </w:rPr>
        <w:t>valuation</w:t>
      </w:r>
      <w:bookmarkEnd w:id="3"/>
    </w:p>
    <w:p w:rsidR="00557278" w:rsidRPr="00B86DA2" w:rsidRDefault="009B1DAE" w:rsidP="007D6C08">
      <w:pPr>
        <w:numPr>
          <w:ilvl w:val="0"/>
          <w:numId w:val="9"/>
        </w:numPr>
        <w:tabs>
          <w:tab w:val="left" w:pos="1080"/>
        </w:tabs>
        <w:spacing w:after="120"/>
        <w:ind w:right="680" w:firstLine="0"/>
        <w:jc w:val="both"/>
        <w:rPr>
          <w:lang w:val="en-GB" w:eastAsia="fr-FR"/>
        </w:rPr>
      </w:pPr>
      <w:r>
        <w:t xml:space="preserve">UNDP support to </w:t>
      </w:r>
      <w:r w:rsidR="00D80F8E">
        <w:t xml:space="preserve">the </w:t>
      </w:r>
      <w:r>
        <w:t>government will be results-driven</w:t>
      </w:r>
      <w:r w:rsidR="00182356">
        <w:t xml:space="preserve"> by </w:t>
      </w:r>
      <w:r w:rsidR="00F92592">
        <w:t>investing</w:t>
      </w:r>
      <w:r w:rsidR="00F92592" w:rsidRPr="00B86DA2" w:rsidDel="00182356">
        <w:t xml:space="preserve"> </w:t>
      </w:r>
      <w:r w:rsidR="00F92592" w:rsidRPr="00B86DA2">
        <w:t>in</w:t>
      </w:r>
      <w:r w:rsidR="00B86DA2" w:rsidRPr="00B86DA2">
        <w:t xml:space="preserve"> </w:t>
      </w:r>
      <w:r w:rsidR="00FA0F16">
        <w:t>careful</w:t>
      </w:r>
      <w:r w:rsidR="00FA0F16" w:rsidRPr="00B86DA2">
        <w:t xml:space="preserve"> </w:t>
      </w:r>
      <w:r w:rsidR="00B86DA2" w:rsidRPr="00B86DA2">
        <w:t xml:space="preserve">monitoring and evaluation of </w:t>
      </w:r>
      <w:r w:rsidR="00D80F8E">
        <w:t>the</w:t>
      </w:r>
      <w:r w:rsidR="00D80F8E" w:rsidRPr="00B86DA2">
        <w:t xml:space="preserve"> </w:t>
      </w:r>
      <w:r w:rsidR="00B86DA2" w:rsidRPr="00B86DA2">
        <w:t xml:space="preserve">programme. </w:t>
      </w:r>
      <w:r w:rsidR="00FA0F16">
        <w:t>Country Programme Document (</w:t>
      </w:r>
      <w:r w:rsidR="00B86DA2" w:rsidRPr="00B86DA2">
        <w:t>CPD</w:t>
      </w:r>
      <w:r w:rsidR="00FA0F16">
        <w:t>)</w:t>
      </w:r>
      <w:r w:rsidR="00B86DA2" w:rsidRPr="00B86DA2">
        <w:t xml:space="preserve"> indicators are aligned with national indicators (National Development Plan), the UNDAF, the UNDP Strategic Plan 2014-2017</w:t>
      </w:r>
      <w:r w:rsidR="00FA0F16">
        <w:t>,</w:t>
      </w:r>
      <w:r w:rsidR="00B86DA2" w:rsidRPr="00B86DA2">
        <w:t xml:space="preserve"> and the SDGs</w:t>
      </w:r>
      <w:r w:rsidR="00B86DA2">
        <w:t>.</w:t>
      </w:r>
    </w:p>
    <w:p w:rsidR="00B86DA2" w:rsidRPr="00B86DA2" w:rsidRDefault="00B86DA2" w:rsidP="007D6C08">
      <w:pPr>
        <w:pStyle w:val="ListParagraph"/>
        <w:numPr>
          <w:ilvl w:val="0"/>
          <w:numId w:val="9"/>
        </w:numPr>
        <w:tabs>
          <w:tab w:val="left" w:pos="1080"/>
        </w:tabs>
        <w:spacing w:after="120"/>
        <w:ind w:right="680" w:firstLine="0"/>
        <w:jc w:val="both"/>
        <w:rPr>
          <w:lang w:val="en-GB" w:eastAsia="fr-FR"/>
        </w:rPr>
      </w:pPr>
      <w:r w:rsidRPr="00B86DA2">
        <w:rPr>
          <w:lang w:val="en-GB" w:eastAsia="fr-FR"/>
        </w:rPr>
        <w:t xml:space="preserve">To monitor its contribution to national results, UNDP will use, to the </w:t>
      </w:r>
      <w:r w:rsidR="00FA0F16">
        <w:rPr>
          <w:lang w:val="en-GB" w:eastAsia="fr-FR"/>
        </w:rPr>
        <w:t xml:space="preserve">greatest </w:t>
      </w:r>
      <w:r w:rsidRPr="00B86DA2">
        <w:rPr>
          <w:lang w:val="en-GB" w:eastAsia="fr-FR"/>
        </w:rPr>
        <w:t>extent possible, national monitoring systems, including SCAPP</w:t>
      </w:r>
      <w:r w:rsidR="00FA0F16">
        <w:rPr>
          <w:lang w:val="en-GB" w:eastAsia="fr-FR"/>
        </w:rPr>
        <w:t xml:space="preserve"> </w:t>
      </w:r>
      <w:r w:rsidRPr="00B86DA2">
        <w:rPr>
          <w:lang w:val="en-GB" w:eastAsia="fr-FR"/>
        </w:rPr>
        <w:t xml:space="preserve">and outputs </w:t>
      </w:r>
      <w:r w:rsidR="00D80F8E">
        <w:rPr>
          <w:lang w:val="en-GB" w:eastAsia="fr-FR"/>
        </w:rPr>
        <w:t>from</w:t>
      </w:r>
      <w:r w:rsidR="00D80F8E" w:rsidRPr="00B86DA2">
        <w:rPr>
          <w:lang w:val="en-GB" w:eastAsia="fr-FR"/>
        </w:rPr>
        <w:t xml:space="preserve"> </w:t>
      </w:r>
      <w:r w:rsidRPr="00B86DA2">
        <w:rPr>
          <w:lang w:val="en-GB" w:eastAsia="fr-FR"/>
        </w:rPr>
        <w:t xml:space="preserve">the national statistical system. National reference surveys on population living conditions (EPCV), reference surveys on employment, national accounts, analyses of the results of the general census of the population (2013), will be used to monitor progress. At the global level, international good governance indicators will be used. UNDP will develop a multi-year study and research plan </w:t>
      </w:r>
      <w:r w:rsidR="00FA0F16">
        <w:rPr>
          <w:lang w:val="en-GB" w:eastAsia="fr-FR"/>
        </w:rPr>
        <w:t>and</w:t>
      </w:r>
      <w:r w:rsidRPr="00B86DA2">
        <w:rPr>
          <w:lang w:val="en-GB" w:eastAsia="fr-FR"/>
        </w:rPr>
        <w:t xml:space="preserve"> work with </w:t>
      </w:r>
      <w:r w:rsidRPr="00B86DA2">
        <w:rPr>
          <w:lang w:val="en-GB" w:eastAsia="fr-FR"/>
        </w:rPr>
        <w:lastRenderedPageBreak/>
        <w:t>national strategic research institutions and think tanks to conduct thematic studies to test certain assumptions of the theory of change.</w:t>
      </w:r>
    </w:p>
    <w:p w:rsidR="00557278" w:rsidRPr="00B86DA2" w:rsidRDefault="00557278" w:rsidP="00423C8C">
      <w:pPr>
        <w:numPr>
          <w:ilvl w:val="0"/>
          <w:numId w:val="9"/>
        </w:numPr>
        <w:tabs>
          <w:tab w:val="left" w:pos="1080"/>
        </w:tabs>
        <w:spacing w:after="120"/>
        <w:ind w:right="680" w:firstLine="0"/>
        <w:jc w:val="both"/>
        <w:rPr>
          <w:lang w:val="en-GB" w:eastAsia="fr-FR"/>
        </w:rPr>
      </w:pPr>
      <w:r w:rsidRPr="00451503">
        <w:t xml:space="preserve">Despite recent progress in collecting and publishing statistical data, there is </w:t>
      </w:r>
      <w:r w:rsidR="00FA0F16">
        <w:t>little</w:t>
      </w:r>
      <w:r w:rsidRPr="00451503">
        <w:t xml:space="preserve"> disaggregated data at </w:t>
      </w:r>
      <w:r w:rsidR="00FA0F16">
        <w:t xml:space="preserve">the </w:t>
      </w:r>
      <w:r w:rsidRPr="00451503">
        <w:t xml:space="preserve">sub-national and local </w:t>
      </w:r>
      <w:r w:rsidRPr="002C127A">
        <w:t xml:space="preserve">levels </w:t>
      </w:r>
      <w:r w:rsidR="00D80F8E">
        <w:t>on</w:t>
      </w:r>
      <w:r w:rsidRPr="002C127A">
        <w:t xml:space="preserve"> gender</w:t>
      </w:r>
      <w:r w:rsidR="00FA0F16">
        <w:t>.</w:t>
      </w:r>
      <w:r w:rsidR="00E93ABF">
        <w:rPr>
          <w:rStyle w:val="FootnoteReference"/>
        </w:rPr>
        <w:footnoteReference w:id="15"/>
      </w:r>
      <w:r w:rsidRPr="002C127A">
        <w:t xml:space="preserve"> </w:t>
      </w:r>
      <w:r w:rsidR="00FA0F16">
        <w:t>A</w:t>
      </w:r>
      <w:r w:rsidR="00FA0F16" w:rsidRPr="002C127A">
        <w:t xml:space="preserve"> </w:t>
      </w:r>
      <w:r w:rsidRPr="002C127A">
        <w:t>recent</w:t>
      </w:r>
      <w:r w:rsidRPr="00451503">
        <w:t xml:space="preserve"> study on the baseline situation of </w:t>
      </w:r>
      <w:r w:rsidR="00D80F8E">
        <w:t xml:space="preserve">the </w:t>
      </w:r>
      <w:r w:rsidRPr="00451503">
        <w:t>SDGs in Mauritania revealed</w:t>
      </w:r>
      <w:r w:rsidR="00D80F8E">
        <w:t xml:space="preserve"> not</w:t>
      </w:r>
      <w:r w:rsidRPr="00451503">
        <w:t xml:space="preserve"> </w:t>
      </w:r>
      <w:r w:rsidR="00D80F8E">
        <w:t>enough</w:t>
      </w:r>
      <w:r w:rsidR="00D80F8E" w:rsidRPr="00451503">
        <w:t xml:space="preserve"> </w:t>
      </w:r>
      <w:r w:rsidRPr="00451503">
        <w:t>data</w:t>
      </w:r>
      <w:r w:rsidR="00D80F8E">
        <w:t xml:space="preserve"> is</w:t>
      </w:r>
      <w:r w:rsidRPr="00451503">
        <w:t xml:space="preserve"> available to monitor progress. UNDP, in partnership with UNFPA, </w:t>
      </w:r>
      <w:r w:rsidR="008F38B0" w:rsidRPr="008F38B0">
        <w:t>Economic and Statistical Observatory of Sub</w:t>
      </w:r>
      <w:r w:rsidR="00942A2B">
        <w:t>-S</w:t>
      </w:r>
      <w:r w:rsidR="008F38B0" w:rsidRPr="008F38B0">
        <w:t>aharan Africa</w:t>
      </w:r>
      <w:r w:rsidRPr="00451503">
        <w:t xml:space="preserve">, </w:t>
      </w:r>
      <w:r w:rsidR="00D80F8E">
        <w:t xml:space="preserve">and </w:t>
      </w:r>
      <w:r w:rsidRPr="00451503">
        <w:t>the E</w:t>
      </w:r>
      <w:r w:rsidR="00FA0F16">
        <w:t xml:space="preserve">uropean </w:t>
      </w:r>
      <w:r w:rsidRPr="00451503">
        <w:t>U</w:t>
      </w:r>
      <w:r w:rsidR="00FA0F16">
        <w:t>nion</w:t>
      </w:r>
      <w:r w:rsidRPr="00451503">
        <w:t xml:space="preserve">, will support capacity development for the national statistical system to produce reliable data for the monitoring of </w:t>
      </w:r>
      <w:r w:rsidR="00D80F8E">
        <w:t xml:space="preserve">the </w:t>
      </w:r>
      <w:r w:rsidRPr="00451503">
        <w:t>SDG</w:t>
      </w:r>
      <w:r w:rsidR="00D80F8E">
        <w:t>s</w:t>
      </w:r>
      <w:r w:rsidRPr="00451503">
        <w:t>, SCAPP</w:t>
      </w:r>
      <w:r w:rsidR="00FA0F16">
        <w:t>,</w:t>
      </w:r>
      <w:r w:rsidRPr="00451503">
        <w:t xml:space="preserve"> and UNDAF indicators. UNDP will support implementation </w:t>
      </w:r>
      <w:r w:rsidR="00F02EA8" w:rsidRPr="00451503">
        <w:t xml:space="preserve">of the new 2016-2020 National Strategy for the Development of Statistics and </w:t>
      </w:r>
      <w:r w:rsidR="00FA0F16">
        <w:t>the corresponding</w:t>
      </w:r>
      <w:r w:rsidR="00FA0F16" w:rsidRPr="00451503">
        <w:t xml:space="preserve"> </w:t>
      </w:r>
      <w:r w:rsidR="00F02EA8" w:rsidRPr="00451503">
        <w:t>a</w:t>
      </w:r>
      <w:r w:rsidRPr="00451503">
        <w:t>ction plan.</w:t>
      </w:r>
    </w:p>
    <w:p w:rsidR="00B86DA2" w:rsidRPr="00451503" w:rsidRDefault="00B86DA2" w:rsidP="007D6C08">
      <w:pPr>
        <w:numPr>
          <w:ilvl w:val="0"/>
          <w:numId w:val="9"/>
        </w:numPr>
        <w:tabs>
          <w:tab w:val="left" w:pos="1080"/>
        </w:tabs>
        <w:spacing w:after="120"/>
        <w:ind w:right="680" w:firstLine="0"/>
        <w:jc w:val="both"/>
        <w:rPr>
          <w:lang w:val="en-GB" w:eastAsia="fr-FR"/>
        </w:rPr>
      </w:pPr>
      <w:r>
        <w:rPr>
          <w:lang w:val="en-GB" w:eastAsia="fr-FR"/>
        </w:rPr>
        <w:t xml:space="preserve">UNDP </w:t>
      </w:r>
      <w:r w:rsidRPr="00B86DA2">
        <w:rPr>
          <w:lang w:val="en-GB" w:eastAsia="fr-FR"/>
        </w:rPr>
        <w:t xml:space="preserve">Strategic Plan Results and Resources </w:t>
      </w:r>
      <w:r w:rsidR="00C21B09">
        <w:rPr>
          <w:lang w:val="en-GB" w:eastAsia="fr-FR"/>
        </w:rPr>
        <w:t>F</w:t>
      </w:r>
      <w:r w:rsidRPr="00B86DA2">
        <w:rPr>
          <w:lang w:val="en-GB" w:eastAsia="fr-FR"/>
        </w:rPr>
        <w:t xml:space="preserve">ramework (SP IRRF) will be the reference </w:t>
      </w:r>
      <w:r w:rsidR="00FA0F16">
        <w:rPr>
          <w:lang w:val="en-GB" w:eastAsia="fr-FR"/>
        </w:rPr>
        <w:t>for</w:t>
      </w:r>
      <w:r w:rsidR="00FA0F16" w:rsidRPr="00B86DA2">
        <w:rPr>
          <w:lang w:val="en-GB" w:eastAsia="fr-FR"/>
        </w:rPr>
        <w:t xml:space="preserve"> </w:t>
      </w:r>
      <w:r w:rsidRPr="00B86DA2">
        <w:rPr>
          <w:lang w:val="en-GB" w:eastAsia="fr-FR"/>
        </w:rPr>
        <w:t xml:space="preserve">setting </w:t>
      </w:r>
      <w:r w:rsidR="00C21B09" w:rsidRPr="00B86DA2">
        <w:rPr>
          <w:lang w:val="en-GB" w:eastAsia="fr-FR"/>
        </w:rPr>
        <w:t xml:space="preserve">programme </w:t>
      </w:r>
      <w:r w:rsidRPr="00B86DA2">
        <w:rPr>
          <w:lang w:val="en-GB" w:eastAsia="fr-FR"/>
        </w:rPr>
        <w:t>outcomes and output indicators. The SP IRRF will be completed with other relevant indicator</w:t>
      </w:r>
      <w:r w:rsidR="00C21B09">
        <w:rPr>
          <w:lang w:val="en-GB" w:eastAsia="fr-FR"/>
        </w:rPr>
        <w:t>s</w:t>
      </w:r>
      <w:r w:rsidRPr="00B86DA2">
        <w:rPr>
          <w:lang w:val="en-GB" w:eastAsia="fr-FR"/>
        </w:rPr>
        <w:t xml:space="preserve"> if necessary. </w:t>
      </w:r>
      <w:r w:rsidR="00731136">
        <w:rPr>
          <w:lang w:val="en-GB" w:eastAsia="fr-FR"/>
        </w:rPr>
        <w:t>B</w:t>
      </w:r>
      <w:r w:rsidR="00793647">
        <w:rPr>
          <w:lang w:val="en-GB" w:eastAsia="fr-FR"/>
        </w:rPr>
        <w:t xml:space="preserve">ig </w:t>
      </w:r>
      <w:r w:rsidR="00990218" w:rsidRPr="00990218">
        <w:rPr>
          <w:lang w:val="en-GB" w:eastAsia="fr-FR"/>
        </w:rPr>
        <w:t>data</w:t>
      </w:r>
      <w:r w:rsidR="00D80F8E">
        <w:rPr>
          <w:lang w:val="en-GB" w:eastAsia="fr-FR"/>
        </w:rPr>
        <w:t>,</w:t>
      </w:r>
      <w:r w:rsidR="00990218">
        <w:rPr>
          <w:lang w:val="en-GB" w:eastAsia="fr-FR"/>
        </w:rPr>
        <w:t xml:space="preserve"> and </w:t>
      </w:r>
      <w:r w:rsidR="00990218" w:rsidRPr="00990218">
        <w:rPr>
          <w:lang w:val="en-GB" w:eastAsia="fr-FR"/>
        </w:rPr>
        <w:t>South-South and triangular cooperation</w:t>
      </w:r>
      <w:r w:rsidR="00731136">
        <w:rPr>
          <w:lang w:val="en-GB" w:eastAsia="fr-FR"/>
        </w:rPr>
        <w:t xml:space="preserve"> approaches</w:t>
      </w:r>
      <w:r w:rsidR="00990218" w:rsidRPr="00990218">
        <w:rPr>
          <w:lang w:val="en-GB" w:eastAsia="fr-FR"/>
        </w:rPr>
        <w:t xml:space="preserve"> will be explored to establish a reliable data system on</w:t>
      </w:r>
      <w:r w:rsidR="00FA0F16">
        <w:rPr>
          <w:lang w:val="en-GB" w:eastAsia="fr-FR"/>
        </w:rPr>
        <w:t xml:space="preserve"> the</w:t>
      </w:r>
      <w:r w:rsidR="00990218" w:rsidRPr="00990218">
        <w:rPr>
          <w:lang w:val="en-GB" w:eastAsia="fr-FR"/>
        </w:rPr>
        <w:t xml:space="preserve"> SDGs</w:t>
      </w:r>
      <w:r w:rsidR="00990218">
        <w:rPr>
          <w:lang w:val="en-GB" w:eastAsia="fr-FR"/>
        </w:rPr>
        <w:t xml:space="preserve">. </w:t>
      </w:r>
      <w:r w:rsidRPr="00B86DA2">
        <w:rPr>
          <w:lang w:val="en-GB" w:eastAsia="fr-FR"/>
        </w:rPr>
        <w:t xml:space="preserve">The office will develop proxy indicators when data on outcome and output indicators are not </w:t>
      </w:r>
      <w:r w:rsidR="00D80F8E">
        <w:rPr>
          <w:lang w:val="en-GB" w:eastAsia="fr-FR"/>
        </w:rPr>
        <w:t>available</w:t>
      </w:r>
      <w:r>
        <w:rPr>
          <w:lang w:val="en-GB" w:eastAsia="fr-FR"/>
        </w:rPr>
        <w:t>.</w:t>
      </w:r>
      <w:r w:rsidR="00990218">
        <w:rPr>
          <w:lang w:val="en-GB" w:eastAsia="fr-FR"/>
        </w:rPr>
        <w:t xml:space="preserve"> </w:t>
      </w:r>
    </w:p>
    <w:p w:rsidR="00557278" w:rsidRPr="00451503" w:rsidRDefault="00FA0F16" w:rsidP="007D6C08">
      <w:pPr>
        <w:numPr>
          <w:ilvl w:val="0"/>
          <w:numId w:val="9"/>
        </w:numPr>
        <w:tabs>
          <w:tab w:val="left" w:pos="1080"/>
        </w:tabs>
        <w:spacing w:after="120"/>
        <w:ind w:right="680" w:firstLine="0"/>
        <w:jc w:val="both"/>
        <w:rPr>
          <w:lang w:val="en-GB" w:eastAsia="fr-FR"/>
        </w:rPr>
      </w:pPr>
      <w:r>
        <w:t xml:space="preserve">The </w:t>
      </w:r>
      <w:r w:rsidR="00557278" w:rsidRPr="00451503">
        <w:t>UNDP results monitoring system will be aligned with the UNDAF mechanism. The Programme Steering Committee will</w:t>
      </w:r>
      <w:r w:rsidR="00DA1762" w:rsidRPr="00451503">
        <w:t>,</w:t>
      </w:r>
      <w:r w:rsidR="00557278" w:rsidRPr="00451503">
        <w:t xml:space="preserve"> </w:t>
      </w:r>
      <w:r w:rsidR="00DA1762" w:rsidRPr="00451503">
        <w:t xml:space="preserve">on a semi-annual basis, </w:t>
      </w:r>
      <w:r w:rsidR="00557278" w:rsidRPr="00451503">
        <w:t>regularly monitor progress towards achievement of outcomes</w:t>
      </w:r>
      <w:r w:rsidR="00CB2608" w:rsidRPr="00451503">
        <w:t xml:space="preserve">, </w:t>
      </w:r>
      <w:r w:rsidR="00557278" w:rsidRPr="00451503">
        <w:t xml:space="preserve">based on indicators. At the project level, steering committees will ensure regular monitoring of project progress. </w:t>
      </w:r>
      <w:r>
        <w:t>A m</w:t>
      </w:r>
      <w:r w:rsidR="00B04350" w:rsidRPr="00451503">
        <w:t>id-term evaluation will be conducted for each outcome</w:t>
      </w:r>
      <w:r>
        <w:t>,</w:t>
      </w:r>
      <w:r w:rsidR="00557278" w:rsidRPr="00451503">
        <w:t xml:space="preserve"> and a final evaluation will be </w:t>
      </w:r>
      <w:r>
        <w:t>carried out</w:t>
      </w:r>
      <w:r w:rsidRPr="00451503">
        <w:t xml:space="preserve"> </w:t>
      </w:r>
      <w:r>
        <w:t>in</w:t>
      </w:r>
      <w:r w:rsidRPr="00451503">
        <w:t xml:space="preserve"> </w:t>
      </w:r>
      <w:r w:rsidR="00557278" w:rsidRPr="00451503">
        <w:t>the last quarter of th</w:t>
      </w:r>
      <w:r>
        <w:t>e</w:t>
      </w:r>
      <w:r w:rsidR="00557278" w:rsidRPr="00451503">
        <w:t xml:space="preserve"> </w:t>
      </w:r>
      <w:r>
        <w:t xml:space="preserve">fourth </w:t>
      </w:r>
      <w:r w:rsidR="00557278" w:rsidRPr="00451503">
        <w:t>year. UNDP will strengthen its monitoring mechanism</w:t>
      </w:r>
      <w:r>
        <w:t>s by</w:t>
      </w:r>
      <w:r w:rsidR="00557278" w:rsidRPr="00451503">
        <w:t xml:space="preserve"> active</w:t>
      </w:r>
      <w:r>
        <w:t>ly engaging</w:t>
      </w:r>
      <w:r w:rsidR="00557278" w:rsidRPr="00451503">
        <w:t xml:space="preserve"> beneficiaries</w:t>
      </w:r>
      <w:r w:rsidR="00B86DA2">
        <w:t>.</w:t>
      </w:r>
    </w:p>
    <w:p w:rsidR="00557278" w:rsidRPr="00451503" w:rsidRDefault="00557278" w:rsidP="007D6C08">
      <w:pPr>
        <w:numPr>
          <w:ilvl w:val="0"/>
          <w:numId w:val="9"/>
        </w:numPr>
        <w:tabs>
          <w:tab w:val="left" w:pos="1080"/>
        </w:tabs>
        <w:spacing w:after="120"/>
        <w:ind w:right="680" w:firstLine="0"/>
        <w:jc w:val="both"/>
        <w:rPr>
          <w:lang w:val="en-GB" w:eastAsia="fr-FR"/>
        </w:rPr>
      </w:pPr>
      <w:r w:rsidRPr="00451503">
        <w:t>Evaluations will be selected, planned and conducted to measure progress and results for learning and accountability purpose</w:t>
      </w:r>
      <w:r w:rsidR="00C21B09">
        <w:t>s,</w:t>
      </w:r>
      <w:r w:rsidRPr="00451503">
        <w:t xml:space="preserve"> </w:t>
      </w:r>
      <w:r w:rsidR="00FA0F16">
        <w:t>and to provide stakeholders with the information they require for making</w:t>
      </w:r>
      <w:r w:rsidR="00FA0F16" w:rsidRPr="00451503">
        <w:t xml:space="preserve"> </w:t>
      </w:r>
      <w:r w:rsidRPr="00451503">
        <w:t xml:space="preserve">informed </w:t>
      </w:r>
      <w:r w:rsidR="00FA0F16">
        <w:t>decisions</w:t>
      </w:r>
      <w:r w:rsidRPr="00451503">
        <w:t xml:space="preserve"> </w:t>
      </w:r>
      <w:r w:rsidR="00FA0F16">
        <w:t>and</w:t>
      </w:r>
      <w:r w:rsidR="00FA0F16" w:rsidRPr="00451503">
        <w:t xml:space="preserve"> </w:t>
      </w:r>
      <w:r w:rsidRPr="00451503">
        <w:t>necessary adjustments during the implementation phase</w:t>
      </w:r>
      <w:r w:rsidR="00E93ABF">
        <w:t xml:space="preserve">. </w:t>
      </w:r>
      <w:r w:rsidRPr="00451503">
        <w:t xml:space="preserve">Gender </w:t>
      </w:r>
      <w:r w:rsidR="00DA1762" w:rsidRPr="00451503">
        <w:t>m</w:t>
      </w:r>
      <w:r w:rsidRPr="00451503">
        <w:t>arker</w:t>
      </w:r>
      <w:r w:rsidR="00DA1762" w:rsidRPr="00451503">
        <w:t>s</w:t>
      </w:r>
      <w:r w:rsidRPr="00451503">
        <w:t xml:space="preserve"> will be used to track CPD budgets and expenditures to improve planning and resource allocation regarding gender equality. UNDP will implement the project quality assurance system</w:t>
      </w:r>
      <w:r w:rsidR="00E93ABF">
        <w:t xml:space="preserve"> and </w:t>
      </w:r>
      <w:r w:rsidR="003E25C7" w:rsidRPr="00451503">
        <w:t xml:space="preserve">develop capacities for gender sensitive monitoring and evaluation. </w:t>
      </w:r>
    </w:p>
    <w:p w:rsidR="00557278" w:rsidRPr="0053395F" w:rsidRDefault="00B86DA2" w:rsidP="007D6C08">
      <w:pPr>
        <w:numPr>
          <w:ilvl w:val="0"/>
          <w:numId w:val="9"/>
        </w:numPr>
        <w:tabs>
          <w:tab w:val="left" w:pos="1080"/>
        </w:tabs>
        <w:spacing w:after="120"/>
        <w:ind w:right="680" w:firstLine="0"/>
        <w:jc w:val="both"/>
        <w:rPr>
          <w:lang w:val="en-GB" w:eastAsia="fr-FR"/>
        </w:rPr>
      </w:pPr>
      <w:r w:rsidRPr="00B86DA2">
        <w:t>UNDP will allocate at least 5</w:t>
      </w:r>
      <w:r w:rsidR="00FA0F16">
        <w:t xml:space="preserve"> per cent</w:t>
      </w:r>
      <w:r w:rsidRPr="00B86DA2">
        <w:t xml:space="preserve"> of its programme budget to data collection, monitoring and evaluation of the programme.</w:t>
      </w:r>
    </w:p>
    <w:p w:rsidR="00302346" w:rsidRDefault="00302346" w:rsidP="008024B2">
      <w:pPr>
        <w:spacing w:after="120"/>
        <w:ind w:right="680"/>
        <w:jc w:val="both"/>
        <w:rPr>
          <w:sz w:val="16"/>
          <w:szCs w:val="16"/>
        </w:rPr>
      </w:pPr>
    </w:p>
    <w:p w:rsidR="00302346" w:rsidRPr="008024B2" w:rsidRDefault="00302346" w:rsidP="008024B2">
      <w:pPr>
        <w:spacing w:after="120"/>
        <w:ind w:right="680"/>
        <w:jc w:val="both"/>
        <w:rPr>
          <w:sz w:val="16"/>
          <w:szCs w:val="16"/>
        </w:rPr>
        <w:sectPr w:rsidR="00302346" w:rsidRPr="008024B2" w:rsidSect="009D3CDA">
          <w:headerReference w:type="even" r:id="rId15"/>
          <w:headerReference w:type="default" r:id="rId16"/>
          <w:footerReference w:type="even" r:id="rId17"/>
          <w:footerReference w:type="default" r:id="rId18"/>
          <w:headerReference w:type="first" r:id="rId19"/>
          <w:footerReference w:type="first" r:id="rId20"/>
          <w:pgSz w:w="12240" w:h="15840"/>
          <w:pgMar w:top="1152" w:right="1440" w:bottom="1152" w:left="1440" w:header="720" w:footer="720" w:gutter="0"/>
          <w:cols w:space="720"/>
          <w:titlePg/>
          <w:docGrid w:linePitch="272"/>
        </w:sectPr>
      </w:pPr>
    </w:p>
    <w:p w:rsidR="009B4A12" w:rsidRPr="00D71B13" w:rsidRDefault="00D71B13" w:rsidP="009B4A12">
      <w:pPr>
        <w:keepNext/>
        <w:tabs>
          <w:tab w:val="left" w:pos="1800"/>
        </w:tabs>
        <w:spacing w:after="120"/>
        <w:outlineLvl w:val="3"/>
        <w:rPr>
          <w:b/>
          <w:sz w:val="28"/>
          <w:szCs w:val="24"/>
          <w:lang w:val="en-GB"/>
        </w:rPr>
      </w:pPr>
      <w:r w:rsidRPr="00D71B13">
        <w:rPr>
          <w:b/>
          <w:bCs/>
          <w:color w:val="000000"/>
          <w:sz w:val="28"/>
          <w:szCs w:val="24"/>
          <w:lang w:val="en-GB" w:eastAsia="fr-FR"/>
        </w:rPr>
        <w:lastRenderedPageBreak/>
        <w:t>Annex</w:t>
      </w:r>
      <w:r w:rsidR="00423C8C">
        <w:rPr>
          <w:b/>
          <w:bCs/>
          <w:color w:val="000000"/>
          <w:sz w:val="28"/>
          <w:szCs w:val="24"/>
          <w:lang w:val="en-GB" w:eastAsia="fr-FR"/>
        </w:rPr>
        <w:t>.</w:t>
      </w:r>
      <w:r w:rsidR="009B4A12" w:rsidRPr="00D71B13">
        <w:rPr>
          <w:b/>
          <w:bCs/>
          <w:color w:val="000000"/>
          <w:sz w:val="28"/>
          <w:szCs w:val="24"/>
          <w:lang w:val="en-GB" w:eastAsia="fr-FR"/>
        </w:rPr>
        <w:t xml:space="preserve"> </w:t>
      </w:r>
      <w:r w:rsidR="009B4A12" w:rsidRPr="00D71B13">
        <w:rPr>
          <w:b/>
          <w:bCs/>
          <w:color w:val="000000"/>
          <w:kern w:val="14"/>
          <w:sz w:val="28"/>
          <w:szCs w:val="24"/>
          <w:lang w:val="en-GB" w:eastAsia="fr-FR"/>
        </w:rPr>
        <w:t>Results and resources framework for Mauritania (2018-</w:t>
      </w:r>
      <w:r w:rsidR="009B4A12" w:rsidRPr="00D71B13">
        <w:rPr>
          <w:b/>
          <w:bCs/>
          <w:kern w:val="14"/>
          <w:sz w:val="28"/>
          <w:szCs w:val="24"/>
          <w:lang w:val="en-GB" w:eastAsia="fr-FR"/>
        </w:rPr>
        <w:t>2022)</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654"/>
        <w:gridCol w:w="1639"/>
        <w:gridCol w:w="27"/>
        <w:gridCol w:w="5437"/>
        <w:gridCol w:w="1715"/>
        <w:gridCol w:w="317"/>
        <w:gridCol w:w="87"/>
        <w:gridCol w:w="1650"/>
      </w:tblGrid>
      <w:tr w:rsidR="00557278" w:rsidRPr="00451503" w:rsidTr="00BE2DD3">
        <w:tc>
          <w:tcPr>
            <w:tcW w:w="5000" w:type="pct"/>
            <w:gridSpan w:val="8"/>
            <w:shd w:val="clear" w:color="auto" w:fill="auto"/>
            <w:tcMar>
              <w:top w:w="72" w:type="dxa"/>
              <w:left w:w="144" w:type="dxa"/>
              <w:bottom w:w="72" w:type="dxa"/>
              <w:right w:w="144" w:type="dxa"/>
            </w:tcMar>
          </w:tcPr>
          <w:p w:rsidR="00557278" w:rsidRPr="00451503" w:rsidRDefault="00557278" w:rsidP="00BE2DD3">
            <w:pPr>
              <w:rPr>
                <w:sz w:val="16"/>
                <w:szCs w:val="16"/>
              </w:rPr>
            </w:pPr>
            <w:r w:rsidRPr="00451503">
              <w:rPr>
                <w:b/>
                <w:bCs/>
                <w:sz w:val="16"/>
                <w:szCs w:val="16"/>
              </w:rPr>
              <w:t>NATIONAL PRIORITY OR GOAL: Pillar 1: Promoting strong, sustainable and inclusive growth</w:t>
            </w:r>
          </w:p>
        </w:tc>
      </w:tr>
      <w:tr w:rsidR="0035778D" w:rsidRPr="00622ADB" w:rsidTr="00BE2DD3">
        <w:tc>
          <w:tcPr>
            <w:tcW w:w="3607" w:type="pct"/>
            <w:gridSpan w:val="4"/>
            <w:shd w:val="clear" w:color="auto" w:fill="auto"/>
            <w:tcMar>
              <w:top w:w="72" w:type="dxa"/>
              <w:left w:w="144" w:type="dxa"/>
              <w:bottom w:w="72" w:type="dxa"/>
              <w:right w:w="144" w:type="dxa"/>
            </w:tcMar>
          </w:tcPr>
          <w:p w:rsidR="0035778D" w:rsidRPr="00622ADB" w:rsidRDefault="0035778D" w:rsidP="00BE2DD3">
            <w:pPr>
              <w:rPr>
                <w:sz w:val="16"/>
                <w:szCs w:val="16"/>
              </w:rPr>
            </w:pPr>
            <w:r w:rsidRPr="00622ADB">
              <w:rPr>
                <w:b/>
                <w:bCs/>
                <w:sz w:val="16"/>
                <w:szCs w:val="16"/>
              </w:rPr>
              <w:t>UNDAF (OR EQUIVALENT) OUTCOME INVOLVING UNDP #1:</w:t>
            </w:r>
            <w:r w:rsidRPr="00622ADB">
              <w:rPr>
                <w:sz w:val="16"/>
                <w:szCs w:val="16"/>
              </w:rPr>
              <w:t xml:space="preserve"> </w:t>
            </w:r>
            <w:r w:rsidRPr="001D4D7A">
              <w:rPr>
                <w:bCs/>
                <w:sz w:val="16"/>
                <w:szCs w:val="16"/>
              </w:rPr>
              <w:t>The institutions in charge of economic steering develop and implement policies that contribute to inclusive and sustainable growth</w:t>
            </w:r>
            <w:r w:rsidR="00774903">
              <w:rPr>
                <w:bCs/>
                <w:sz w:val="16"/>
                <w:szCs w:val="16"/>
              </w:rPr>
              <w:t>.</w:t>
            </w:r>
          </w:p>
        </w:tc>
        <w:tc>
          <w:tcPr>
            <w:tcW w:w="1393" w:type="pct"/>
            <w:gridSpan w:val="4"/>
            <w:shd w:val="clear" w:color="auto" w:fill="auto"/>
          </w:tcPr>
          <w:p w:rsidR="0035778D" w:rsidRPr="002C127A" w:rsidRDefault="0035778D" w:rsidP="00BE2DD3">
            <w:pPr>
              <w:rPr>
                <w:b/>
                <w:sz w:val="16"/>
                <w:szCs w:val="16"/>
              </w:rPr>
            </w:pPr>
            <w:r w:rsidRPr="002C127A">
              <w:rPr>
                <w:b/>
                <w:sz w:val="16"/>
                <w:szCs w:val="16"/>
              </w:rPr>
              <w:t>SDG: SDG</w:t>
            </w:r>
            <w:r w:rsidR="00C54725">
              <w:rPr>
                <w:b/>
                <w:sz w:val="16"/>
                <w:szCs w:val="16"/>
              </w:rPr>
              <w:t xml:space="preserve"> </w:t>
            </w:r>
            <w:r w:rsidRPr="002C127A">
              <w:rPr>
                <w:b/>
                <w:sz w:val="16"/>
                <w:szCs w:val="16"/>
              </w:rPr>
              <w:t>1, SDG</w:t>
            </w:r>
            <w:r w:rsidR="00C54725">
              <w:rPr>
                <w:b/>
                <w:sz w:val="16"/>
                <w:szCs w:val="16"/>
              </w:rPr>
              <w:t xml:space="preserve"> </w:t>
            </w:r>
            <w:r w:rsidRPr="002C127A">
              <w:rPr>
                <w:b/>
                <w:sz w:val="16"/>
                <w:szCs w:val="16"/>
              </w:rPr>
              <w:t>8, SDG</w:t>
            </w:r>
            <w:r w:rsidR="00C54725">
              <w:rPr>
                <w:b/>
                <w:sz w:val="16"/>
                <w:szCs w:val="16"/>
              </w:rPr>
              <w:t xml:space="preserve"> </w:t>
            </w:r>
            <w:r w:rsidRPr="002C127A">
              <w:rPr>
                <w:b/>
                <w:sz w:val="16"/>
                <w:szCs w:val="16"/>
              </w:rPr>
              <w:t>10</w:t>
            </w:r>
          </w:p>
        </w:tc>
      </w:tr>
      <w:tr w:rsidR="00557278" w:rsidRPr="00451503" w:rsidTr="00BE2DD3">
        <w:tc>
          <w:tcPr>
            <w:tcW w:w="5000" w:type="pct"/>
            <w:gridSpan w:val="8"/>
            <w:shd w:val="clear" w:color="auto" w:fill="auto"/>
            <w:tcMar>
              <w:top w:w="72" w:type="dxa"/>
              <w:left w:w="144" w:type="dxa"/>
              <w:bottom w:w="72" w:type="dxa"/>
              <w:right w:w="144" w:type="dxa"/>
            </w:tcMar>
          </w:tcPr>
          <w:p w:rsidR="00557278" w:rsidRPr="00451503" w:rsidRDefault="00557278" w:rsidP="00BE2DD3">
            <w:pPr>
              <w:rPr>
                <w:b/>
                <w:bCs/>
                <w:sz w:val="16"/>
                <w:szCs w:val="16"/>
              </w:rPr>
            </w:pPr>
            <w:r w:rsidRPr="00451503">
              <w:rPr>
                <w:b/>
                <w:bCs/>
                <w:sz w:val="16"/>
                <w:szCs w:val="16"/>
              </w:rPr>
              <w:t xml:space="preserve">RELATED STRATEGIC PLAN OUTCOME:  </w:t>
            </w:r>
            <w:r w:rsidRPr="00451503">
              <w:rPr>
                <w:sz w:val="16"/>
                <w:szCs w:val="16"/>
              </w:rPr>
              <w:t>Outcome 1. Growth and development are inclusive and sustainable, incorporating productive capacities that create employment and livelihoods for the poor and excluded</w:t>
            </w:r>
          </w:p>
        </w:tc>
      </w:tr>
      <w:tr w:rsidR="00B46519" w:rsidRPr="00451503" w:rsidTr="00BE2DD3">
        <w:tc>
          <w:tcPr>
            <w:tcW w:w="981" w:type="pct"/>
            <w:shd w:val="clear" w:color="auto" w:fill="auto"/>
            <w:tcMar>
              <w:top w:w="72" w:type="dxa"/>
              <w:left w:w="144" w:type="dxa"/>
              <w:bottom w:w="72" w:type="dxa"/>
              <w:right w:w="144" w:type="dxa"/>
            </w:tcMar>
            <w:vAlign w:val="center"/>
          </w:tcPr>
          <w:p w:rsidR="00557278" w:rsidRPr="00451503" w:rsidRDefault="00536935" w:rsidP="00BE2DD3">
            <w:pPr>
              <w:jc w:val="center"/>
              <w:rPr>
                <w:sz w:val="16"/>
                <w:szCs w:val="16"/>
              </w:rPr>
            </w:pPr>
            <w:r w:rsidRPr="00536935">
              <w:rPr>
                <w:b/>
                <w:bCs/>
                <w:sz w:val="16"/>
                <w:szCs w:val="16"/>
                <w:lang w:val="en-GB"/>
              </w:rPr>
              <w:t>UNDAF outcome indicators, baselines, targets</w:t>
            </w:r>
          </w:p>
        </w:tc>
        <w:tc>
          <w:tcPr>
            <w:tcW w:w="606" w:type="pct"/>
            <w:shd w:val="clear" w:color="auto" w:fill="auto"/>
            <w:vAlign w:val="center"/>
          </w:tcPr>
          <w:p w:rsidR="00557278" w:rsidRPr="00451503" w:rsidRDefault="00536935" w:rsidP="00BE2DD3">
            <w:pPr>
              <w:jc w:val="center"/>
              <w:rPr>
                <w:b/>
                <w:sz w:val="16"/>
                <w:szCs w:val="16"/>
              </w:rPr>
            </w:pPr>
            <w:r w:rsidRPr="00536935">
              <w:rPr>
                <w:b/>
                <w:sz w:val="16"/>
                <w:szCs w:val="16"/>
              </w:rPr>
              <w:t>Data source, frequency of data collection, responsibilities</w:t>
            </w:r>
          </w:p>
        </w:tc>
        <w:tc>
          <w:tcPr>
            <w:tcW w:w="2020" w:type="pct"/>
            <w:gridSpan w:val="2"/>
            <w:shd w:val="clear" w:color="auto" w:fill="auto"/>
            <w:tcMar>
              <w:top w:w="72" w:type="dxa"/>
              <w:left w:w="144" w:type="dxa"/>
              <w:bottom w:w="72" w:type="dxa"/>
              <w:right w:w="144" w:type="dxa"/>
            </w:tcMar>
            <w:vAlign w:val="center"/>
          </w:tcPr>
          <w:p w:rsidR="00557278" w:rsidRPr="00451503" w:rsidRDefault="0010327D" w:rsidP="00BE2DD3">
            <w:pPr>
              <w:jc w:val="center"/>
              <w:rPr>
                <w:sz w:val="16"/>
                <w:szCs w:val="16"/>
              </w:rPr>
            </w:pPr>
            <w:r w:rsidRPr="0010327D">
              <w:rPr>
                <w:b/>
                <w:bCs/>
                <w:sz w:val="16"/>
                <w:szCs w:val="16"/>
                <w:lang w:val="en-GB"/>
              </w:rPr>
              <w:t>Indicative country programme outputs</w:t>
            </w:r>
          </w:p>
        </w:tc>
        <w:tc>
          <w:tcPr>
            <w:tcW w:w="751" w:type="pct"/>
            <w:gridSpan w:val="2"/>
            <w:shd w:val="clear" w:color="auto" w:fill="auto"/>
            <w:vAlign w:val="center"/>
          </w:tcPr>
          <w:p w:rsidR="0010327D" w:rsidRPr="0010327D" w:rsidRDefault="0010327D" w:rsidP="00BE2DD3">
            <w:pPr>
              <w:jc w:val="center"/>
              <w:rPr>
                <w:b/>
                <w:bCs/>
                <w:sz w:val="16"/>
                <w:szCs w:val="16"/>
                <w:lang w:val="en-GB"/>
              </w:rPr>
            </w:pPr>
            <w:r>
              <w:rPr>
                <w:b/>
                <w:bCs/>
                <w:sz w:val="16"/>
                <w:szCs w:val="16"/>
                <w:lang w:val="en-GB"/>
              </w:rPr>
              <w:t>Major partners / partnerships</w:t>
            </w:r>
          </w:p>
          <w:p w:rsidR="00557278" w:rsidRPr="00451503" w:rsidRDefault="0010327D" w:rsidP="00BE2DD3">
            <w:pPr>
              <w:jc w:val="center"/>
              <w:rPr>
                <w:b/>
                <w:bCs/>
                <w:sz w:val="16"/>
                <w:szCs w:val="16"/>
                <w:lang w:val="en-GB"/>
              </w:rPr>
            </w:pPr>
            <w:r w:rsidRPr="0010327D">
              <w:rPr>
                <w:b/>
                <w:bCs/>
                <w:sz w:val="16"/>
                <w:szCs w:val="16"/>
                <w:lang w:val="en-GB"/>
              </w:rPr>
              <w:t>frameworks</w:t>
            </w:r>
          </w:p>
        </w:tc>
        <w:tc>
          <w:tcPr>
            <w:tcW w:w="642" w:type="pct"/>
            <w:gridSpan w:val="2"/>
            <w:shd w:val="clear" w:color="auto" w:fill="auto"/>
            <w:tcMar>
              <w:top w:w="15" w:type="dxa"/>
              <w:left w:w="108" w:type="dxa"/>
              <w:bottom w:w="0" w:type="dxa"/>
              <w:right w:w="108" w:type="dxa"/>
            </w:tcMar>
            <w:vAlign w:val="center"/>
          </w:tcPr>
          <w:p w:rsidR="00557278" w:rsidRPr="00451503" w:rsidRDefault="0010327D" w:rsidP="00BE2DD3">
            <w:pPr>
              <w:jc w:val="center"/>
              <w:rPr>
                <w:i/>
                <w:sz w:val="16"/>
                <w:szCs w:val="16"/>
              </w:rPr>
            </w:pPr>
            <w:r w:rsidRPr="0010327D">
              <w:rPr>
                <w:b/>
                <w:bCs/>
                <w:sz w:val="16"/>
                <w:szCs w:val="16"/>
                <w:lang w:val="en-GB"/>
              </w:rPr>
              <w:t>Ind</w:t>
            </w:r>
            <w:r>
              <w:rPr>
                <w:b/>
                <w:bCs/>
                <w:sz w:val="16"/>
                <w:szCs w:val="16"/>
                <w:lang w:val="en-GB"/>
              </w:rPr>
              <w:t>icative resources by outcome ($</w:t>
            </w:r>
            <w:r w:rsidRPr="0010327D">
              <w:rPr>
                <w:b/>
                <w:bCs/>
                <w:sz w:val="16"/>
                <w:szCs w:val="16"/>
                <w:lang w:val="en-GB"/>
              </w:rPr>
              <w:t>)</w:t>
            </w:r>
          </w:p>
        </w:tc>
      </w:tr>
      <w:tr w:rsidR="00557278" w:rsidRPr="00451503" w:rsidTr="00BE2DD3">
        <w:tc>
          <w:tcPr>
            <w:tcW w:w="981" w:type="pct"/>
            <w:vMerge w:val="restart"/>
            <w:tcMar>
              <w:top w:w="72" w:type="dxa"/>
              <w:left w:w="144" w:type="dxa"/>
              <w:bottom w:w="72" w:type="dxa"/>
              <w:right w:w="144" w:type="dxa"/>
            </w:tcMar>
          </w:tcPr>
          <w:p w:rsidR="00C74835" w:rsidRPr="002C127A" w:rsidRDefault="0048300B" w:rsidP="00BE2DD3">
            <w:pPr>
              <w:rPr>
                <w:sz w:val="16"/>
                <w:szCs w:val="16"/>
                <w:lang w:val="en-GB"/>
              </w:rPr>
            </w:pPr>
            <w:r w:rsidRPr="002C127A">
              <w:rPr>
                <w:b/>
                <w:sz w:val="16"/>
                <w:szCs w:val="16"/>
                <w:lang w:val="en-GB"/>
              </w:rPr>
              <w:t>1.</w:t>
            </w:r>
            <w:r w:rsidR="00C029D9" w:rsidRPr="002C127A">
              <w:rPr>
                <w:b/>
                <w:sz w:val="16"/>
                <w:szCs w:val="16"/>
                <w:lang w:val="en-GB"/>
              </w:rPr>
              <w:t>1</w:t>
            </w:r>
            <w:r w:rsidRPr="002C127A">
              <w:rPr>
                <w:sz w:val="16"/>
                <w:szCs w:val="16"/>
                <w:lang w:val="en-GB"/>
              </w:rPr>
              <w:t> </w:t>
            </w:r>
            <w:r w:rsidR="00C74835" w:rsidRPr="002C127A">
              <w:rPr>
                <w:sz w:val="16"/>
                <w:szCs w:val="16"/>
                <w:lang w:val="en-GB"/>
              </w:rPr>
              <w:t xml:space="preserve">The </w:t>
            </w:r>
            <w:r w:rsidR="00E47626" w:rsidRPr="002C127A">
              <w:rPr>
                <w:sz w:val="16"/>
                <w:szCs w:val="16"/>
                <w:lang w:val="en-GB"/>
              </w:rPr>
              <w:t xml:space="preserve">employment rate by </w:t>
            </w:r>
            <w:r w:rsidR="00C74835" w:rsidRPr="002C127A">
              <w:rPr>
                <w:sz w:val="16"/>
                <w:szCs w:val="16"/>
                <w:lang w:val="en-GB"/>
              </w:rPr>
              <w:t xml:space="preserve">sex, age, </w:t>
            </w:r>
            <w:r w:rsidR="00942A2B">
              <w:rPr>
                <w:sz w:val="16"/>
                <w:szCs w:val="16"/>
                <w:lang w:val="en-GB"/>
              </w:rPr>
              <w:t>r</w:t>
            </w:r>
            <w:r w:rsidR="008F38B0">
              <w:rPr>
                <w:sz w:val="16"/>
                <w:szCs w:val="16"/>
                <w:lang w:val="en-GB"/>
              </w:rPr>
              <w:t>egion (</w:t>
            </w:r>
            <w:r w:rsidR="00C74835" w:rsidRPr="002C127A">
              <w:rPr>
                <w:sz w:val="16"/>
                <w:szCs w:val="16"/>
                <w:lang w:val="en-GB"/>
              </w:rPr>
              <w:t>moughataa</w:t>
            </w:r>
            <w:r w:rsidR="008F38B0">
              <w:rPr>
                <w:sz w:val="16"/>
                <w:szCs w:val="16"/>
                <w:lang w:val="en-GB"/>
              </w:rPr>
              <w:t>)</w:t>
            </w:r>
            <w:r w:rsidR="00E47626" w:rsidRPr="002C127A">
              <w:rPr>
                <w:sz w:val="16"/>
                <w:szCs w:val="16"/>
                <w:lang w:val="en-GB"/>
              </w:rPr>
              <w:t>, maternal language.</w:t>
            </w:r>
          </w:p>
          <w:p w:rsidR="002C127A" w:rsidRPr="00EB4E5C" w:rsidRDefault="00C74835" w:rsidP="00BE2DD3">
            <w:pPr>
              <w:rPr>
                <w:sz w:val="16"/>
                <w:szCs w:val="16"/>
                <w:lang w:val="en-GB"/>
              </w:rPr>
            </w:pPr>
            <w:r w:rsidRPr="002C127A">
              <w:rPr>
                <w:sz w:val="16"/>
                <w:szCs w:val="16"/>
                <w:lang w:val="en-GB"/>
              </w:rPr>
              <w:t>Baseline</w:t>
            </w:r>
            <w:r w:rsidR="0048300B" w:rsidRPr="002C127A">
              <w:rPr>
                <w:sz w:val="16"/>
                <w:szCs w:val="16"/>
                <w:lang w:val="en-GB"/>
              </w:rPr>
              <w:t xml:space="preserve">:  </w:t>
            </w:r>
            <w:r w:rsidR="002C127A" w:rsidRPr="00EB4E5C">
              <w:rPr>
                <w:sz w:val="16"/>
                <w:szCs w:val="16"/>
                <w:lang w:val="en-GB"/>
              </w:rPr>
              <w:t xml:space="preserve">50.66% (F: 40%; </w:t>
            </w:r>
          </w:p>
          <w:p w:rsidR="002C127A" w:rsidRPr="00EB4E5C" w:rsidRDefault="002C127A" w:rsidP="00BE2DD3">
            <w:pPr>
              <w:rPr>
                <w:sz w:val="16"/>
                <w:szCs w:val="16"/>
                <w:lang w:val="en-GB"/>
              </w:rPr>
            </w:pPr>
            <w:r w:rsidRPr="00EB4E5C">
              <w:rPr>
                <w:sz w:val="16"/>
                <w:szCs w:val="16"/>
                <w:lang w:val="en-GB"/>
              </w:rPr>
              <w:t>M: 75.15%)</w:t>
            </w:r>
          </w:p>
          <w:p w:rsidR="002C127A" w:rsidRPr="00EB4E5C" w:rsidRDefault="00C74835" w:rsidP="00BE2DD3">
            <w:pPr>
              <w:rPr>
                <w:sz w:val="16"/>
                <w:szCs w:val="16"/>
                <w:lang w:val="en-GB"/>
              </w:rPr>
            </w:pPr>
            <w:r w:rsidRPr="00EB4E5C">
              <w:rPr>
                <w:sz w:val="16"/>
                <w:szCs w:val="16"/>
                <w:lang w:val="en-GB"/>
              </w:rPr>
              <w:t>Target</w:t>
            </w:r>
            <w:r w:rsidR="0048300B" w:rsidRPr="00EB4E5C">
              <w:rPr>
                <w:sz w:val="16"/>
                <w:szCs w:val="16"/>
                <w:lang w:val="en-GB"/>
              </w:rPr>
              <w:t xml:space="preserve">: </w:t>
            </w:r>
            <w:r w:rsidR="002C127A" w:rsidRPr="00EB4E5C">
              <w:rPr>
                <w:sz w:val="16"/>
                <w:szCs w:val="16"/>
                <w:lang w:val="en-GB"/>
              </w:rPr>
              <w:t>55 % (F: 45%; M: 82%)</w:t>
            </w:r>
          </w:p>
          <w:p w:rsidR="002C127A" w:rsidRPr="00EB4E5C" w:rsidRDefault="002C127A" w:rsidP="00BE2DD3">
            <w:pPr>
              <w:rPr>
                <w:b/>
                <w:sz w:val="16"/>
                <w:szCs w:val="16"/>
                <w:lang w:val="en-GB"/>
              </w:rPr>
            </w:pPr>
          </w:p>
          <w:p w:rsidR="00557278" w:rsidRPr="002C127A" w:rsidRDefault="0048300B" w:rsidP="00BE2DD3">
            <w:pPr>
              <w:rPr>
                <w:sz w:val="16"/>
                <w:szCs w:val="16"/>
                <w:lang w:val="en-GB"/>
              </w:rPr>
            </w:pPr>
            <w:r w:rsidRPr="002C127A">
              <w:rPr>
                <w:b/>
                <w:sz w:val="16"/>
                <w:szCs w:val="16"/>
                <w:lang w:val="en-GB"/>
              </w:rPr>
              <w:t>1.</w:t>
            </w:r>
            <w:r w:rsidR="00C029D9" w:rsidRPr="002C127A">
              <w:rPr>
                <w:b/>
                <w:sz w:val="16"/>
                <w:szCs w:val="16"/>
                <w:lang w:val="en-GB"/>
              </w:rPr>
              <w:t>2</w:t>
            </w:r>
            <w:r w:rsidRPr="002C127A">
              <w:rPr>
                <w:sz w:val="16"/>
                <w:szCs w:val="16"/>
                <w:lang w:val="en-GB"/>
              </w:rPr>
              <w:t xml:space="preserve"> </w:t>
            </w:r>
            <w:r w:rsidR="00C56C0D" w:rsidRPr="002C127A">
              <w:rPr>
                <w:sz w:val="16"/>
                <w:szCs w:val="16"/>
                <w:lang w:val="en-GB"/>
              </w:rPr>
              <w:t>Poverty rate </w:t>
            </w:r>
          </w:p>
          <w:p w:rsidR="00557278" w:rsidRPr="002C127A" w:rsidRDefault="00DA1762" w:rsidP="00BE2DD3">
            <w:pPr>
              <w:rPr>
                <w:bCs/>
                <w:sz w:val="16"/>
                <w:szCs w:val="16"/>
              </w:rPr>
            </w:pPr>
            <w:r w:rsidRPr="002C127A">
              <w:rPr>
                <w:bCs/>
                <w:sz w:val="16"/>
                <w:szCs w:val="16"/>
                <w:lang w:val="en-GB"/>
              </w:rPr>
              <w:t>Baseline:</w:t>
            </w:r>
            <w:r w:rsidR="00557278" w:rsidRPr="002C127A">
              <w:rPr>
                <w:bCs/>
                <w:sz w:val="16"/>
                <w:szCs w:val="16"/>
                <w:lang w:val="en-GB"/>
              </w:rPr>
              <w:t xml:space="preserve"> 31%%</w:t>
            </w:r>
            <w:r w:rsidR="00A60998" w:rsidRPr="002C127A">
              <w:rPr>
                <w:bCs/>
                <w:sz w:val="16"/>
                <w:szCs w:val="16"/>
                <w:lang w:val="en-GB"/>
              </w:rPr>
              <w:t xml:space="preserve"> </w:t>
            </w:r>
            <w:r w:rsidR="00557278" w:rsidRPr="002C127A">
              <w:rPr>
                <w:bCs/>
                <w:sz w:val="16"/>
                <w:szCs w:val="16"/>
                <w:lang w:val="en-GB"/>
              </w:rPr>
              <w:t>(Urban: 16.7%</w:t>
            </w:r>
            <w:r w:rsidR="00A60998" w:rsidRPr="002C127A">
              <w:rPr>
                <w:bCs/>
                <w:sz w:val="16"/>
                <w:szCs w:val="16"/>
                <w:lang w:val="en-GB"/>
              </w:rPr>
              <w:t>; Rural: 44.4</w:t>
            </w:r>
            <w:r w:rsidR="00557278" w:rsidRPr="002C127A">
              <w:rPr>
                <w:bCs/>
                <w:sz w:val="16"/>
                <w:szCs w:val="16"/>
                <w:lang w:val="en-GB"/>
              </w:rPr>
              <w:t xml:space="preserve">%; Female-headed </w:t>
            </w:r>
            <w:r w:rsidR="005167AB" w:rsidRPr="002C127A">
              <w:rPr>
                <w:bCs/>
                <w:sz w:val="16"/>
                <w:szCs w:val="16"/>
                <w:lang w:val="en-GB"/>
              </w:rPr>
              <w:t>households</w:t>
            </w:r>
            <w:r w:rsidR="00557278" w:rsidRPr="002C127A">
              <w:rPr>
                <w:bCs/>
                <w:sz w:val="16"/>
                <w:szCs w:val="16"/>
              </w:rPr>
              <w:t>: 20.02%; Male-headed households</w:t>
            </w:r>
            <w:r w:rsidR="00A60998" w:rsidRPr="002C127A">
              <w:rPr>
                <w:bCs/>
                <w:sz w:val="16"/>
                <w:szCs w:val="16"/>
              </w:rPr>
              <w:t>: 23.2</w:t>
            </w:r>
            <w:r w:rsidR="00557278" w:rsidRPr="002C127A">
              <w:rPr>
                <w:bCs/>
                <w:sz w:val="16"/>
                <w:szCs w:val="16"/>
              </w:rPr>
              <w:t>%)</w:t>
            </w:r>
          </w:p>
          <w:p w:rsidR="00557278" w:rsidRPr="002C127A" w:rsidRDefault="00557278" w:rsidP="00BE2DD3">
            <w:pPr>
              <w:rPr>
                <w:bCs/>
                <w:sz w:val="16"/>
                <w:szCs w:val="16"/>
              </w:rPr>
            </w:pPr>
            <w:r w:rsidRPr="002C127A">
              <w:rPr>
                <w:bCs/>
                <w:sz w:val="16"/>
                <w:szCs w:val="16"/>
              </w:rPr>
              <w:t>Target: 25%</w:t>
            </w:r>
            <w:r w:rsidR="00A33D46" w:rsidRPr="002C127A">
              <w:rPr>
                <w:bCs/>
                <w:sz w:val="16"/>
                <w:szCs w:val="16"/>
              </w:rPr>
              <w:t xml:space="preserve"> </w:t>
            </w:r>
            <w:r w:rsidRPr="002C127A">
              <w:rPr>
                <w:bCs/>
                <w:sz w:val="16"/>
                <w:szCs w:val="16"/>
              </w:rPr>
              <w:t>(Urban:</w:t>
            </w:r>
            <w:r w:rsidR="00115EE8">
              <w:rPr>
                <w:bCs/>
                <w:sz w:val="16"/>
                <w:szCs w:val="16"/>
              </w:rPr>
              <w:t xml:space="preserve"> </w:t>
            </w:r>
            <w:r w:rsidRPr="002C127A">
              <w:rPr>
                <w:bCs/>
                <w:sz w:val="16"/>
                <w:szCs w:val="16"/>
              </w:rPr>
              <w:t>11%; Rural</w:t>
            </w:r>
            <w:r w:rsidR="00CA6C83" w:rsidRPr="002C127A">
              <w:rPr>
                <w:bCs/>
                <w:sz w:val="16"/>
                <w:szCs w:val="16"/>
              </w:rPr>
              <w:t>: 40</w:t>
            </w:r>
            <w:r w:rsidRPr="002C127A">
              <w:rPr>
                <w:bCs/>
                <w:sz w:val="16"/>
                <w:szCs w:val="16"/>
              </w:rPr>
              <w:t>%; Female-headed households: 15%; Male-headed households</w:t>
            </w:r>
            <w:r w:rsidR="00CA6C83" w:rsidRPr="002C127A">
              <w:rPr>
                <w:bCs/>
                <w:sz w:val="16"/>
                <w:szCs w:val="16"/>
              </w:rPr>
              <w:t>: 18</w:t>
            </w:r>
            <w:r w:rsidRPr="002C127A">
              <w:rPr>
                <w:bCs/>
                <w:sz w:val="16"/>
                <w:szCs w:val="16"/>
              </w:rPr>
              <w:t>%)</w:t>
            </w:r>
          </w:p>
          <w:p w:rsidR="00DF6603" w:rsidRPr="002C127A" w:rsidRDefault="00DF6603" w:rsidP="00BE2DD3">
            <w:pPr>
              <w:rPr>
                <w:bCs/>
                <w:sz w:val="16"/>
                <w:szCs w:val="16"/>
              </w:rPr>
            </w:pPr>
          </w:p>
          <w:p w:rsidR="00557278" w:rsidRPr="002C127A" w:rsidRDefault="00C90F58" w:rsidP="00BE2DD3">
            <w:pPr>
              <w:rPr>
                <w:bCs/>
                <w:sz w:val="16"/>
                <w:szCs w:val="16"/>
              </w:rPr>
            </w:pPr>
            <w:r w:rsidRPr="002C127A">
              <w:rPr>
                <w:b/>
                <w:sz w:val="16"/>
                <w:szCs w:val="16"/>
              </w:rPr>
              <w:t>1.</w:t>
            </w:r>
            <w:r w:rsidR="00C029D9" w:rsidRPr="002C127A">
              <w:rPr>
                <w:b/>
                <w:sz w:val="16"/>
                <w:szCs w:val="16"/>
              </w:rPr>
              <w:t>3</w:t>
            </w:r>
            <w:r w:rsidRPr="002C127A">
              <w:rPr>
                <w:sz w:val="16"/>
                <w:szCs w:val="16"/>
              </w:rPr>
              <w:t xml:space="preserve"> </w:t>
            </w:r>
            <w:r w:rsidR="00C74835" w:rsidRPr="002C127A">
              <w:rPr>
                <w:sz w:val="16"/>
                <w:szCs w:val="16"/>
              </w:rPr>
              <w:t xml:space="preserve">Gini </w:t>
            </w:r>
            <w:r w:rsidR="00557278" w:rsidRPr="002C127A">
              <w:rPr>
                <w:sz w:val="16"/>
                <w:szCs w:val="16"/>
              </w:rPr>
              <w:t xml:space="preserve">index  </w:t>
            </w:r>
            <w:r w:rsidR="00557278" w:rsidRPr="002C127A">
              <w:rPr>
                <w:bCs/>
                <w:sz w:val="16"/>
                <w:szCs w:val="16"/>
              </w:rPr>
              <w:t> </w:t>
            </w:r>
          </w:p>
          <w:p w:rsidR="00557278" w:rsidRPr="002C127A" w:rsidRDefault="00557278" w:rsidP="00BE2DD3">
            <w:pPr>
              <w:rPr>
                <w:bCs/>
                <w:sz w:val="16"/>
                <w:szCs w:val="16"/>
              </w:rPr>
            </w:pPr>
            <w:r w:rsidRPr="002C127A">
              <w:rPr>
                <w:bCs/>
                <w:sz w:val="16"/>
                <w:szCs w:val="16"/>
              </w:rPr>
              <w:t>Baseline: 0</w:t>
            </w:r>
            <w:r w:rsidR="002C127A">
              <w:rPr>
                <w:bCs/>
                <w:sz w:val="16"/>
                <w:szCs w:val="16"/>
              </w:rPr>
              <w:t>.</w:t>
            </w:r>
            <w:r w:rsidRPr="002C127A">
              <w:rPr>
                <w:bCs/>
                <w:sz w:val="16"/>
                <w:szCs w:val="16"/>
              </w:rPr>
              <w:t>34 </w:t>
            </w:r>
          </w:p>
          <w:p w:rsidR="00C90F58" w:rsidRPr="002C127A" w:rsidRDefault="00557278" w:rsidP="00BE2DD3">
            <w:pPr>
              <w:tabs>
                <w:tab w:val="center" w:pos="1184"/>
              </w:tabs>
              <w:rPr>
                <w:bCs/>
                <w:sz w:val="16"/>
                <w:szCs w:val="16"/>
              </w:rPr>
            </w:pPr>
            <w:r w:rsidRPr="002C127A">
              <w:rPr>
                <w:bCs/>
                <w:sz w:val="16"/>
                <w:szCs w:val="16"/>
              </w:rPr>
              <w:t xml:space="preserve">Target: </w:t>
            </w:r>
            <w:r w:rsidR="002C127A">
              <w:rPr>
                <w:bCs/>
                <w:sz w:val="16"/>
                <w:szCs w:val="16"/>
              </w:rPr>
              <w:t>0.</w:t>
            </w:r>
            <w:r w:rsidRPr="002C127A">
              <w:rPr>
                <w:bCs/>
                <w:sz w:val="16"/>
                <w:szCs w:val="16"/>
              </w:rPr>
              <w:t>30</w:t>
            </w:r>
            <w:r w:rsidR="0048300B" w:rsidRPr="002C127A">
              <w:rPr>
                <w:bCs/>
                <w:sz w:val="16"/>
                <w:szCs w:val="16"/>
              </w:rPr>
              <w:tab/>
            </w:r>
          </w:p>
          <w:p w:rsidR="00C56C0D" w:rsidRPr="002C127A" w:rsidRDefault="00C56C0D" w:rsidP="00BE2DD3">
            <w:pPr>
              <w:rPr>
                <w:bCs/>
                <w:sz w:val="16"/>
                <w:szCs w:val="16"/>
              </w:rPr>
            </w:pPr>
          </w:p>
          <w:p w:rsidR="008E2021" w:rsidRPr="002C127A" w:rsidRDefault="00622ADB" w:rsidP="00BE2DD3">
            <w:pPr>
              <w:rPr>
                <w:bCs/>
                <w:sz w:val="16"/>
                <w:szCs w:val="16"/>
              </w:rPr>
            </w:pPr>
            <w:r w:rsidRPr="002C127A">
              <w:rPr>
                <w:b/>
                <w:bCs/>
                <w:sz w:val="16"/>
                <w:szCs w:val="16"/>
              </w:rPr>
              <w:t>1.</w:t>
            </w:r>
            <w:r w:rsidR="00C029D9" w:rsidRPr="002C127A">
              <w:rPr>
                <w:b/>
                <w:bCs/>
                <w:sz w:val="16"/>
                <w:szCs w:val="16"/>
              </w:rPr>
              <w:t>4</w:t>
            </w:r>
            <w:r w:rsidRPr="002C127A">
              <w:rPr>
                <w:bCs/>
                <w:sz w:val="16"/>
                <w:szCs w:val="16"/>
              </w:rPr>
              <w:t xml:space="preserve"> Percentage of </w:t>
            </w:r>
            <w:r w:rsidR="00182356">
              <w:rPr>
                <w:bCs/>
                <w:sz w:val="16"/>
                <w:szCs w:val="16"/>
              </w:rPr>
              <w:t>Sustainable Developme</w:t>
            </w:r>
            <w:r w:rsidR="00F92592">
              <w:rPr>
                <w:bCs/>
                <w:sz w:val="16"/>
                <w:szCs w:val="16"/>
              </w:rPr>
              <w:t>nt</w:t>
            </w:r>
            <w:r w:rsidR="00182356">
              <w:rPr>
                <w:bCs/>
                <w:sz w:val="16"/>
                <w:szCs w:val="16"/>
              </w:rPr>
              <w:t xml:space="preserve"> </w:t>
            </w:r>
            <w:r w:rsidR="00F92592">
              <w:rPr>
                <w:bCs/>
                <w:sz w:val="16"/>
                <w:szCs w:val="16"/>
              </w:rPr>
              <w:t xml:space="preserve">Goal </w:t>
            </w:r>
            <w:r w:rsidR="00F92592" w:rsidRPr="002C127A">
              <w:rPr>
                <w:bCs/>
                <w:sz w:val="16"/>
                <w:szCs w:val="16"/>
              </w:rPr>
              <w:t>indicators</w:t>
            </w:r>
            <w:r w:rsidRPr="002C127A">
              <w:rPr>
                <w:bCs/>
                <w:sz w:val="16"/>
                <w:szCs w:val="16"/>
              </w:rPr>
              <w:t xml:space="preserve"> with disaggregated data:</w:t>
            </w:r>
          </w:p>
          <w:p w:rsidR="008E2021" w:rsidRPr="002C127A" w:rsidRDefault="008E2021" w:rsidP="00BE2DD3">
            <w:pPr>
              <w:rPr>
                <w:bCs/>
                <w:sz w:val="16"/>
                <w:szCs w:val="16"/>
              </w:rPr>
            </w:pPr>
            <w:r w:rsidRPr="002C127A">
              <w:rPr>
                <w:bCs/>
                <w:sz w:val="16"/>
                <w:szCs w:val="16"/>
              </w:rPr>
              <w:t xml:space="preserve">Baseline: </w:t>
            </w:r>
            <w:r w:rsidR="003468FC">
              <w:rPr>
                <w:bCs/>
                <w:sz w:val="16"/>
                <w:szCs w:val="16"/>
              </w:rPr>
              <w:t>TBD</w:t>
            </w:r>
            <w:r w:rsidR="002C127A">
              <w:rPr>
                <w:bCs/>
                <w:sz w:val="16"/>
                <w:szCs w:val="16"/>
              </w:rPr>
              <w:t xml:space="preserve"> </w:t>
            </w:r>
          </w:p>
          <w:p w:rsidR="008E2021" w:rsidRPr="002C127A" w:rsidRDefault="008E2021" w:rsidP="00BE2DD3">
            <w:pPr>
              <w:rPr>
                <w:bCs/>
                <w:i/>
                <w:sz w:val="16"/>
                <w:szCs w:val="16"/>
              </w:rPr>
            </w:pPr>
            <w:r w:rsidRPr="002C127A">
              <w:rPr>
                <w:bCs/>
                <w:sz w:val="16"/>
                <w:szCs w:val="16"/>
              </w:rPr>
              <w:t xml:space="preserve">Target: </w:t>
            </w:r>
            <w:r w:rsidR="002C127A">
              <w:rPr>
                <w:bCs/>
                <w:sz w:val="16"/>
                <w:szCs w:val="16"/>
              </w:rPr>
              <w:t>to be determined after second year</w:t>
            </w:r>
          </w:p>
        </w:tc>
        <w:tc>
          <w:tcPr>
            <w:tcW w:w="606" w:type="pct"/>
            <w:vMerge w:val="restart"/>
          </w:tcPr>
          <w:p w:rsidR="00557278" w:rsidRPr="00202C92" w:rsidRDefault="00557278" w:rsidP="00BE2DD3">
            <w:pPr>
              <w:rPr>
                <w:iCs/>
                <w:sz w:val="16"/>
                <w:szCs w:val="16"/>
              </w:rPr>
            </w:pPr>
            <w:r w:rsidRPr="00202C92">
              <w:rPr>
                <w:iCs/>
                <w:sz w:val="16"/>
                <w:szCs w:val="16"/>
              </w:rPr>
              <w:t>Data source:</w:t>
            </w:r>
            <w:r w:rsidR="008D34DE" w:rsidRPr="00202C92">
              <w:rPr>
                <w:iCs/>
                <w:sz w:val="16"/>
                <w:szCs w:val="16"/>
              </w:rPr>
              <w:t xml:space="preserve"> EPCV</w:t>
            </w:r>
          </w:p>
          <w:p w:rsidR="00557278" w:rsidRPr="00DF6603" w:rsidRDefault="003468FC" w:rsidP="00BE2DD3">
            <w:pPr>
              <w:rPr>
                <w:iCs/>
                <w:sz w:val="16"/>
                <w:szCs w:val="16"/>
                <w:lang w:val="en-GB"/>
              </w:rPr>
            </w:pPr>
            <w:r>
              <w:rPr>
                <w:iCs/>
                <w:sz w:val="16"/>
                <w:szCs w:val="16"/>
                <w:lang w:val="en-GB"/>
              </w:rPr>
              <w:t>Frequency: Q</w:t>
            </w:r>
            <w:r w:rsidR="00557278" w:rsidRPr="00DF6603">
              <w:rPr>
                <w:iCs/>
                <w:sz w:val="16"/>
                <w:szCs w:val="16"/>
                <w:lang w:val="en-GB"/>
              </w:rPr>
              <w:t xml:space="preserve">uadrennial </w:t>
            </w:r>
          </w:p>
          <w:p w:rsidR="00557278" w:rsidRPr="00DF6603" w:rsidRDefault="00557278" w:rsidP="00BE2DD3">
            <w:pPr>
              <w:rPr>
                <w:b/>
                <w:bCs/>
                <w:sz w:val="16"/>
                <w:szCs w:val="16"/>
                <w:lang w:val="en-GB"/>
              </w:rPr>
            </w:pPr>
          </w:p>
          <w:p w:rsidR="00557278" w:rsidRPr="00DF6603" w:rsidRDefault="00557278" w:rsidP="00BE2DD3">
            <w:pPr>
              <w:rPr>
                <w:b/>
                <w:bCs/>
                <w:sz w:val="16"/>
                <w:szCs w:val="16"/>
                <w:lang w:val="en-GB"/>
              </w:rPr>
            </w:pPr>
          </w:p>
          <w:p w:rsidR="00DF6603" w:rsidRDefault="00557278" w:rsidP="00BE2DD3">
            <w:pPr>
              <w:rPr>
                <w:iCs/>
                <w:sz w:val="16"/>
                <w:szCs w:val="16"/>
                <w:lang w:val="en-GB"/>
              </w:rPr>
            </w:pPr>
            <w:r w:rsidRPr="00DF6603">
              <w:rPr>
                <w:iCs/>
                <w:sz w:val="16"/>
                <w:szCs w:val="16"/>
                <w:lang w:val="en-GB"/>
              </w:rPr>
              <w:t xml:space="preserve"> </w:t>
            </w:r>
          </w:p>
          <w:p w:rsidR="00557278" w:rsidRPr="00DF6603" w:rsidRDefault="00A30AB1" w:rsidP="00BE2DD3">
            <w:pPr>
              <w:rPr>
                <w:iCs/>
                <w:sz w:val="16"/>
                <w:szCs w:val="16"/>
                <w:lang w:val="en-GB"/>
              </w:rPr>
            </w:pPr>
            <w:r>
              <w:rPr>
                <w:iCs/>
                <w:sz w:val="16"/>
                <w:szCs w:val="16"/>
                <w:lang w:val="en-GB"/>
              </w:rPr>
              <w:t>Data source: EPCV</w:t>
            </w:r>
          </w:p>
          <w:p w:rsidR="00557278" w:rsidRPr="00DF6603" w:rsidRDefault="003468FC" w:rsidP="00BE2DD3">
            <w:pPr>
              <w:rPr>
                <w:iCs/>
                <w:sz w:val="16"/>
                <w:szCs w:val="16"/>
                <w:lang w:val="en-GB"/>
              </w:rPr>
            </w:pPr>
            <w:r>
              <w:rPr>
                <w:iCs/>
                <w:sz w:val="16"/>
                <w:szCs w:val="16"/>
                <w:lang w:val="en-GB"/>
              </w:rPr>
              <w:t>Frequency: Q</w:t>
            </w:r>
            <w:r w:rsidR="00557278" w:rsidRPr="00DF6603">
              <w:rPr>
                <w:iCs/>
                <w:sz w:val="16"/>
                <w:szCs w:val="16"/>
                <w:lang w:val="en-GB"/>
              </w:rPr>
              <w:t xml:space="preserve">uadrennial </w:t>
            </w:r>
          </w:p>
          <w:p w:rsidR="00557278" w:rsidRPr="00DF6603" w:rsidRDefault="00557278" w:rsidP="00BE2DD3">
            <w:pPr>
              <w:pStyle w:val="ListParagraph"/>
              <w:ind w:left="0"/>
              <w:rPr>
                <w:iCs/>
                <w:sz w:val="16"/>
                <w:szCs w:val="16"/>
                <w:lang w:val="en-GB"/>
              </w:rPr>
            </w:pPr>
          </w:p>
          <w:p w:rsidR="00557278" w:rsidRPr="00DF6603" w:rsidRDefault="00557278" w:rsidP="00BE2DD3">
            <w:pPr>
              <w:pStyle w:val="ListParagraph"/>
              <w:ind w:left="0"/>
              <w:rPr>
                <w:iCs/>
                <w:sz w:val="16"/>
                <w:szCs w:val="16"/>
                <w:lang w:val="en-GB"/>
              </w:rPr>
            </w:pPr>
          </w:p>
          <w:p w:rsidR="00557278" w:rsidRPr="00DF6603" w:rsidRDefault="00557278" w:rsidP="00BE2DD3">
            <w:pPr>
              <w:pStyle w:val="ListParagraph"/>
              <w:ind w:left="0"/>
              <w:rPr>
                <w:iCs/>
                <w:sz w:val="16"/>
                <w:szCs w:val="16"/>
                <w:lang w:val="en-GB"/>
              </w:rPr>
            </w:pPr>
          </w:p>
          <w:p w:rsidR="00C56C0D" w:rsidRPr="00DF6603" w:rsidRDefault="00C56C0D" w:rsidP="00BE2DD3">
            <w:pPr>
              <w:pStyle w:val="ListParagraph"/>
              <w:ind w:left="0"/>
              <w:rPr>
                <w:iCs/>
                <w:sz w:val="16"/>
                <w:szCs w:val="16"/>
                <w:lang w:val="en-GB"/>
              </w:rPr>
            </w:pPr>
          </w:p>
          <w:p w:rsidR="00C56C0D" w:rsidRPr="00DF6603" w:rsidRDefault="00C56C0D" w:rsidP="00BE2DD3">
            <w:pPr>
              <w:pStyle w:val="ListParagraph"/>
              <w:ind w:left="0"/>
              <w:rPr>
                <w:iCs/>
                <w:sz w:val="16"/>
                <w:szCs w:val="16"/>
                <w:lang w:val="en-GB"/>
              </w:rPr>
            </w:pPr>
          </w:p>
          <w:p w:rsidR="00557278" w:rsidRDefault="00557278" w:rsidP="00BE2DD3">
            <w:pPr>
              <w:pStyle w:val="ListParagraph"/>
              <w:ind w:left="360"/>
              <w:rPr>
                <w:iCs/>
                <w:sz w:val="16"/>
                <w:szCs w:val="16"/>
                <w:lang w:val="en-GB"/>
              </w:rPr>
            </w:pPr>
          </w:p>
          <w:p w:rsidR="001C0975" w:rsidRPr="00DF6603" w:rsidRDefault="001C0975" w:rsidP="00BE2DD3">
            <w:pPr>
              <w:pStyle w:val="ListParagraph"/>
              <w:ind w:left="360"/>
              <w:rPr>
                <w:iCs/>
                <w:sz w:val="16"/>
                <w:szCs w:val="16"/>
                <w:lang w:val="en-GB"/>
              </w:rPr>
            </w:pPr>
          </w:p>
          <w:p w:rsidR="00DF6603" w:rsidRDefault="00DF6603" w:rsidP="00BE2DD3">
            <w:pPr>
              <w:rPr>
                <w:iCs/>
                <w:sz w:val="16"/>
                <w:szCs w:val="16"/>
                <w:lang w:val="en-GB"/>
              </w:rPr>
            </w:pPr>
          </w:p>
          <w:p w:rsidR="00557278" w:rsidRPr="00DF6603" w:rsidRDefault="00557278" w:rsidP="00BE2DD3">
            <w:pPr>
              <w:rPr>
                <w:iCs/>
                <w:sz w:val="16"/>
                <w:szCs w:val="16"/>
                <w:lang w:val="en-GB"/>
              </w:rPr>
            </w:pPr>
            <w:r w:rsidRPr="00DF6603">
              <w:rPr>
                <w:iCs/>
                <w:sz w:val="16"/>
                <w:szCs w:val="16"/>
                <w:lang w:val="en-GB"/>
              </w:rPr>
              <w:t>Data source: EPCV</w:t>
            </w:r>
          </w:p>
          <w:p w:rsidR="00557278" w:rsidRPr="00DF6603" w:rsidRDefault="003468FC" w:rsidP="00BE2DD3">
            <w:pPr>
              <w:rPr>
                <w:b/>
                <w:bCs/>
                <w:sz w:val="16"/>
                <w:szCs w:val="16"/>
                <w:lang w:val="en-GB"/>
              </w:rPr>
            </w:pPr>
            <w:r>
              <w:rPr>
                <w:iCs/>
                <w:sz w:val="16"/>
                <w:szCs w:val="16"/>
                <w:lang w:val="en-GB"/>
              </w:rPr>
              <w:t>Frequency: Q</w:t>
            </w:r>
            <w:r w:rsidR="00557278" w:rsidRPr="00DF6603">
              <w:rPr>
                <w:iCs/>
                <w:sz w:val="16"/>
                <w:szCs w:val="16"/>
                <w:lang w:val="en-GB"/>
              </w:rPr>
              <w:t xml:space="preserve">uadrennial </w:t>
            </w:r>
          </w:p>
          <w:p w:rsidR="00C56C0D" w:rsidRPr="00DF6603" w:rsidRDefault="00C56C0D" w:rsidP="00BE2DD3">
            <w:pPr>
              <w:rPr>
                <w:b/>
                <w:bCs/>
                <w:sz w:val="16"/>
                <w:szCs w:val="16"/>
                <w:lang w:val="en-GB"/>
              </w:rPr>
            </w:pPr>
          </w:p>
          <w:p w:rsidR="00B17C67" w:rsidRDefault="00B17C67" w:rsidP="00BE2DD3">
            <w:pPr>
              <w:rPr>
                <w:iCs/>
                <w:sz w:val="16"/>
                <w:szCs w:val="16"/>
                <w:lang w:val="en-GB"/>
              </w:rPr>
            </w:pPr>
          </w:p>
          <w:p w:rsidR="00C56C0D" w:rsidRPr="002C127A" w:rsidRDefault="00C56C0D" w:rsidP="00BE2DD3">
            <w:pPr>
              <w:rPr>
                <w:iCs/>
                <w:sz w:val="16"/>
                <w:szCs w:val="16"/>
                <w:lang w:val="en-GB"/>
              </w:rPr>
            </w:pPr>
            <w:r w:rsidRPr="002C127A">
              <w:rPr>
                <w:iCs/>
                <w:sz w:val="16"/>
                <w:szCs w:val="16"/>
                <w:lang w:val="en-GB"/>
              </w:rPr>
              <w:t xml:space="preserve">Data source: </w:t>
            </w:r>
            <w:r w:rsidR="00DC5AC4">
              <w:rPr>
                <w:iCs/>
                <w:sz w:val="16"/>
                <w:szCs w:val="16"/>
                <w:lang w:val="en-GB"/>
              </w:rPr>
              <w:t>SCAPP implementation Report</w:t>
            </w:r>
          </w:p>
          <w:p w:rsidR="00C56C0D" w:rsidRPr="00C029D9" w:rsidRDefault="00C56C0D" w:rsidP="00BE2DD3">
            <w:pPr>
              <w:rPr>
                <w:b/>
                <w:bCs/>
                <w:sz w:val="16"/>
                <w:szCs w:val="16"/>
              </w:rPr>
            </w:pPr>
            <w:r w:rsidRPr="002C127A">
              <w:rPr>
                <w:iCs/>
                <w:sz w:val="16"/>
                <w:szCs w:val="16"/>
                <w:lang w:val="en-GB"/>
              </w:rPr>
              <w:t xml:space="preserve">Frequency: </w:t>
            </w:r>
            <w:r w:rsidR="00DC5AC4">
              <w:rPr>
                <w:iCs/>
                <w:sz w:val="16"/>
                <w:szCs w:val="16"/>
                <w:lang w:val="en-GB"/>
              </w:rPr>
              <w:t>Annua</w:t>
            </w:r>
            <w:r w:rsidR="003468FC">
              <w:rPr>
                <w:iCs/>
                <w:sz w:val="16"/>
                <w:szCs w:val="16"/>
                <w:lang w:val="en-GB"/>
              </w:rPr>
              <w:t>l</w:t>
            </w:r>
          </w:p>
        </w:tc>
        <w:tc>
          <w:tcPr>
            <w:tcW w:w="2020" w:type="pct"/>
            <w:gridSpan w:val="2"/>
            <w:vMerge w:val="restart"/>
            <w:tcMar>
              <w:top w:w="72" w:type="dxa"/>
              <w:left w:w="144" w:type="dxa"/>
              <w:bottom w:w="72" w:type="dxa"/>
              <w:right w:w="144" w:type="dxa"/>
            </w:tcMar>
          </w:tcPr>
          <w:p w:rsidR="00CF2C68" w:rsidRDefault="00557278" w:rsidP="00BE2DD3">
            <w:pPr>
              <w:jc w:val="both"/>
              <w:rPr>
                <w:b/>
                <w:bCs/>
                <w:sz w:val="16"/>
                <w:szCs w:val="16"/>
              </w:rPr>
            </w:pPr>
            <w:r w:rsidRPr="00451503">
              <w:rPr>
                <w:b/>
                <w:bCs/>
                <w:sz w:val="16"/>
                <w:szCs w:val="16"/>
              </w:rPr>
              <w:t>Output 1.1:</w:t>
            </w:r>
            <w:r w:rsidRPr="00451503">
              <w:rPr>
                <w:sz w:val="16"/>
                <w:szCs w:val="16"/>
              </w:rPr>
              <w:t xml:space="preserve"> National institutions in charge of economic affairs (M</w:t>
            </w:r>
            <w:r w:rsidR="00594548" w:rsidRPr="00451503">
              <w:rPr>
                <w:sz w:val="16"/>
                <w:szCs w:val="16"/>
              </w:rPr>
              <w:t xml:space="preserve">EF) </w:t>
            </w:r>
            <w:r w:rsidRPr="00451503">
              <w:rPr>
                <w:sz w:val="16"/>
                <w:szCs w:val="16"/>
              </w:rPr>
              <w:t>have the capacity to design strategies, carry out inter</w:t>
            </w:r>
            <w:r w:rsidR="00115EE8">
              <w:rPr>
                <w:sz w:val="16"/>
                <w:szCs w:val="16"/>
              </w:rPr>
              <w:t>-</w:t>
            </w:r>
            <w:r w:rsidRPr="00451503">
              <w:rPr>
                <w:sz w:val="16"/>
                <w:szCs w:val="16"/>
              </w:rPr>
              <w:t xml:space="preserve">sectoral coordination, implementation and monitoring and evaluation of gender responsive public policies that create employment and livelihoods for the poor and excluded. </w:t>
            </w:r>
          </w:p>
          <w:p w:rsidR="00557278" w:rsidRPr="00451503" w:rsidRDefault="00557278" w:rsidP="00BE2DD3">
            <w:pPr>
              <w:jc w:val="both"/>
              <w:rPr>
                <w:sz w:val="16"/>
                <w:szCs w:val="16"/>
              </w:rPr>
            </w:pPr>
            <w:r w:rsidRPr="00451503">
              <w:rPr>
                <w:b/>
                <w:bCs/>
                <w:sz w:val="16"/>
                <w:szCs w:val="16"/>
              </w:rPr>
              <w:t>Indicator 1.1.1</w:t>
            </w:r>
            <w:r w:rsidRPr="00451503">
              <w:rPr>
                <w:sz w:val="16"/>
                <w:szCs w:val="16"/>
              </w:rPr>
              <w:t xml:space="preserve">:  Extent to which policies, systems and/or institutional measures are in place at the national and sub-national levels to generate and strengthen employment and livelihoods </w:t>
            </w:r>
          </w:p>
          <w:p w:rsidR="00557278" w:rsidRPr="00451503" w:rsidRDefault="00557278" w:rsidP="00BE2DD3">
            <w:pPr>
              <w:jc w:val="both"/>
              <w:rPr>
                <w:sz w:val="16"/>
                <w:szCs w:val="16"/>
              </w:rPr>
            </w:pPr>
            <w:r w:rsidRPr="00451503">
              <w:rPr>
                <w:sz w:val="16"/>
                <w:szCs w:val="16"/>
              </w:rPr>
              <w:t>Baseline: Partially</w:t>
            </w:r>
            <w:r w:rsidR="00DC5AC4">
              <w:rPr>
                <w:rStyle w:val="FootnoteReference"/>
                <w:sz w:val="16"/>
                <w:szCs w:val="16"/>
              </w:rPr>
              <w:footnoteReference w:id="16"/>
            </w:r>
          </w:p>
          <w:p w:rsidR="00CF2C68" w:rsidRDefault="00557278" w:rsidP="00BE2DD3">
            <w:pPr>
              <w:jc w:val="both"/>
              <w:rPr>
                <w:b/>
                <w:bCs/>
                <w:sz w:val="16"/>
                <w:szCs w:val="16"/>
              </w:rPr>
            </w:pPr>
            <w:r w:rsidRPr="00451503">
              <w:rPr>
                <w:sz w:val="16"/>
                <w:szCs w:val="16"/>
              </w:rPr>
              <w:t>Target: Fully</w:t>
            </w:r>
          </w:p>
          <w:p w:rsidR="00557278" w:rsidRPr="00451503" w:rsidRDefault="00557278" w:rsidP="00BE2DD3">
            <w:pPr>
              <w:jc w:val="both"/>
              <w:rPr>
                <w:sz w:val="16"/>
                <w:szCs w:val="16"/>
              </w:rPr>
            </w:pPr>
            <w:r w:rsidRPr="00451503">
              <w:rPr>
                <w:b/>
                <w:bCs/>
                <w:sz w:val="16"/>
                <w:szCs w:val="16"/>
              </w:rPr>
              <w:t>Indicator 1.1.2</w:t>
            </w:r>
            <w:r w:rsidRPr="00451503">
              <w:rPr>
                <w:sz w:val="16"/>
                <w:szCs w:val="16"/>
              </w:rPr>
              <w:t>: Extent to which the National Employment Observatory is operational</w:t>
            </w:r>
          </w:p>
          <w:p w:rsidR="00557278" w:rsidRPr="00451503" w:rsidRDefault="00557278" w:rsidP="00BE2DD3">
            <w:pPr>
              <w:jc w:val="both"/>
              <w:rPr>
                <w:sz w:val="16"/>
                <w:szCs w:val="16"/>
              </w:rPr>
            </w:pPr>
            <w:r w:rsidRPr="00451503">
              <w:rPr>
                <w:sz w:val="16"/>
                <w:szCs w:val="16"/>
              </w:rPr>
              <w:t>Baseline: Partially operational</w:t>
            </w:r>
          </w:p>
          <w:p w:rsidR="00CF2C68" w:rsidRDefault="00557278" w:rsidP="00BE2DD3">
            <w:pPr>
              <w:jc w:val="both"/>
              <w:rPr>
                <w:b/>
                <w:bCs/>
                <w:sz w:val="16"/>
                <w:szCs w:val="16"/>
              </w:rPr>
            </w:pPr>
            <w:r w:rsidRPr="00451503">
              <w:rPr>
                <w:sz w:val="16"/>
                <w:szCs w:val="16"/>
              </w:rPr>
              <w:t xml:space="preserve">Target: Fully operational </w:t>
            </w:r>
          </w:p>
          <w:p w:rsidR="00557278" w:rsidRPr="00451503" w:rsidRDefault="00557278" w:rsidP="00BE2DD3">
            <w:pPr>
              <w:jc w:val="both"/>
              <w:rPr>
                <w:sz w:val="16"/>
                <w:szCs w:val="16"/>
              </w:rPr>
            </w:pPr>
            <w:r w:rsidRPr="00451503">
              <w:rPr>
                <w:b/>
                <w:bCs/>
                <w:sz w:val="16"/>
                <w:szCs w:val="16"/>
              </w:rPr>
              <w:t>Indicator 1.1.3</w:t>
            </w:r>
            <w:r w:rsidRPr="00451503">
              <w:rPr>
                <w:sz w:val="16"/>
                <w:szCs w:val="16"/>
              </w:rPr>
              <w:t xml:space="preserve">: </w:t>
            </w:r>
            <w:r w:rsidR="003F75A1" w:rsidRPr="00451503">
              <w:rPr>
                <w:sz w:val="16"/>
                <w:szCs w:val="16"/>
              </w:rPr>
              <w:t xml:space="preserve">Number of SCAPP’s implementation and monitoring reports </w:t>
            </w:r>
            <w:r w:rsidRPr="00451503">
              <w:rPr>
                <w:sz w:val="16"/>
                <w:szCs w:val="16"/>
              </w:rPr>
              <w:t xml:space="preserve"> </w:t>
            </w:r>
          </w:p>
          <w:p w:rsidR="00557278" w:rsidRPr="00451503" w:rsidRDefault="00557278" w:rsidP="00BE2DD3">
            <w:pPr>
              <w:jc w:val="both"/>
              <w:rPr>
                <w:sz w:val="16"/>
                <w:szCs w:val="16"/>
              </w:rPr>
            </w:pPr>
            <w:r w:rsidRPr="00451503">
              <w:rPr>
                <w:sz w:val="16"/>
                <w:szCs w:val="16"/>
              </w:rPr>
              <w:t xml:space="preserve">Baseline: </w:t>
            </w:r>
            <w:r w:rsidR="003F75A1" w:rsidRPr="00451503">
              <w:rPr>
                <w:sz w:val="16"/>
                <w:szCs w:val="16"/>
              </w:rPr>
              <w:t>0</w:t>
            </w:r>
          </w:p>
          <w:p w:rsidR="00557278" w:rsidRPr="00451503" w:rsidRDefault="003F75A1" w:rsidP="00BE2DD3">
            <w:pPr>
              <w:jc w:val="both"/>
              <w:rPr>
                <w:sz w:val="16"/>
                <w:szCs w:val="16"/>
              </w:rPr>
            </w:pPr>
            <w:r w:rsidRPr="00451503">
              <w:rPr>
                <w:sz w:val="16"/>
                <w:szCs w:val="16"/>
              </w:rPr>
              <w:t>Target: 4</w:t>
            </w:r>
          </w:p>
          <w:p w:rsidR="00557278" w:rsidRPr="00451503" w:rsidRDefault="00557278" w:rsidP="00BE2DD3">
            <w:pPr>
              <w:jc w:val="both"/>
              <w:rPr>
                <w:sz w:val="16"/>
                <w:szCs w:val="16"/>
              </w:rPr>
            </w:pPr>
          </w:p>
          <w:p w:rsidR="00CF2C68" w:rsidRDefault="00557278" w:rsidP="00BE2DD3">
            <w:pPr>
              <w:jc w:val="both"/>
              <w:rPr>
                <w:b/>
                <w:bCs/>
                <w:sz w:val="16"/>
                <w:szCs w:val="16"/>
              </w:rPr>
            </w:pPr>
            <w:r w:rsidRPr="00451503">
              <w:rPr>
                <w:b/>
                <w:bCs/>
                <w:sz w:val="16"/>
                <w:szCs w:val="16"/>
              </w:rPr>
              <w:t>Output 1.2:</w:t>
            </w:r>
            <w:r w:rsidRPr="00451503">
              <w:rPr>
                <w:sz w:val="16"/>
                <w:szCs w:val="16"/>
              </w:rPr>
              <w:t xml:space="preserve"> Marginalized groups (women and youth) in target areas have improved employment opportunities </w:t>
            </w:r>
          </w:p>
          <w:p w:rsidR="00557278" w:rsidRPr="00451503" w:rsidRDefault="00557278" w:rsidP="00BE2DD3">
            <w:pPr>
              <w:jc w:val="both"/>
              <w:rPr>
                <w:sz w:val="16"/>
                <w:szCs w:val="16"/>
              </w:rPr>
            </w:pPr>
            <w:r w:rsidRPr="00451503">
              <w:rPr>
                <w:b/>
                <w:bCs/>
                <w:sz w:val="16"/>
                <w:szCs w:val="16"/>
              </w:rPr>
              <w:t xml:space="preserve">Indicator 1.2.1: </w:t>
            </w:r>
            <w:r w:rsidRPr="00451503">
              <w:rPr>
                <w:sz w:val="16"/>
                <w:szCs w:val="16"/>
              </w:rPr>
              <w:t xml:space="preserve">number of new jobs generated </w:t>
            </w:r>
          </w:p>
          <w:p w:rsidR="00557278" w:rsidRPr="00451503" w:rsidRDefault="00557278" w:rsidP="00BE2DD3">
            <w:pPr>
              <w:jc w:val="both"/>
              <w:rPr>
                <w:sz w:val="16"/>
                <w:szCs w:val="16"/>
              </w:rPr>
            </w:pPr>
            <w:r w:rsidRPr="00451503">
              <w:rPr>
                <w:sz w:val="16"/>
                <w:szCs w:val="16"/>
              </w:rPr>
              <w:t>Baseline:</w:t>
            </w:r>
            <w:r w:rsidR="00A33D46">
              <w:rPr>
                <w:sz w:val="16"/>
                <w:szCs w:val="16"/>
              </w:rPr>
              <w:t xml:space="preserve"> </w:t>
            </w:r>
            <w:r w:rsidRPr="00451503">
              <w:rPr>
                <w:sz w:val="16"/>
                <w:szCs w:val="16"/>
              </w:rPr>
              <w:t>112 (F:</w:t>
            </w:r>
            <w:r w:rsidR="00115EE8">
              <w:rPr>
                <w:sz w:val="16"/>
                <w:szCs w:val="16"/>
              </w:rPr>
              <w:t xml:space="preserve"> </w:t>
            </w:r>
            <w:r w:rsidRPr="00451503">
              <w:rPr>
                <w:sz w:val="16"/>
                <w:szCs w:val="16"/>
              </w:rPr>
              <w:t>56; M:</w:t>
            </w:r>
            <w:r w:rsidR="00115EE8">
              <w:rPr>
                <w:sz w:val="16"/>
                <w:szCs w:val="16"/>
              </w:rPr>
              <w:t xml:space="preserve"> </w:t>
            </w:r>
            <w:r w:rsidRPr="00451503">
              <w:rPr>
                <w:sz w:val="16"/>
                <w:szCs w:val="16"/>
              </w:rPr>
              <w:t>56)</w:t>
            </w:r>
          </w:p>
          <w:p w:rsidR="00CF2C68" w:rsidRDefault="00557278" w:rsidP="00BE2DD3">
            <w:pPr>
              <w:tabs>
                <w:tab w:val="right" w:pos="5297"/>
              </w:tabs>
              <w:jc w:val="both"/>
              <w:rPr>
                <w:b/>
                <w:spacing w:val="-2"/>
                <w:w w:val="103"/>
                <w:kern w:val="14"/>
                <w:sz w:val="16"/>
                <w:szCs w:val="16"/>
                <w:lang w:val="en-GB"/>
              </w:rPr>
            </w:pPr>
            <w:r w:rsidRPr="00451503">
              <w:rPr>
                <w:sz w:val="16"/>
                <w:szCs w:val="16"/>
              </w:rPr>
              <w:t>Target:</w:t>
            </w:r>
            <w:r w:rsidR="00C56C0D">
              <w:rPr>
                <w:sz w:val="16"/>
                <w:szCs w:val="16"/>
              </w:rPr>
              <w:t xml:space="preserve"> </w:t>
            </w:r>
            <w:r w:rsidRPr="00451503">
              <w:rPr>
                <w:sz w:val="16"/>
                <w:szCs w:val="16"/>
              </w:rPr>
              <w:t>600 (F:</w:t>
            </w:r>
            <w:r w:rsidR="00CF2C68">
              <w:rPr>
                <w:sz w:val="16"/>
                <w:szCs w:val="16"/>
              </w:rPr>
              <w:t xml:space="preserve"> </w:t>
            </w:r>
            <w:r w:rsidRPr="00451503">
              <w:rPr>
                <w:sz w:val="16"/>
                <w:szCs w:val="16"/>
              </w:rPr>
              <w:t>300;</w:t>
            </w:r>
            <w:r w:rsidR="001839BC">
              <w:rPr>
                <w:sz w:val="16"/>
                <w:szCs w:val="16"/>
              </w:rPr>
              <w:t xml:space="preserve"> </w:t>
            </w:r>
            <w:r w:rsidRPr="00451503">
              <w:rPr>
                <w:sz w:val="16"/>
                <w:szCs w:val="16"/>
              </w:rPr>
              <w:t>M</w:t>
            </w:r>
            <w:r w:rsidR="002F0099" w:rsidRPr="00451503">
              <w:rPr>
                <w:sz w:val="16"/>
                <w:szCs w:val="16"/>
              </w:rPr>
              <w:t>: 300</w:t>
            </w:r>
            <w:r w:rsidRPr="00451503">
              <w:rPr>
                <w:sz w:val="16"/>
                <w:szCs w:val="16"/>
              </w:rPr>
              <w:t>)</w:t>
            </w:r>
          </w:p>
          <w:p w:rsidR="00FF504A" w:rsidRPr="00451503" w:rsidRDefault="00FF504A" w:rsidP="00BE2DD3">
            <w:pPr>
              <w:rPr>
                <w:sz w:val="16"/>
                <w:szCs w:val="16"/>
              </w:rPr>
            </w:pPr>
            <w:r w:rsidRPr="00C74835">
              <w:rPr>
                <w:b/>
                <w:sz w:val="16"/>
                <w:szCs w:val="16"/>
              </w:rPr>
              <w:t>Indicator 1.2.2:</w:t>
            </w:r>
            <w:r w:rsidRPr="00451503">
              <w:rPr>
                <w:sz w:val="16"/>
                <w:szCs w:val="16"/>
              </w:rPr>
              <w:t xml:space="preserve"> </w:t>
            </w:r>
            <w:r w:rsidRPr="00451503">
              <w:rPr>
                <w:sz w:val="16"/>
              </w:rPr>
              <w:t xml:space="preserve">Number of additional women and men </w:t>
            </w:r>
            <w:r w:rsidR="00CF2C68">
              <w:rPr>
                <w:sz w:val="16"/>
              </w:rPr>
              <w:t xml:space="preserve">who </w:t>
            </w:r>
            <w:r w:rsidRPr="00451503">
              <w:rPr>
                <w:sz w:val="16"/>
              </w:rPr>
              <w:t>benefi</w:t>
            </w:r>
            <w:r w:rsidR="00CF2C68">
              <w:rPr>
                <w:sz w:val="16"/>
              </w:rPr>
              <w:t>t</w:t>
            </w:r>
            <w:r w:rsidRPr="00451503">
              <w:rPr>
                <w:sz w:val="16"/>
              </w:rPr>
              <w:t xml:space="preserve"> from strengthened livelihoods </w:t>
            </w:r>
          </w:p>
          <w:p w:rsidR="00FF504A" w:rsidRPr="00451503" w:rsidRDefault="00FF504A" w:rsidP="00BE2DD3">
            <w:pPr>
              <w:rPr>
                <w:bCs/>
                <w:sz w:val="16"/>
                <w:szCs w:val="16"/>
                <w:lang w:val="en-GB"/>
              </w:rPr>
            </w:pPr>
            <w:r w:rsidRPr="00451503">
              <w:rPr>
                <w:bCs/>
                <w:sz w:val="16"/>
                <w:szCs w:val="16"/>
                <w:lang w:val="en-GB"/>
              </w:rPr>
              <w:t>Baseline:</w:t>
            </w:r>
            <w:r w:rsidR="00A33D46">
              <w:rPr>
                <w:bCs/>
                <w:sz w:val="16"/>
                <w:szCs w:val="16"/>
                <w:lang w:val="en-GB"/>
              </w:rPr>
              <w:t xml:space="preserve"> </w:t>
            </w:r>
            <w:r w:rsidRPr="00451503">
              <w:rPr>
                <w:bCs/>
                <w:sz w:val="16"/>
                <w:szCs w:val="16"/>
                <w:lang w:val="en-GB"/>
              </w:rPr>
              <w:t>5,230 (F:</w:t>
            </w:r>
            <w:r w:rsidR="00115EE8">
              <w:rPr>
                <w:bCs/>
                <w:sz w:val="16"/>
                <w:szCs w:val="16"/>
                <w:lang w:val="en-GB"/>
              </w:rPr>
              <w:t xml:space="preserve"> </w:t>
            </w:r>
            <w:r w:rsidRPr="00451503">
              <w:rPr>
                <w:bCs/>
                <w:sz w:val="16"/>
                <w:szCs w:val="16"/>
                <w:lang w:val="en-GB"/>
              </w:rPr>
              <w:t>3,560; M:</w:t>
            </w:r>
            <w:r w:rsidR="00115EE8">
              <w:rPr>
                <w:bCs/>
                <w:sz w:val="16"/>
                <w:szCs w:val="16"/>
                <w:lang w:val="en-GB"/>
              </w:rPr>
              <w:t xml:space="preserve"> </w:t>
            </w:r>
            <w:r w:rsidRPr="00451503">
              <w:rPr>
                <w:bCs/>
                <w:sz w:val="16"/>
                <w:szCs w:val="16"/>
                <w:lang w:val="en-GB"/>
              </w:rPr>
              <w:t>1,670)</w:t>
            </w:r>
          </w:p>
          <w:p w:rsidR="00FF504A" w:rsidRPr="00451503" w:rsidRDefault="00FF504A" w:rsidP="00BE2DD3">
            <w:pPr>
              <w:rPr>
                <w:bCs/>
                <w:sz w:val="16"/>
                <w:szCs w:val="16"/>
                <w:lang w:val="en-GB"/>
              </w:rPr>
            </w:pPr>
            <w:r w:rsidRPr="00451503">
              <w:rPr>
                <w:bCs/>
                <w:sz w:val="16"/>
                <w:szCs w:val="16"/>
                <w:lang w:val="en-GB"/>
              </w:rPr>
              <w:t>Target: 10,000 (F:</w:t>
            </w:r>
            <w:r w:rsidR="00115EE8">
              <w:rPr>
                <w:bCs/>
                <w:sz w:val="16"/>
                <w:szCs w:val="16"/>
                <w:lang w:val="en-GB"/>
              </w:rPr>
              <w:t xml:space="preserve"> </w:t>
            </w:r>
            <w:r w:rsidRPr="00451503">
              <w:rPr>
                <w:bCs/>
                <w:sz w:val="16"/>
                <w:szCs w:val="16"/>
                <w:lang w:val="en-GB"/>
              </w:rPr>
              <w:t>7,000;</w:t>
            </w:r>
            <w:r w:rsidR="00A33D46">
              <w:rPr>
                <w:bCs/>
                <w:sz w:val="16"/>
                <w:szCs w:val="16"/>
                <w:lang w:val="en-GB"/>
              </w:rPr>
              <w:t xml:space="preserve"> </w:t>
            </w:r>
            <w:r w:rsidRPr="00451503">
              <w:rPr>
                <w:bCs/>
                <w:sz w:val="16"/>
                <w:szCs w:val="16"/>
                <w:lang w:val="en-GB"/>
              </w:rPr>
              <w:t>M:</w:t>
            </w:r>
            <w:r w:rsidR="00115EE8">
              <w:rPr>
                <w:bCs/>
                <w:sz w:val="16"/>
                <w:szCs w:val="16"/>
                <w:lang w:val="en-GB"/>
              </w:rPr>
              <w:t xml:space="preserve"> </w:t>
            </w:r>
            <w:r w:rsidRPr="00451503">
              <w:rPr>
                <w:bCs/>
                <w:sz w:val="16"/>
                <w:szCs w:val="16"/>
                <w:lang w:val="en-GB"/>
              </w:rPr>
              <w:t>3,000)</w:t>
            </w:r>
          </w:p>
          <w:p w:rsidR="00FF504A" w:rsidRDefault="00FF504A" w:rsidP="00BE2DD3">
            <w:pPr>
              <w:jc w:val="both"/>
              <w:rPr>
                <w:b/>
                <w:sz w:val="16"/>
                <w:lang w:val="en-GB"/>
              </w:rPr>
            </w:pPr>
          </w:p>
          <w:p w:rsidR="00C504D3" w:rsidRPr="008F5341" w:rsidRDefault="00C504D3" w:rsidP="00BE2DD3">
            <w:pPr>
              <w:jc w:val="both"/>
              <w:rPr>
                <w:bCs/>
                <w:sz w:val="16"/>
              </w:rPr>
            </w:pPr>
            <w:r w:rsidRPr="008F5341">
              <w:rPr>
                <w:b/>
                <w:bCs/>
                <w:sz w:val="16"/>
              </w:rPr>
              <w:t xml:space="preserve">Output </w:t>
            </w:r>
            <w:r w:rsidR="00622ADB" w:rsidRPr="008F5341">
              <w:rPr>
                <w:b/>
                <w:bCs/>
                <w:sz w:val="16"/>
              </w:rPr>
              <w:t>1.3:</w:t>
            </w:r>
            <w:r w:rsidRPr="008F5341">
              <w:rPr>
                <w:bCs/>
                <w:sz w:val="16"/>
              </w:rPr>
              <w:t xml:space="preserve"> </w:t>
            </w:r>
            <w:r w:rsidR="00622ADB" w:rsidRPr="008F5341">
              <w:rPr>
                <w:bCs/>
                <w:sz w:val="16"/>
              </w:rPr>
              <w:t>Institutions have increased capacities and expertise to produce and make available disaggregated data and vulnerability analyzes to ensure regular monitoring of the level of achievement of outcomes, including SCAPP.</w:t>
            </w:r>
          </w:p>
          <w:p w:rsidR="009A5A2E" w:rsidRPr="008F5341" w:rsidRDefault="009A5A2E" w:rsidP="00BE2DD3">
            <w:pPr>
              <w:jc w:val="both"/>
              <w:rPr>
                <w:bCs/>
                <w:sz w:val="16"/>
              </w:rPr>
            </w:pPr>
            <w:r w:rsidRPr="002C127A">
              <w:rPr>
                <w:b/>
                <w:bCs/>
                <w:sz w:val="16"/>
              </w:rPr>
              <w:lastRenderedPageBreak/>
              <w:t>Indicator 1.3.1:</w:t>
            </w:r>
            <w:r w:rsidRPr="008F5341">
              <w:rPr>
                <w:bCs/>
                <w:sz w:val="16"/>
              </w:rPr>
              <w:t xml:space="preserve"> National data system provides geographic and gender disaggregated data on new areas (governance-peace, security and climate change).</w:t>
            </w:r>
          </w:p>
          <w:p w:rsidR="00C504D3" w:rsidRPr="008F5341" w:rsidRDefault="00C504D3" w:rsidP="00BE2DD3">
            <w:pPr>
              <w:jc w:val="both"/>
              <w:rPr>
                <w:bCs/>
                <w:sz w:val="16"/>
              </w:rPr>
            </w:pPr>
            <w:r w:rsidRPr="008F5341">
              <w:rPr>
                <w:bCs/>
                <w:sz w:val="16"/>
              </w:rPr>
              <w:t xml:space="preserve">Baseline: </w:t>
            </w:r>
            <w:r w:rsidR="00DC5AC4">
              <w:rPr>
                <w:bCs/>
                <w:sz w:val="16"/>
              </w:rPr>
              <w:t>No</w:t>
            </w:r>
            <w:r w:rsidR="00DC5AC4">
              <w:rPr>
                <w:rStyle w:val="FootnoteReference"/>
                <w:bCs/>
                <w:sz w:val="16"/>
              </w:rPr>
              <w:footnoteReference w:id="17"/>
            </w:r>
          </w:p>
          <w:p w:rsidR="009A5A2E" w:rsidRPr="009A5A2E" w:rsidRDefault="00C504D3" w:rsidP="00BE2DD3">
            <w:pPr>
              <w:jc w:val="both"/>
              <w:rPr>
                <w:b/>
                <w:sz w:val="16"/>
              </w:rPr>
            </w:pPr>
            <w:r w:rsidRPr="008F5341">
              <w:rPr>
                <w:bCs/>
                <w:sz w:val="16"/>
              </w:rPr>
              <w:t>Target:</w:t>
            </w:r>
            <w:r w:rsidRPr="008F5341">
              <w:rPr>
                <w:b/>
                <w:sz w:val="16"/>
              </w:rPr>
              <w:t xml:space="preserve">  </w:t>
            </w:r>
            <w:r w:rsidR="009A5A2E" w:rsidRPr="008F5341">
              <w:rPr>
                <w:sz w:val="16"/>
              </w:rPr>
              <w:t>Yes</w:t>
            </w:r>
          </w:p>
        </w:tc>
        <w:tc>
          <w:tcPr>
            <w:tcW w:w="751" w:type="pct"/>
            <w:gridSpan w:val="2"/>
            <w:vMerge w:val="restart"/>
          </w:tcPr>
          <w:p w:rsidR="00557278" w:rsidRPr="00451503" w:rsidRDefault="00557278" w:rsidP="00BE2DD3">
            <w:pPr>
              <w:rPr>
                <w:iCs/>
                <w:sz w:val="16"/>
                <w:szCs w:val="16"/>
              </w:rPr>
            </w:pPr>
            <w:r w:rsidRPr="00CF2C68">
              <w:rPr>
                <w:iCs/>
                <w:sz w:val="16"/>
                <w:szCs w:val="16"/>
              </w:rPr>
              <w:lastRenderedPageBreak/>
              <w:t>M</w:t>
            </w:r>
            <w:r w:rsidR="00074EA5" w:rsidRPr="00CF2C68">
              <w:rPr>
                <w:iCs/>
                <w:sz w:val="16"/>
                <w:szCs w:val="16"/>
              </w:rPr>
              <w:t>EF</w:t>
            </w:r>
            <w:r w:rsidR="00DD4D99">
              <w:rPr>
                <w:iCs/>
                <w:sz w:val="16"/>
                <w:szCs w:val="16"/>
              </w:rPr>
              <w:t>;</w:t>
            </w:r>
          </w:p>
          <w:p w:rsidR="00557278" w:rsidRPr="00451503" w:rsidRDefault="00557278" w:rsidP="00BE2DD3">
            <w:pPr>
              <w:rPr>
                <w:iCs/>
                <w:sz w:val="16"/>
                <w:szCs w:val="16"/>
              </w:rPr>
            </w:pPr>
            <w:r w:rsidRPr="00451503">
              <w:rPr>
                <w:iCs/>
                <w:sz w:val="16"/>
                <w:szCs w:val="16"/>
              </w:rPr>
              <w:t>World Bank</w:t>
            </w:r>
            <w:r w:rsidR="00DD4D99">
              <w:rPr>
                <w:iCs/>
                <w:sz w:val="16"/>
                <w:szCs w:val="16"/>
              </w:rPr>
              <w:t>;</w:t>
            </w:r>
          </w:p>
          <w:p w:rsidR="00557278" w:rsidRPr="00451503" w:rsidRDefault="00557278" w:rsidP="00BE2DD3">
            <w:pPr>
              <w:rPr>
                <w:sz w:val="16"/>
              </w:rPr>
            </w:pPr>
            <w:r w:rsidRPr="00451503">
              <w:rPr>
                <w:sz w:val="16"/>
              </w:rPr>
              <w:t>E</w:t>
            </w:r>
            <w:r w:rsidR="00CF2C68">
              <w:rPr>
                <w:sz w:val="16"/>
              </w:rPr>
              <w:t xml:space="preserve">uropean </w:t>
            </w:r>
            <w:r w:rsidRPr="00451503">
              <w:rPr>
                <w:sz w:val="16"/>
              </w:rPr>
              <w:t>U</w:t>
            </w:r>
            <w:r w:rsidR="00CF2C68">
              <w:rPr>
                <w:sz w:val="16"/>
              </w:rPr>
              <w:t>nion</w:t>
            </w:r>
            <w:r w:rsidR="00DD4D99">
              <w:rPr>
                <w:sz w:val="16"/>
              </w:rPr>
              <w:t>;</w:t>
            </w:r>
          </w:p>
          <w:p w:rsidR="00557278" w:rsidRDefault="00557278" w:rsidP="00BE2DD3">
            <w:pPr>
              <w:rPr>
                <w:sz w:val="16"/>
              </w:rPr>
            </w:pPr>
            <w:r w:rsidRPr="00451503">
              <w:rPr>
                <w:sz w:val="16"/>
              </w:rPr>
              <w:t>GIZ</w:t>
            </w:r>
            <w:r w:rsidR="00DD4D99">
              <w:rPr>
                <w:sz w:val="16"/>
              </w:rPr>
              <w:t>;</w:t>
            </w:r>
          </w:p>
          <w:p w:rsidR="00EC05ED" w:rsidRDefault="00EC05ED" w:rsidP="00BE2DD3">
            <w:r>
              <w:rPr>
                <w:sz w:val="16"/>
              </w:rPr>
              <w:t>BMZ</w:t>
            </w:r>
            <w:r w:rsidR="00DD4D99">
              <w:rPr>
                <w:sz w:val="16"/>
              </w:rPr>
              <w:t>;</w:t>
            </w:r>
            <w:r>
              <w:t xml:space="preserve"> </w:t>
            </w:r>
          </w:p>
          <w:p w:rsidR="00EC05ED" w:rsidRPr="00451503" w:rsidRDefault="00EC05ED" w:rsidP="00BE2DD3">
            <w:pPr>
              <w:rPr>
                <w:sz w:val="16"/>
              </w:rPr>
            </w:pPr>
            <w:r w:rsidRPr="00EC05ED">
              <w:rPr>
                <w:sz w:val="16"/>
              </w:rPr>
              <w:t>German Development Bank</w:t>
            </w:r>
            <w:r w:rsidR="00DD4D99">
              <w:rPr>
                <w:sz w:val="16"/>
              </w:rPr>
              <w:t>;</w:t>
            </w:r>
          </w:p>
          <w:p w:rsidR="00557278" w:rsidRPr="00451503" w:rsidRDefault="00557278" w:rsidP="00BE2DD3">
            <w:pPr>
              <w:rPr>
                <w:iCs/>
                <w:sz w:val="16"/>
                <w:szCs w:val="16"/>
              </w:rPr>
            </w:pPr>
            <w:r w:rsidRPr="00451503">
              <w:rPr>
                <w:iCs/>
                <w:sz w:val="16"/>
                <w:szCs w:val="16"/>
              </w:rPr>
              <w:t>National Bureau of Statistics</w:t>
            </w:r>
            <w:r w:rsidR="00DD4D99">
              <w:rPr>
                <w:iCs/>
                <w:sz w:val="16"/>
                <w:szCs w:val="16"/>
              </w:rPr>
              <w:t>;</w:t>
            </w:r>
          </w:p>
          <w:p w:rsidR="00557278" w:rsidRPr="00451503" w:rsidRDefault="00557278" w:rsidP="00BE2DD3">
            <w:pPr>
              <w:rPr>
                <w:iCs/>
                <w:sz w:val="16"/>
                <w:szCs w:val="16"/>
              </w:rPr>
            </w:pPr>
            <w:r w:rsidRPr="00451503">
              <w:rPr>
                <w:iCs/>
                <w:sz w:val="16"/>
                <w:szCs w:val="16"/>
              </w:rPr>
              <w:t>UNICEF</w:t>
            </w:r>
            <w:r w:rsidR="00DD4D99">
              <w:rPr>
                <w:iCs/>
                <w:sz w:val="16"/>
                <w:szCs w:val="16"/>
              </w:rPr>
              <w:t>;</w:t>
            </w:r>
          </w:p>
          <w:p w:rsidR="00557278" w:rsidRPr="00451503" w:rsidRDefault="00557278" w:rsidP="00BE2DD3">
            <w:pPr>
              <w:rPr>
                <w:iCs/>
                <w:sz w:val="16"/>
                <w:szCs w:val="16"/>
              </w:rPr>
            </w:pPr>
            <w:r w:rsidRPr="00451503">
              <w:rPr>
                <w:iCs/>
                <w:sz w:val="16"/>
                <w:szCs w:val="16"/>
              </w:rPr>
              <w:t>UNFPA</w:t>
            </w:r>
            <w:r w:rsidR="00DD4D99">
              <w:rPr>
                <w:iCs/>
                <w:sz w:val="16"/>
                <w:szCs w:val="16"/>
              </w:rPr>
              <w:t>;</w:t>
            </w:r>
          </w:p>
          <w:p w:rsidR="00557278" w:rsidRPr="00C4709E" w:rsidRDefault="00557278" w:rsidP="00BE2DD3">
            <w:pPr>
              <w:rPr>
                <w:iCs/>
                <w:sz w:val="16"/>
                <w:szCs w:val="16"/>
              </w:rPr>
            </w:pPr>
            <w:r w:rsidRPr="00C4709E">
              <w:rPr>
                <w:iCs/>
                <w:sz w:val="16"/>
                <w:szCs w:val="16"/>
              </w:rPr>
              <w:t>AfDB</w:t>
            </w:r>
            <w:r w:rsidR="00DD4D99" w:rsidRPr="00C4709E">
              <w:rPr>
                <w:iCs/>
                <w:sz w:val="16"/>
                <w:szCs w:val="16"/>
              </w:rPr>
              <w:t>;</w:t>
            </w:r>
          </w:p>
          <w:p w:rsidR="00557278" w:rsidRPr="00C4709E" w:rsidRDefault="00577EB7" w:rsidP="00BE2DD3">
            <w:pPr>
              <w:rPr>
                <w:iCs/>
                <w:sz w:val="16"/>
                <w:szCs w:val="16"/>
              </w:rPr>
            </w:pPr>
            <w:r w:rsidRPr="00C4709E">
              <w:rPr>
                <w:iCs/>
                <w:sz w:val="16"/>
                <w:szCs w:val="16"/>
              </w:rPr>
              <w:t>International Labour Organization (</w:t>
            </w:r>
            <w:r w:rsidR="00557278" w:rsidRPr="00C4709E">
              <w:rPr>
                <w:iCs/>
                <w:sz w:val="16"/>
                <w:szCs w:val="16"/>
              </w:rPr>
              <w:t>ILO</w:t>
            </w:r>
            <w:r w:rsidRPr="00C4709E">
              <w:rPr>
                <w:iCs/>
                <w:sz w:val="16"/>
                <w:szCs w:val="16"/>
              </w:rPr>
              <w:t>)</w:t>
            </w:r>
            <w:r w:rsidR="00CF2C68" w:rsidRPr="00C4709E">
              <w:rPr>
                <w:iCs/>
                <w:sz w:val="16"/>
                <w:szCs w:val="16"/>
              </w:rPr>
              <w:t>, and the</w:t>
            </w:r>
          </w:p>
          <w:p w:rsidR="00DD4D99" w:rsidRPr="00451503" w:rsidRDefault="00CF2C68" w:rsidP="00BE2DD3">
            <w:pPr>
              <w:rPr>
                <w:i/>
                <w:iCs/>
                <w:sz w:val="16"/>
                <w:szCs w:val="16"/>
                <w:lang w:val="fr-FR"/>
              </w:rPr>
            </w:pPr>
            <w:r>
              <w:rPr>
                <w:iCs/>
                <w:sz w:val="16"/>
                <w:szCs w:val="16"/>
                <w:lang w:val="fr-FR"/>
              </w:rPr>
              <w:t>p</w:t>
            </w:r>
            <w:r w:rsidR="00DD4D99">
              <w:rPr>
                <w:iCs/>
                <w:sz w:val="16"/>
                <w:szCs w:val="16"/>
                <w:lang w:val="fr-FR"/>
              </w:rPr>
              <w:t>rivate sector.</w:t>
            </w:r>
          </w:p>
        </w:tc>
        <w:tc>
          <w:tcPr>
            <w:tcW w:w="642" w:type="pct"/>
            <w:gridSpan w:val="2"/>
            <w:tcMar>
              <w:top w:w="15" w:type="dxa"/>
              <w:left w:w="108" w:type="dxa"/>
              <w:bottom w:w="0" w:type="dxa"/>
              <w:right w:w="108" w:type="dxa"/>
            </w:tcMar>
          </w:tcPr>
          <w:p w:rsidR="00557278" w:rsidRPr="00451503" w:rsidRDefault="00557278" w:rsidP="00BE2DD3">
            <w:pPr>
              <w:rPr>
                <w:b/>
                <w:sz w:val="16"/>
                <w:szCs w:val="16"/>
              </w:rPr>
            </w:pPr>
            <w:r w:rsidRPr="00451503">
              <w:rPr>
                <w:b/>
                <w:sz w:val="16"/>
                <w:szCs w:val="16"/>
              </w:rPr>
              <w:t>Regular: 3</w:t>
            </w:r>
            <w:r w:rsidR="00B1449B">
              <w:rPr>
                <w:b/>
                <w:sz w:val="16"/>
                <w:szCs w:val="16"/>
              </w:rPr>
              <w:t>,</w:t>
            </w:r>
            <w:r w:rsidRPr="00451503">
              <w:rPr>
                <w:b/>
                <w:sz w:val="16"/>
                <w:szCs w:val="16"/>
              </w:rPr>
              <w:t>828</w:t>
            </w:r>
            <w:r w:rsidR="00B1449B">
              <w:rPr>
                <w:b/>
                <w:sz w:val="16"/>
                <w:szCs w:val="16"/>
              </w:rPr>
              <w:t>,</w:t>
            </w:r>
            <w:r w:rsidRPr="00451503">
              <w:rPr>
                <w:b/>
                <w:sz w:val="16"/>
                <w:szCs w:val="16"/>
              </w:rPr>
              <w:t>000</w:t>
            </w:r>
          </w:p>
          <w:p w:rsidR="00557278" w:rsidRPr="00451503" w:rsidRDefault="00557278" w:rsidP="00BE2DD3">
            <w:pPr>
              <w:rPr>
                <w:b/>
                <w:sz w:val="16"/>
                <w:szCs w:val="16"/>
              </w:rPr>
            </w:pPr>
          </w:p>
          <w:p w:rsidR="00557278" w:rsidRPr="00451503" w:rsidRDefault="00557278" w:rsidP="00BE2DD3">
            <w:pPr>
              <w:rPr>
                <w:b/>
                <w:sz w:val="16"/>
                <w:szCs w:val="16"/>
              </w:rPr>
            </w:pPr>
          </w:p>
        </w:tc>
      </w:tr>
      <w:tr w:rsidR="00557278" w:rsidRPr="00451503" w:rsidTr="00BE2DD3">
        <w:tc>
          <w:tcPr>
            <w:tcW w:w="981" w:type="pct"/>
            <w:vMerge/>
            <w:tcBorders>
              <w:bottom w:val="single" w:sz="4" w:space="0" w:color="auto"/>
            </w:tcBorders>
            <w:tcMar>
              <w:top w:w="72" w:type="dxa"/>
              <w:left w:w="144" w:type="dxa"/>
              <w:bottom w:w="72" w:type="dxa"/>
              <w:right w:w="144" w:type="dxa"/>
            </w:tcMar>
          </w:tcPr>
          <w:p w:rsidR="00557278" w:rsidRPr="00451503" w:rsidRDefault="00557278" w:rsidP="00BE2DD3">
            <w:pPr>
              <w:rPr>
                <w:sz w:val="16"/>
                <w:szCs w:val="16"/>
              </w:rPr>
            </w:pPr>
          </w:p>
        </w:tc>
        <w:tc>
          <w:tcPr>
            <w:tcW w:w="606" w:type="pct"/>
            <w:vMerge/>
            <w:tcBorders>
              <w:bottom w:val="single" w:sz="4" w:space="0" w:color="auto"/>
            </w:tcBorders>
          </w:tcPr>
          <w:p w:rsidR="00557278" w:rsidRPr="00451503" w:rsidRDefault="00557278" w:rsidP="00BE2DD3">
            <w:pPr>
              <w:pStyle w:val="ListParagraph"/>
              <w:numPr>
                <w:ilvl w:val="0"/>
                <w:numId w:val="8"/>
              </w:numPr>
              <w:rPr>
                <w:i/>
                <w:iCs/>
                <w:sz w:val="16"/>
                <w:szCs w:val="16"/>
                <w:lang w:val="fr-FR"/>
              </w:rPr>
            </w:pPr>
          </w:p>
        </w:tc>
        <w:tc>
          <w:tcPr>
            <w:tcW w:w="2020" w:type="pct"/>
            <w:gridSpan w:val="2"/>
            <w:vMerge/>
            <w:tcBorders>
              <w:bottom w:val="single" w:sz="4" w:space="0" w:color="auto"/>
            </w:tcBorders>
            <w:tcMar>
              <w:top w:w="72" w:type="dxa"/>
              <w:left w:w="144" w:type="dxa"/>
              <w:bottom w:w="72" w:type="dxa"/>
              <w:right w:w="144" w:type="dxa"/>
            </w:tcMar>
          </w:tcPr>
          <w:p w:rsidR="00557278" w:rsidRPr="00451503" w:rsidRDefault="00557278" w:rsidP="00BE2DD3">
            <w:pPr>
              <w:jc w:val="both"/>
              <w:rPr>
                <w:b/>
                <w:bCs/>
                <w:sz w:val="16"/>
                <w:szCs w:val="16"/>
              </w:rPr>
            </w:pPr>
          </w:p>
        </w:tc>
        <w:tc>
          <w:tcPr>
            <w:tcW w:w="751" w:type="pct"/>
            <w:gridSpan w:val="2"/>
            <w:vMerge/>
            <w:tcBorders>
              <w:bottom w:val="single" w:sz="4" w:space="0" w:color="auto"/>
            </w:tcBorders>
          </w:tcPr>
          <w:p w:rsidR="00557278" w:rsidRPr="00451503" w:rsidRDefault="00557278" w:rsidP="00BE2DD3">
            <w:pPr>
              <w:rPr>
                <w:i/>
                <w:iCs/>
                <w:sz w:val="16"/>
                <w:szCs w:val="16"/>
              </w:rPr>
            </w:pPr>
          </w:p>
        </w:tc>
        <w:tc>
          <w:tcPr>
            <w:tcW w:w="642" w:type="pct"/>
            <w:gridSpan w:val="2"/>
            <w:tcBorders>
              <w:bottom w:val="single" w:sz="4" w:space="0" w:color="auto"/>
            </w:tcBorders>
            <w:tcMar>
              <w:top w:w="15" w:type="dxa"/>
              <w:left w:w="108" w:type="dxa"/>
              <w:bottom w:w="0" w:type="dxa"/>
              <w:right w:w="108" w:type="dxa"/>
            </w:tcMar>
          </w:tcPr>
          <w:p w:rsidR="00557278" w:rsidRPr="00451503" w:rsidRDefault="00557278" w:rsidP="00BE2DD3">
            <w:pPr>
              <w:rPr>
                <w:b/>
                <w:sz w:val="16"/>
                <w:szCs w:val="16"/>
              </w:rPr>
            </w:pPr>
            <w:r w:rsidRPr="00451503">
              <w:rPr>
                <w:b/>
                <w:sz w:val="16"/>
                <w:szCs w:val="16"/>
              </w:rPr>
              <w:t>Other: 2</w:t>
            </w:r>
            <w:r w:rsidR="00B1449B">
              <w:rPr>
                <w:b/>
                <w:sz w:val="16"/>
                <w:szCs w:val="16"/>
              </w:rPr>
              <w:t>,</w:t>
            </w:r>
            <w:r w:rsidRPr="00451503">
              <w:rPr>
                <w:b/>
                <w:sz w:val="16"/>
                <w:szCs w:val="16"/>
              </w:rPr>
              <w:t>500</w:t>
            </w:r>
            <w:r w:rsidR="00B1449B">
              <w:rPr>
                <w:b/>
                <w:sz w:val="16"/>
                <w:szCs w:val="16"/>
              </w:rPr>
              <w:t>,</w:t>
            </w:r>
            <w:r w:rsidRPr="00451503">
              <w:rPr>
                <w:b/>
                <w:sz w:val="16"/>
                <w:szCs w:val="16"/>
              </w:rPr>
              <w:t>000</w:t>
            </w:r>
          </w:p>
        </w:tc>
      </w:tr>
      <w:tr w:rsidR="00557278" w:rsidRPr="00451503" w:rsidTr="00BE2DD3">
        <w:tc>
          <w:tcPr>
            <w:tcW w:w="5000" w:type="pct"/>
            <w:gridSpan w:val="8"/>
            <w:shd w:val="clear" w:color="auto" w:fill="auto"/>
            <w:tcMar>
              <w:top w:w="72" w:type="dxa"/>
              <w:left w:w="144" w:type="dxa"/>
              <w:bottom w:w="72" w:type="dxa"/>
              <w:right w:w="144" w:type="dxa"/>
            </w:tcMar>
          </w:tcPr>
          <w:p w:rsidR="00557278" w:rsidRPr="00451503" w:rsidRDefault="00557278" w:rsidP="00BE2DD3">
            <w:pPr>
              <w:rPr>
                <w:sz w:val="16"/>
                <w:szCs w:val="16"/>
              </w:rPr>
            </w:pPr>
            <w:r w:rsidRPr="00451503">
              <w:rPr>
                <w:b/>
                <w:bCs/>
                <w:sz w:val="16"/>
                <w:szCs w:val="16"/>
              </w:rPr>
              <w:t>NATIONAL PRIORITY OR GOAL: Pillar 3: Strengthening governance in all its dimensions</w:t>
            </w:r>
          </w:p>
        </w:tc>
      </w:tr>
      <w:tr w:rsidR="0035778D" w:rsidRPr="00622ADB" w:rsidTr="00BE2DD3">
        <w:tc>
          <w:tcPr>
            <w:tcW w:w="4241" w:type="pct"/>
            <w:gridSpan w:val="5"/>
            <w:shd w:val="clear" w:color="auto" w:fill="auto"/>
            <w:tcMar>
              <w:top w:w="72" w:type="dxa"/>
              <w:left w:w="144" w:type="dxa"/>
              <w:bottom w:w="72" w:type="dxa"/>
              <w:right w:w="144" w:type="dxa"/>
            </w:tcMar>
          </w:tcPr>
          <w:p w:rsidR="0035778D" w:rsidRPr="00622ADB" w:rsidRDefault="0035778D" w:rsidP="00BE2DD3">
            <w:pPr>
              <w:rPr>
                <w:sz w:val="16"/>
                <w:szCs w:val="16"/>
              </w:rPr>
            </w:pPr>
            <w:r w:rsidRPr="00622ADB">
              <w:rPr>
                <w:b/>
                <w:bCs/>
                <w:sz w:val="16"/>
                <w:szCs w:val="16"/>
              </w:rPr>
              <w:t>UNDAF (OR EQUIVALENT) OUTCOME INVOLVING UNDP #1:</w:t>
            </w:r>
            <w:r w:rsidRPr="00622ADB">
              <w:rPr>
                <w:sz w:val="16"/>
                <w:szCs w:val="16"/>
              </w:rPr>
              <w:t xml:space="preserve"> </w:t>
            </w:r>
            <w:r w:rsidRPr="001D4D7A">
              <w:rPr>
                <w:sz w:val="16"/>
                <w:szCs w:val="16"/>
              </w:rPr>
              <w:t>The democratic institutions work in a more transparent and participatory manner, the justice and prison system is more independent and effective, the democratic space is expanded (especially for civil society organizations and marginalized groups) to improve peaceful coexistence, social cohesion and security</w:t>
            </w:r>
            <w:r w:rsidRPr="00622ADB">
              <w:rPr>
                <w:sz w:val="16"/>
                <w:szCs w:val="16"/>
              </w:rPr>
              <w:t>.</w:t>
            </w:r>
          </w:p>
        </w:tc>
        <w:tc>
          <w:tcPr>
            <w:tcW w:w="759" w:type="pct"/>
            <w:gridSpan w:val="3"/>
            <w:shd w:val="clear" w:color="auto" w:fill="auto"/>
          </w:tcPr>
          <w:p w:rsidR="0035778D" w:rsidRPr="002C127A" w:rsidRDefault="0035778D" w:rsidP="00BE2DD3">
            <w:pPr>
              <w:rPr>
                <w:b/>
                <w:sz w:val="16"/>
                <w:szCs w:val="16"/>
              </w:rPr>
            </w:pPr>
            <w:r w:rsidRPr="002C127A">
              <w:rPr>
                <w:b/>
                <w:sz w:val="16"/>
                <w:szCs w:val="16"/>
              </w:rPr>
              <w:t>SDG: SDG</w:t>
            </w:r>
            <w:r w:rsidR="00284A21">
              <w:rPr>
                <w:b/>
                <w:sz w:val="16"/>
                <w:szCs w:val="16"/>
              </w:rPr>
              <w:t xml:space="preserve"> </w:t>
            </w:r>
            <w:r w:rsidRPr="002C127A">
              <w:rPr>
                <w:b/>
                <w:sz w:val="16"/>
                <w:szCs w:val="16"/>
              </w:rPr>
              <w:t>5, SDG</w:t>
            </w:r>
            <w:r w:rsidR="00284A21">
              <w:rPr>
                <w:b/>
                <w:sz w:val="16"/>
                <w:szCs w:val="16"/>
              </w:rPr>
              <w:t xml:space="preserve"> </w:t>
            </w:r>
            <w:r w:rsidRPr="002C127A">
              <w:rPr>
                <w:b/>
                <w:sz w:val="16"/>
                <w:szCs w:val="16"/>
              </w:rPr>
              <w:t>16</w:t>
            </w:r>
          </w:p>
        </w:tc>
      </w:tr>
      <w:tr w:rsidR="00557278" w:rsidRPr="00451503" w:rsidTr="00BE2DD3">
        <w:tc>
          <w:tcPr>
            <w:tcW w:w="5000" w:type="pct"/>
            <w:gridSpan w:val="8"/>
            <w:shd w:val="clear" w:color="auto" w:fill="auto"/>
            <w:tcMar>
              <w:top w:w="72" w:type="dxa"/>
              <w:left w:w="144" w:type="dxa"/>
              <w:bottom w:w="72" w:type="dxa"/>
              <w:right w:w="144" w:type="dxa"/>
            </w:tcMar>
          </w:tcPr>
          <w:p w:rsidR="00557278" w:rsidRPr="00451503" w:rsidRDefault="00557278" w:rsidP="00BE2DD3">
            <w:pPr>
              <w:rPr>
                <w:b/>
                <w:bCs/>
                <w:sz w:val="16"/>
                <w:szCs w:val="16"/>
              </w:rPr>
            </w:pPr>
            <w:r w:rsidRPr="00451503">
              <w:rPr>
                <w:b/>
                <w:bCs/>
                <w:sz w:val="16"/>
                <w:szCs w:val="16"/>
              </w:rPr>
              <w:t xml:space="preserve">RELATED STRATEGIC PLAN OUTCOME: Outcome 2:  </w:t>
            </w:r>
            <w:r w:rsidRPr="00451503">
              <w:rPr>
                <w:sz w:val="16"/>
                <w:szCs w:val="16"/>
              </w:rPr>
              <w:t>Citizen expectations for voice, development, the rule of law and accountability are met by stronger systems of democratic governance</w:t>
            </w:r>
          </w:p>
        </w:tc>
      </w:tr>
      <w:tr w:rsidR="00557278" w:rsidRPr="00451503" w:rsidTr="00BE2DD3">
        <w:tc>
          <w:tcPr>
            <w:tcW w:w="981" w:type="pct"/>
            <w:vMerge w:val="restart"/>
            <w:tcMar>
              <w:top w:w="72" w:type="dxa"/>
              <w:left w:w="144" w:type="dxa"/>
              <w:bottom w:w="72" w:type="dxa"/>
              <w:right w:w="144" w:type="dxa"/>
            </w:tcMar>
          </w:tcPr>
          <w:p w:rsidR="00557278" w:rsidRPr="00451503" w:rsidRDefault="00C56C0D" w:rsidP="00BE2DD3">
            <w:pPr>
              <w:rPr>
                <w:sz w:val="16"/>
                <w:szCs w:val="16"/>
              </w:rPr>
            </w:pPr>
            <w:r w:rsidRPr="00CE1E08">
              <w:rPr>
                <w:b/>
                <w:sz w:val="16"/>
                <w:szCs w:val="16"/>
              </w:rPr>
              <w:t>2.</w:t>
            </w:r>
            <w:r w:rsidR="008F5341">
              <w:rPr>
                <w:b/>
                <w:sz w:val="16"/>
                <w:szCs w:val="16"/>
              </w:rPr>
              <w:t>1</w:t>
            </w:r>
            <w:r w:rsidR="00B1449B">
              <w:rPr>
                <w:sz w:val="16"/>
                <w:szCs w:val="16"/>
              </w:rPr>
              <w:t xml:space="preserve"> </w:t>
            </w:r>
            <w:r w:rsidR="005507EA" w:rsidRPr="00B1449B">
              <w:rPr>
                <w:sz w:val="16"/>
                <w:szCs w:val="16"/>
              </w:rPr>
              <w:t>Percentage of women in national parliaments</w:t>
            </w:r>
            <w:r w:rsidR="005507EA" w:rsidRPr="005507EA">
              <w:rPr>
                <w:sz w:val="16"/>
                <w:szCs w:val="16"/>
                <w:u w:val="single"/>
              </w:rPr>
              <w:t xml:space="preserve"> </w:t>
            </w:r>
          </w:p>
          <w:p w:rsidR="00557278" w:rsidRPr="00451503" w:rsidRDefault="00557278" w:rsidP="00BE2DD3">
            <w:pPr>
              <w:rPr>
                <w:sz w:val="16"/>
                <w:szCs w:val="16"/>
              </w:rPr>
            </w:pPr>
            <w:r w:rsidRPr="00451503">
              <w:rPr>
                <w:sz w:val="16"/>
                <w:szCs w:val="16"/>
              </w:rPr>
              <w:t>Baseline: 21% (2016)</w:t>
            </w:r>
          </w:p>
          <w:p w:rsidR="00557278" w:rsidRPr="00451503" w:rsidRDefault="009024EA" w:rsidP="00BE2DD3">
            <w:pPr>
              <w:rPr>
                <w:sz w:val="16"/>
                <w:szCs w:val="16"/>
              </w:rPr>
            </w:pPr>
            <w:r>
              <w:rPr>
                <w:sz w:val="16"/>
                <w:szCs w:val="16"/>
              </w:rPr>
              <w:t>Target</w:t>
            </w:r>
            <w:r w:rsidR="00557278" w:rsidRPr="00451503">
              <w:rPr>
                <w:sz w:val="16"/>
                <w:szCs w:val="16"/>
              </w:rPr>
              <w:t>: 33% (2021)</w:t>
            </w:r>
          </w:p>
          <w:p w:rsidR="005642D4" w:rsidRPr="00451503" w:rsidRDefault="005642D4" w:rsidP="00BE2DD3">
            <w:pPr>
              <w:rPr>
                <w:sz w:val="16"/>
                <w:szCs w:val="16"/>
              </w:rPr>
            </w:pPr>
          </w:p>
          <w:p w:rsidR="00557278" w:rsidRPr="00451503" w:rsidRDefault="00C56C0D" w:rsidP="00BE2DD3">
            <w:pPr>
              <w:rPr>
                <w:sz w:val="16"/>
                <w:szCs w:val="16"/>
              </w:rPr>
            </w:pPr>
            <w:r w:rsidRPr="00CE1E08">
              <w:rPr>
                <w:b/>
                <w:sz w:val="16"/>
                <w:szCs w:val="16"/>
              </w:rPr>
              <w:t>2.</w:t>
            </w:r>
            <w:r w:rsidR="008F5341">
              <w:rPr>
                <w:b/>
                <w:sz w:val="16"/>
                <w:szCs w:val="16"/>
              </w:rPr>
              <w:t>2</w:t>
            </w:r>
            <w:r>
              <w:rPr>
                <w:sz w:val="16"/>
                <w:szCs w:val="16"/>
              </w:rPr>
              <w:t xml:space="preserve"> </w:t>
            </w:r>
            <w:r w:rsidR="00557278" w:rsidRPr="00451503">
              <w:rPr>
                <w:sz w:val="16"/>
                <w:szCs w:val="16"/>
              </w:rPr>
              <w:t>Index of corruption perception:</w:t>
            </w:r>
          </w:p>
          <w:p w:rsidR="00557278" w:rsidRPr="00451503" w:rsidRDefault="00557278" w:rsidP="00BE2DD3">
            <w:pPr>
              <w:rPr>
                <w:sz w:val="16"/>
                <w:szCs w:val="16"/>
              </w:rPr>
            </w:pPr>
            <w:r w:rsidRPr="00451503">
              <w:rPr>
                <w:sz w:val="16"/>
                <w:szCs w:val="16"/>
              </w:rPr>
              <w:t>Baseline: 29 points (2016)</w:t>
            </w:r>
          </w:p>
          <w:p w:rsidR="00EC0056" w:rsidRDefault="00557278" w:rsidP="00BE2DD3">
            <w:pPr>
              <w:rPr>
                <w:sz w:val="16"/>
                <w:szCs w:val="16"/>
              </w:rPr>
            </w:pPr>
            <w:r w:rsidRPr="00451503">
              <w:rPr>
                <w:sz w:val="16"/>
                <w:szCs w:val="16"/>
              </w:rPr>
              <w:t>Target: 39 points</w:t>
            </w:r>
          </w:p>
          <w:p w:rsidR="00913F0A" w:rsidRPr="00451503" w:rsidRDefault="00913F0A" w:rsidP="00BE2DD3">
            <w:pPr>
              <w:rPr>
                <w:sz w:val="16"/>
                <w:szCs w:val="16"/>
              </w:rPr>
            </w:pPr>
          </w:p>
          <w:p w:rsidR="00EC0056" w:rsidRPr="00451503" w:rsidRDefault="00EC0056" w:rsidP="00BE2DD3">
            <w:pPr>
              <w:rPr>
                <w:sz w:val="16"/>
                <w:szCs w:val="16"/>
              </w:rPr>
            </w:pPr>
          </w:p>
          <w:p w:rsidR="00557278" w:rsidRPr="00451503" w:rsidRDefault="00C56C0D" w:rsidP="00BE2DD3">
            <w:pPr>
              <w:rPr>
                <w:sz w:val="16"/>
                <w:szCs w:val="16"/>
              </w:rPr>
            </w:pPr>
            <w:r w:rsidRPr="00CE1E08">
              <w:rPr>
                <w:b/>
                <w:sz w:val="16"/>
                <w:szCs w:val="16"/>
              </w:rPr>
              <w:t>2.</w:t>
            </w:r>
            <w:r w:rsidR="008F5341">
              <w:rPr>
                <w:b/>
                <w:sz w:val="16"/>
                <w:szCs w:val="16"/>
              </w:rPr>
              <w:t>3</w:t>
            </w:r>
            <w:r>
              <w:rPr>
                <w:sz w:val="16"/>
                <w:szCs w:val="16"/>
              </w:rPr>
              <w:t xml:space="preserve"> </w:t>
            </w:r>
            <w:r w:rsidR="00557278" w:rsidRPr="00451503">
              <w:rPr>
                <w:sz w:val="16"/>
                <w:szCs w:val="16"/>
              </w:rPr>
              <w:t>Perception of terrorism as a crime by young people and women</w:t>
            </w:r>
          </w:p>
          <w:p w:rsidR="00557278" w:rsidRPr="00451503" w:rsidRDefault="00CF2C68" w:rsidP="00BE2DD3">
            <w:pPr>
              <w:rPr>
                <w:sz w:val="16"/>
                <w:szCs w:val="16"/>
              </w:rPr>
            </w:pPr>
            <w:r>
              <w:rPr>
                <w:sz w:val="16"/>
                <w:szCs w:val="16"/>
              </w:rPr>
              <w:t>Y</w:t>
            </w:r>
            <w:r w:rsidR="00557278" w:rsidRPr="00451503">
              <w:rPr>
                <w:sz w:val="16"/>
                <w:szCs w:val="16"/>
              </w:rPr>
              <w:t>oung people:</w:t>
            </w:r>
            <w:r>
              <w:rPr>
                <w:sz w:val="16"/>
                <w:szCs w:val="16"/>
              </w:rPr>
              <w:t xml:space="preserve"> </w:t>
            </w:r>
            <w:r w:rsidR="00557278" w:rsidRPr="00451503">
              <w:rPr>
                <w:sz w:val="16"/>
                <w:szCs w:val="16"/>
              </w:rPr>
              <w:t>Baseline: 50%  Target: 70%</w:t>
            </w:r>
          </w:p>
          <w:p w:rsidR="00115EE8" w:rsidRDefault="00CF2C68" w:rsidP="00BE2DD3">
            <w:pPr>
              <w:rPr>
                <w:sz w:val="16"/>
                <w:szCs w:val="16"/>
              </w:rPr>
            </w:pPr>
            <w:r>
              <w:rPr>
                <w:sz w:val="16"/>
                <w:szCs w:val="16"/>
              </w:rPr>
              <w:t>W</w:t>
            </w:r>
            <w:r w:rsidR="00557278" w:rsidRPr="00451503">
              <w:rPr>
                <w:sz w:val="16"/>
                <w:szCs w:val="16"/>
              </w:rPr>
              <w:t xml:space="preserve">omen: Baseline: 48.5%  </w:t>
            </w:r>
          </w:p>
          <w:p w:rsidR="00557278" w:rsidRPr="00451503" w:rsidRDefault="00557278" w:rsidP="00BE2DD3">
            <w:pPr>
              <w:rPr>
                <w:sz w:val="16"/>
                <w:szCs w:val="16"/>
              </w:rPr>
            </w:pPr>
            <w:r w:rsidRPr="00451503">
              <w:rPr>
                <w:sz w:val="16"/>
                <w:szCs w:val="16"/>
              </w:rPr>
              <w:t>Target: 70%</w:t>
            </w:r>
          </w:p>
          <w:p w:rsidR="00557278" w:rsidRPr="00451503" w:rsidRDefault="00557278" w:rsidP="00BE2DD3">
            <w:pPr>
              <w:rPr>
                <w:sz w:val="16"/>
                <w:szCs w:val="16"/>
              </w:rPr>
            </w:pPr>
          </w:p>
          <w:p w:rsidR="00557278" w:rsidRPr="00451503" w:rsidRDefault="00C56C0D" w:rsidP="00BE2DD3">
            <w:pPr>
              <w:rPr>
                <w:sz w:val="16"/>
                <w:szCs w:val="16"/>
              </w:rPr>
            </w:pPr>
            <w:r w:rsidRPr="00CE1E08">
              <w:rPr>
                <w:b/>
                <w:sz w:val="16"/>
                <w:szCs w:val="16"/>
              </w:rPr>
              <w:t>2.</w:t>
            </w:r>
            <w:r w:rsidR="008F5341">
              <w:rPr>
                <w:b/>
                <w:sz w:val="16"/>
                <w:szCs w:val="16"/>
              </w:rPr>
              <w:t>4</w:t>
            </w:r>
            <w:r>
              <w:rPr>
                <w:sz w:val="16"/>
                <w:szCs w:val="16"/>
              </w:rPr>
              <w:t xml:space="preserve"> </w:t>
            </w:r>
            <w:r w:rsidR="00557278" w:rsidRPr="00451503">
              <w:rPr>
                <w:sz w:val="16"/>
                <w:szCs w:val="16"/>
              </w:rPr>
              <w:t>Extent to which there is open access to data on government budgets, expenditures, and public procurement [IRRF 2.1]</w:t>
            </w:r>
          </w:p>
          <w:p w:rsidR="00557278" w:rsidRPr="0053395F" w:rsidRDefault="00557278" w:rsidP="00BE2DD3">
            <w:pPr>
              <w:rPr>
                <w:sz w:val="16"/>
                <w:szCs w:val="16"/>
              </w:rPr>
            </w:pPr>
            <w:r w:rsidRPr="0053395F">
              <w:rPr>
                <w:sz w:val="16"/>
                <w:szCs w:val="16"/>
              </w:rPr>
              <w:t xml:space="preserve">Baseline: Partially </w:t>
            </w:r>
          </w:p>
          <w:p w:rsidR="00557278" w:rsidRPr="0053395F" w:rsidRDefault="00557278" w:rsidP="00BE2DD3">
            <w:pPr>
              <w:rPr>
                <w:sz w:val="16"/>
                <w:szCs w:val="16"/>
              </w:rPr>
            </w:pPr>
            <w:r w:rsidRPr="0053395F">
              <w:rPr>
                <w:sz w:val="16"/>
                <w:szCs w:val="16"/>
              </w:rPr>
              <w:t xml:space="preserve">Target: Fully </w:t>
            </w:r>
          </w:p>
          <w:p w:rsidR="002E109D" w:rsidRPr="0053395F" w:rsidRDefault="002E109D" w:rsidP="00BE2DD3">
            <w:pPr>
              <w:rPr>
                <w:sz w:val="16"/>
                <w:szCs w:val="16"/>
              </w:rPr>
            </w:pPr>
          </w:p>
          <w:p w:rsidR="002E109D" w:rsidRPr="00913F0A" w:rsidRDefault="002E109D" w:rsidP="00BE2DD3">
            <w:pPr>
              <w:rPr>
                <w:bCs/>
                <w:sz w:val="16"/>
                <w:szCs w:val="16"/>
                <w:lang w:val="en-GB"/>
              </w:rPr>
            </w:pPr>
            <w:r w:rsidRPr="00913F0A">
              <w:rPr>
                <w:b/>
                <w:bCs/>
                <w:sz w:val="16"/>
                <w:szCs w:val="16"/>
                <w:lang w:val="en-GB"/>
              </w:rPr>
              <w:t>2.</w:t>
            </w:r>
            <w:r w:rsidR="00913F0A" w:rsidRPr="00913F0A">
              <w:rPr>
                <w:b/>
                <w:bCs/>
                <w:sz w:val="16"/>
                <w:szCs w:val="16"/>
                <w:lang w:val="en-GB"/>
              </w:rPr>
              <w:t>5</w:t>
            </w:r>
            <w:r w:rsidRPr="00913F0A">
              <w:rPr>
                <w:bCs/>
                <w:sz w:val="16"/>
                <w:szCs w:val="16"/>
                <w:lang w:val="en-GB"/>
              </w:rPr>
              <w:t xml:space="preserve">  </w:t>
            </w:r>
            <w:r w:rsidR="00CE1E08" w:rsidRPr="00913F0A">
              <w:rPr>
                <w:bCs/>
                <w:sz w:val="16"/>
                <w:szCs w:val="16"/>
                <w:lang w:val="en-GB"/>
              </w:rPr>
              <w:t xml:space="preserve">Percentage of state expenditures allocated to regional and local levels </w:t>
            </w:r>
          </w:p>
          <w:p w:rsidR="002E109D" w:rsidRPr="00913F0A" w:rsidRDefault="00CE1E08" w:rsidP="00BE2DD3">
            <w:pPr>
              <w:rPr>
                <w:bCs/>
                <w:sz w:val="16"/>
                <w:szCs w:val="16"/>
                <w:lang w:val="en-GB"/>
              </w:rPr>
            </w:pPr>
            <w:r w:rsidRPr="00913F0A">
              <w:rPr>
                <w:bCs/>
                <w:sz w:val="16"/>
                <w:szCs w:val="16"/>
                <w:lang w:val="en-GB"/>
              </w:rPr>
              <w:t xml:space="preserve">Baseline: </w:t>
            </w:r>
            <w:r w:rsidR="002E109D" w:rsidRPr="00913F0A">
              <w:rPr>
                <w:bCs/>
                <w:sz w:val="16"/>
                <w:szCs w:val="16"/>
                <w:lang w:val="en-GB"/>
              </w:rPr>
              <w:t>8.8% (2015)</w:t>
            </w:r>
          </w:p>
          <w:p w:rsidR="002E109D" w:rsidRPr="00451503" w:rsidRDefault="00CE1E08" w:rsidP="00BE2DD3">
            <w:pPr>
              <w:rPr>
                <w:bCs/>
                <w:i/>
                <w:sz w:val="16"/>
                <w:szCs w:val="16"/>
                <w:lang w:val="en-GB"/>
              </w:rPr>
            </w:pPr>
            <w:r w:rsidRPr="00913F0A">
              <w:rPr>
                <w:bCs/>
                <w:sz w:val="16"/>
                <w:szCs w:val="16"/>
                <w:lang w:val="en-GB"/>
              </w:rPr>
              <w:t>Target</w:t>
            </w:r>
            <w:r w:rsidR="002E109D" w:rsidRPr="00913F0A">
              <w:rPr>
                <w:bCs/>
                <w:sz w:val="16"/>
                <w:szCs w:val="16"/>
                <w:lang w:val="en-GB"/>
              </w:rPr>
              <w:t>: 15%</w:t>
            </w:r>
          </w:p>
        </w:tc>
        <w:tc>
          <w:tcPr>
            <w:tcW w:w="616" w:type="pct"/>
            <w:gridSpan w:val="2"/>
            <w:vMerge w:val="restart"/>
          </w:tcPr>
          <w:p w:rsidR="00913F0A" w:rsidRPr="00913F0A" w:rsidRDefault="00913F0A" w:rsidP="00BE2DD3">
            <w:pPr>
              <w:rPr>
                <w:iCs/>
                <w:sz w:val="16"/>
                <w:szCs w:val="16"/>
                <w:lang w:val="en-GB"/>
              </w:rPr>
            </w:pPr>
            <w:r w:rsidRPr="00C942E7">
              <w:rPr>
                <w:iCs/>
                <w:sz w:val="16"/>
                <w:szCs w:val="16"/>
                <w:lang w:val="en-GB"/>
              </w:rPr>
              <w:t>Data source:</w:t>
            </w:r>
            <w:r>
              <w:rPr>
                <w:iCs/>
                <w:sz w:val="16"/>
                <w:szCs w:val="16"/>
                <w:lang w:val="en-GB"/>
              </w:rPr>
              <w:t xml:space="preserve"> National </w:t>
            </w:r>
            <w:r w:rsidRPr="00913F0A">
              <w:rPr>
                <w:iCs/>
                <w:sz w:val="16"/>
                <w:szCs w:val="16"/>
                <w:lang w:val="en-GB"/>
              </w:rPr>
              <w:t>Assembly</w:t>
            </w:r>
            <w:r w:rsidR="003468FC">
              <w:rPr>
                <w:iCs/>
                <w:sz w:val="16"/>
                <w:szCs w:val="16"/>
                <w:lang w:val="en-GB"/>
              </w:rPr>
              <w:t xml:space="preserve"> Activity Report</w:t>
            </w:r>
          </w:p>
          <w:p w:rsidR="00557278" w:rsidRPr="00451503" w:rsidRDefault="00913F0A" w:rsidP="00BE2DD3">
            <w:pPr>
              <w:rPr>
                <w:iCs/>
                <w:sz w:val="16"/>
                <w:szCs w:val="16"/>
              </w:rPr>
            </w:pPr>
            <w:r w:rsidRPr="00913F0A">
              <w:rPr>
                <w:iCs/>
                <w:sz w:val="16"/>
                <w:szCs w:val="16"/>
                <w:lang w:val="en-GB"/>
              </w:rPr>
              <w:t>Frequency:</w:t>
            </w:r>
            <w:r w:rsidRPr="00913F0A">
              <w:rPr>
                <w:iCs/>
                <w:sz w:val="16"/>
                <w:szCs w:val="16"/>
              </w:rPr>
              <w:t xml:space="preserve"> </w:t>
            </w:r>
            <w:r w:rsidR="003468FC">
              <w:rPr>
                <w:iCs/>
                <w:sz w:val="16"/>
                <w:szCs w:val="16"/>
              </w:rPr>
              <w:t>Annual</w:t>
            </w:r>
          </w:p>
          <w:p w:rsidR="00557278" w:rsidRPr="00451503" w:rsidRDefault="00557278" w:rsidP="00BE2DD3">
            <w:pPr>
              <w:rPr>
                <w:iCs/>
                <w:sz w:val="16"/>
                <w:szCs w:val="16"/>
              </w:rPr>
            </w:pPr>
          </w:p>
          <w:p w:rsidR="00913F0A" w:rsidRPr="00451503" w:rsidRDefault="00913F0A" w:rsidP="00BE2DD3">
            <w:pPr>
              <w:rPr>
                <w:iCs/>
                <w:sz w:val="16"/>
                <w:szCs w:val="16"/>
                <w:lang w:val="en-GB"/>
              </w:rPr>
            </w:pPr>
            <w:r w:rsidRPr="00451503">
              <w:rPr>
                <w:iCs/>
                <w:sz w:val="16"/>
                <w:szCs w:val="16"/>
                <w:lang w:val="en-GB"/>
              </w:rPr>
              <w:t xml:space="preserve">Date Source: Transparency International </w:t>
            </w:r>
            <w:r w:rsidR="003468FC">
              <w:rPr>
                <w:iCs/>
                <w:sz w:val="16"/>
                <w:szCs w:val="16"/>
                <w:lang w:val="en-GB"/>
              </w:rPr>
              <w:t>Report</w:t>
            </w:r>
          </w:p>
          <w:p w:rsidR="00913F0A" w:rsidRPr="00451503" w:rsidRDefault="00913F0A" w:rsidP="00BE2DD3">
            <w:pPr>
              <w:rPr>
                <w:iCs/>
                <w:sz w:val="16"/>
                <w:szCs w:val="16"/>
                <w:lang w:val="en-GB"/>
              </w:rPr>
            </w:pPr>
            <w:r w:rsidRPr="00451503">
              <w:rPr>
                <w:iCs/>
                <w:sz w:val="16"/>
                <w:szCs w:val="16"/>
                <w:lang w:val="en-GB"/>
              </w:rPr>
              <w:t>Frequency:</w:t>
            </w:r>
            <w:r>
              <w:rPr>
                <w:iCs/>
                <w:sz w:val="16"/>
                <w:szCs w:val="16"/>
                <w:lang w:val="en-GB"/>
              </w:rPr>
              <w:t xml:space="preserve"> </w:t>
            </w:r>
            <w:r w:rsidR="003468FC">
              <w:rPr>
                <w:iCs/>
                <w:sz w:val="16"/>
                <w:szCs w:val="16"/>
                <w:lang w:val="en-GB"/>
              </w:rPr>
              <w:t>A</w:t>
            </w:r>
            <w:r w:rsidRPr="00451503">
              <w:rPr>
                <w:iCs/>
                <w:sz w:val="16"/>
                <w:szCs w:val="16"/>
                <w:lang w:val="en-GB"/>
              </w:rPr>
              <w:t xml:space="preserve">nnual </w:t>
            </w:r>
          </w:p>
          <w:p w:rsidR="00913F0A" w:rsidRDefault="00913F0A" w:rsidP="00BE2DD3">
            <w:pPr>
              <w:rPr>
                <w:iCs/>
                <w:sz w:val="16"/>
                <w:szCs w:val="16"/>
                <w:lang w:val="en-GB"/>
              </w:rPr>
            </w:pPr>
          </w:p>
          <w:p w:rsidR="00913F0A" w:rsidRPr="00913F0A" w:rsidRDefault="00913F0A" w:rsidP="00BE2DD3">
            <w:pPr>
              <w:rPr>
                <w:iCs/>
                <w:sz w:val="16"/>
                <w:szCs w:val="16"/>
                <w:lang w:val="en-GB"/>
              </w:rPr>
            </w:pPr>
            <w:r w:rsidRPr="00451503">
              <w:rPr>
                <w:iCs/>
                <w:sz w:val="16"/>
                <w:szCs w:val="16"/>
                <w:lang w:val="en-GB"/>
              </w:rPr>
              <w:t xml:space="preserve">Data source: </w:t>
            </w:r>
            <w:r w:rsidR="003468FC" w:rsidRPr="003468FC">
              <w:rPr>
                <w:iCs/>
                <w:sz w:val="16"/>
                <w:szCs w:val="16"/>
                <w:lang w:val="en-GB"/>
              </w:rPr>
              <w:t>Study on the socioeconomic determinants of terrorism in Mauritania</w:t>
            </w:r>
          </w:p>
          <w:p w:rsidR="00913F0A" w:rsidRPr="00913F0A" w:rsidRDefault="00913F0A" w:rsidP="00BE2DD3">
            <w:pPr>
              <w:rPr>
                <w:iCs/>
                <w:sz w:val="16"/>
                <w:szCs w:val="16"/>
                <w:lang w:val="en-GB"/>
              </w:rPr>
            </w:pPr>
            <w:r w:rsidRPr="00913F0A">
              <w:rPr>
                <w:iCs/>
                <w:sz w:val="16"/>
                <w:szCs w:val="16"/>
                <w:lang w:val="en-GB"/>
              </w:rPr>
              <w:t>Frequency: quadrennial</w:t>
            </w:r>
          </w:p>
          <w:p w:rsidR="00913F0A" w:rsidRPr="00913F0A" w:rsidRDefault="00913F0A" w:rsidP="00BE2DD3">
            <w:pPr>
              <w:rPr>
                <w:iCs/>
                <w:sz w:val="16"/>
                <w:szCs w:val="16"/>
                <w:lang w:val="en-GB"/>
              </w:rPr>
            </w:pPr>
          </w:p>
          <w:p w:rsidR="00913F0A" w:rsidRPr="00913F0A" w:rsidRDefault="00913F0A" w:rsidP="00BE2DD3">
            <w:pPr>
              <w:rPr>
                <w:iCs/>
                <w:sz w:val="16"/>
                <w:szCs w:val="16"/>
                <w:lang w:val="en-GB"/>
              </w:rPr>
            </w:pPr>
          </w:p>
          <w:p w:rsidR="00913F0A" w:rsidRPr="00913F0A" w:rsidRDefault="003468FC" w:rsidP="00BE2DD3">
            <w:pPr>
              <w:rPr>
                <w:iCs/>
                <w:sz w:val="16"/>
                <w:szCs w:val="16"/>
                <w:lang w:val="en-GB"/>
              </w:rPr>
            </w:pPr>
            <w:r>
              <w:rPr>
                <w:iCs/>
                <w:sz w:val="16"/>
                <w:szCs w:val="16"/>
                <w:lang w:val="en-GB"/>
              </w:rPr>
              <w:t>Data source: PEFA report</w:t>
            </w:r>
            <w:r w:rsidR="00913F0A" w:rsidRPr="00913F0A">
              <w:rPr>
                <w:iCs/>
                <w:sz w:val="16"/>
                <w:szCs w:val="16"/>
                <w:lang w:val="en-GB"/>
              </w:rPr>
              <w:t xml:space="preserve"> </w:t>
            </w:r>
          </w:p>
          <w:p w:rsidR="00913F0A" w:rsidRPr="00913F0A" w:rsidRDefault="003468FC" w:rsidP="00BE2DD3">
            <w:pPr>
              <w:rPr>
                <w:iCs/>
                <w:sz w:val="16"/>
                <w:szCs w:val="16"/>
                <w:lang w:val="en-GB"/>
              </w:rPr>
            </w:pPr>
            <w:r>
              <w:rPr>
                <w:iCs/>
                <w:sz w:val="16"/>
                <w:szCs w:val="16"/>
                <w:lang w:val="en-GB"/>
              </w:rPr>
              <w:t>Frequency: Q</w:t>
            </w:r>
            <w:r w:rsidR="00913F0A" w:rsidRPr="00913F0A">
              <w:rPr>
                <w:iCs/>
                <w:sz w:val="16"/>
                <w:szCs w:val="16"/>
                <w:lang w:val="en-GB"/>
              </w:rPr>
              <w:t>uadrennial</w:t>
            </w:r>
          </w:p>
          <w:p w:rsidR="00913F0A" w:rsidRPr="00913F0A" w:rsidRDefault="00913F0A" w:rsidP="00BE2DD3">
            <w:pPr>
              <w:rPr>
                <w:iCs/>
                <w:sz w:val="16"/>
                <w:szCs w:val="16"/>
                <w:lang w:val="en-GB"/>
              </w:rPr>
            </w:pPr>
          </w:p>
          <w:p w:rsidR="00913F0A" w:rsidRPr="00913F0A" w:rsidRDefault="00913F0A" w:rsidP="00BE2DD3">
            <w:pPr>
              <w:rPr>
                <w:iCs/>
                <w:sz w:val="16"/>
                <w:szCs w:val="16"/>
                <w:lang w:val="en-GB"/>
              </w:rPr>
            </w:pPr>
          </w:p>
          <w:p w:rsidR="007D508B" w:rsidRPr="00913F0A" w:rsidRDefault="007D508B" w:rsidP="00BE2DD3">
            <w:pPr>
              <w:rPr>
                <w:iCs/>
                <w:sz w:val="16"/>
                <w:szCs w:val="16"/>
                <w:lang w:val="en-GB"/>
              </w:rPr>
            </w:pPr>
          </w:p>
          <w:p w:rsidR="007D508B" w:rsidRPr="00913F0A" w:rsidRDefault="007D508B" w:rsidP="00BE2DD3">
            <w:pPr>
              <w:rPr>
                <w:iCs/>
                <w:sz w:val="16"/>
                <w:szCs w:val="16"/>
                <w:lang w:val="en-GB"/>
              </w:rPr>
            </w:pPr>
          </w:p>
          <w:p w:rsidR="007D508B" w:rsidRPr="00913F0A" w:rsidRDefault="007D508B" w:rsidP="00BE2DD3">
            <w:pPr>
              <w:rPr>
                <w:iCs/>
                <w:sz w:val="16"/>
                <w:szCs w:val="16"/>
                <w:lang w:val="en-GB"/>
              </w:rPr>
            </w:pPr>
          </w:p>
          <w:p w:rsidR="007D508B" w:rsidRPr="00913F0A" w:rsidRDefault="007D508B" w:rsidP="00BE2DD3">
            <w:pPr>
              <w:rPr>
                <w:iCs/>
                <w:sz w:val="16"/>
                <w:szCs w:val="16"/>
                <w:lang w:val="en-GB"/>
              </w:rPr>
            </w:pPr>
            <w:r w:rsidRPr="00913F0A">
              <w:rPr>
                <w:iCs/>
                <w:sz w:val="16"/>
                <w:szCs w:val="16"/>
                <w:lang w:val="en-GB"/>
              </w:rPr>
              <w:t xml:space="preserve">Data Source: </w:t>
            </w:r>
            <w:r w:rsidR="003468FC">
              <w:rPr>
                <w:iCs/>
                <w:sz w:val="16"/>
                <w:szCs w:val="16"/>
                <w:lang w:val="en-GB"/>
              </w:rPr>
              <w:t>Systematic Country D</w:t>
            </w:r>
            <w:r w:rsidR="001511FD">
              <w:rPr>
                <w:iCs/>
                <w:sz w:val="16"/>
                <w:szCs w:val="16"/>
                <w:lang w:val="en-GB"/>
              </w:rPr>
              <w:t>iagnostic</w:t>
            </w:r>
          </w:p>
          <w:p w:rsidR="007D508B" w:rsidRPr="00451503" w:rsidRDefault="003468FC" w:rsidP="00BE2DD3">
            <w:pPr>
              <w:rPr>
                <w:b/>
                <w:bCs/>
                <w:sz w:val="16"/>
                <w:szCs w:val="16"/>
                <w:lang w:val="en-GB"/>
              </w:rPr>
            </w:pPr>
            <w:r>
              <w:rPr>
                <w:iCs/>
                <w:sz w:val="16"/>
                <w:szCs w:val="16"/>
                <w:lang w:val="en-GB"/>
              </w:rPr>
              <w:t>Frequency: A</w:t>
            </w:r>
            <w:r w:rsidR="007D508B" w:rsidRPr="00913F0A">
              <w:rPr>
                <w:iCs/>
                <w:sz w:val="16"/>
                <w:szCs w:val="16"/>
                <w:lang w:val="en-GB"/>
              </w:rPr>
              <w:t>nnual</w:t>
            </w:r>
          </w:p>
        </w:tc>
        <w:tc>
          <w:tcPr>
            <w:tcW w:w="2010" w:type="pct"/>
            <w:vMerge w:val="restart"/>
            <w:tcMar>
              <w:top w:w="72" w:type="dxa"/>
              <w:left w:w="144" w:type="dxa"/>
              <w:bottom w:w="72" w:type="dxa"/>
              <w:right w:w="144" w:type="dxa"/>
            </w:tcMar>
          </w:tcPr>
          <w:p w:rsidR="00557278" w:rsidRPr="00451503" w:rsidRDefault="00557278" w:rsidP="00BE2DD3">
            <w:pPr>
              <w:rPr>
                <w:sz w:val="16"/>
                <w:szCs w:val="16"/>
              </w:rPr>
            </w:pPr>
            <w:r w:rsidRPr="00451503">
              <w:rPr>
                <w:b/>
                <w:bCs/>
                <w:sz w:val="16"/>
                <w:szCs w:val="16"/>
              </w:rPr>
              <w:t>Output 2.1</w:t>
            </w:r>
            <w:r w:rsidRPr="00451503">
              <w:rPr>
                <w:sz w:val="16"/>
                <w:szCs w:val="16"/>
              </w:rPr>
              <w:t xml:space="preserve">: The justice actors have the technical and organizational capacities for law enforcement </w:t>
            </w:r>
            <w:r w:rsidRPr="00451503" w:rsidDel="00C1094B">
              <w:rPr>
                <w:sz w:val="16"/>
                <w:szCs w:val="16"/>
              </w:rPr>
              <w:t xml:space="preserve"> </w:t>
            </w:r>
          </w:p>
          <w:p w:rsidR="000D7ED4" w:rsidRPr="00451503" w:rsidRDefault="00227867" w:rsidP="00BE2DD3">
            <w:pPr>
              <w:rPr>
                <w:sz w:val="16"/>
                <w:szCs w:val="16"/>
              </w:rPr>
            </w:pPr>
            <w:r w:rsidRPr="00C74835">
              <w:rPr>
                <w:b/>
                <w:sz w:val="16"/>
                <w:szCs w:val="16"/>
              </w:rPr>
              <w:t>Indicator 2.1.1:</w:t>
            </w:r>
            <w:r w:rsidRPr="00451503">
              <w:rPr>
                <w:sz w:val="16"/>
                <w:szCs w:val="16"/>
              </w:rPr>
              <w:t xml:space="preserve"> </w:t>
            </w:r>
            <w:r w:rsidR="00522976" w:rsidRPr="00451503">
              <w:rPr>
                <w:sz w:val="16"/>
                <w:szCs w:val="16"/>
              </w:rPr>
              <w:t xml:space="preserve">Number </w:t>
            </w:r>
            <w:r w:rsidR="000D7ED4" w:rsidRPr="00451503">
              <w:rPr>
                <w:sz w:val="16"/>
                <w:szCs w:val="16"/>
              </w:rPr>
              <w:t xml:space="preserve">courts </w:t>
            </w:r>
            <w:r w:rsidR="00522976" w:rsidRPr="00451503">
              <w:rPr>
                <w:sz w:val="16"/>
                <w:szCs w:val="16"/>
              </w:rPr>
              <w:t xml:space="preserve">at the national and subnational level </w:t>
            </w:r>
            <w:r w:rsidR="000D7ED4" w:rsidRPr="00451503">
              <w:rPr>
                <w:sz w:val="16"/>
                <w:szCs w:val="16"/>
              </w:rPr>
              <w:t xml:space="preserve">organized and equipped for delivering </w:t>
            </w:r>
            <w:r w:rsidR="00DF7935" w:rsidRPr="00451503">
              <w:rPr>
                <w:sz w:val="16"/>
                <w:szCs w:val="16"/>
              </w:rPr>
              <w:t xml:space="preserve">Justice </w:t>
            </w:r>
            <w:r w:rsidR="000D7ED4" w:rsidRPr="00451503">
              <w:rPr>
                <w:sz w:val="16"/>
                <w:szCs w:val="16"/>
              </w:rPr>
              <w:t>record:</w:t>
            </w:r>
          </w:p>
          <w:p w:rsidR="000D7ED4" w:rsidRPr="00451503" w:rsidRDefault="000D7ED4" w:rsidP="00BE2DD3">
            <w:pPr>
              <w:rPr>
                <w:sz w:val="16"/>
                <w:szCs w:val="16"/>
              </w:rPr>
            </w:pPr>
            <w:r w:rsidRPr="00451503">
              <w:rPr>
                <w:sz w:val="16"/>
                <w:szCs w:val="16"/>
              </w:rPr>
              <w:t>Baseline</w:t>
            </w:r>
            <w:r w:rsidRPr="00913F0A">
              <w:rPr>
                <w:sz w:val="16"/>
                <w:szCs w:val="16"/>
              </w:rPr>
              <w:t xml:space="preserve">: </w:t>
            </w:r>
            <w:r w:rsidR="00DC5AC4">
              <w:rPr>
                <w:sz w:val="16"/>
                <w:szCs w:val="16"/>
              </w:rPr>
              <w:t>15</w:t>
            </w:r>
            <w:r w:rsidR="00DC5AC4">
              <w:rPr>
                <w:rStyle w:val="FootnoteReference"/>
                <w:sz w:val="16"/>
                <w:szCs w:val="16"/>
              </w:rPr>
              <w:footnoteReference w:id="18"/>
            </w:r>
            <w:r w:rsidR="001D4D7A">
              <w:rPr>
                <w:sz w:val="16"/>
                <w:szCs w:val="16"/>
              </w:rPr>
              <w:t xml:space="preserve">  </w:t>
            </w:r>
          </w:p>
          <w:p w:rsidR="00501A3C" w:rsidRPr="00451503" w:rsidRDefault="00501A3C" w:rsidP="00BE2DD3">
            <w:pPr>
              <w:rPr>
                <w:sz w:val="16"/>
                <w:szCs w:val="16"/>
              </w:rPr>
            </w:pPr>
            <w:r w:rsidRPr="00451503">
              <w:rPr>
                <w:sz w:val="16"/>
                <w:szCs w:val="16"/>
              </w:rPr>
              <w:t>Target: 56</w:t>
            </w:r>
          </w:p>
          <w:p w:rsidR="00590382" w:rsidRPr="00451503" w:rsidRDefault="00590382" w:rsidP="00BE2DD3">
            <w:pPr>
              <w:rPr>
                <w:sz w:val="16"/>
                <w:szCs w:val="16"/>
              </w:rPr>
            </w:pPr>
          </w:p>
          <w:p w:rsidR="00501A3C" w:rsidRPr="00451503" w:rsidRDefault="00501A3C" w:rsidP="00BE2DD3">
            <w:pPr>
              <w:rPr>
                <w:sz w:val="16"/>
                <w:szCs w:val="16"/>
              </w:rPr>
            </w:pPr>
            <w:r w:rsidRPr="00A33D46">
              <w:rPr>
                <w:b/>
                <w:sz w:val="16"/>
                <w:szCs w:val="16"/>
              </w:rPr>
              <w:t>Output 2.2</w:t>
            </w:r>
            <w:r w:rsidRPr="00451503">
              <w:rPr>
                <w:sz w:val="16"/>
                <w:szCs w:val="16"/>
              </w:rPr>
              <w:t>: The CSO human rights actors have the technical and organizational capacities to assist victims</w:t>
            </w:r>
          </w:p>
          <w:p w:rsidR="00557278" w:rsidRPr="00451503" w:rsidRDefault="00557278" w:rsidP="00BE2DD3">
            <w:pPr>
              <w:rPr>
                <w:sz w:val="16"/>
                <w:szCs w:val="16"/>
              </w:rPr>
            </w:pPr>
            <w:r w:rsidRPr="00A33D46">
              <w:rPr>
                <w:b/>
                <w:sz w:val="16"/>
                <w:szCs w:val="16"/>
              </w:rPr>
              <w:t>Indicator 2.</w:t>
            </w:r>
            <w:r w:rsidR="00522976" w:rsidRPr="00A33D46">
              <w:rPr>
                <w:b/>
                <w:sz w:val="16"/>
                <w:szCs w:val="16"/>
              </w:rPr>
              <w:t>2</w:t>
            </w:r>
            <w:r w:rsidRPr="00A33D46">
              <w:rPr>
                <w:b/>
                <w:sz w:val="16"/>
                <w:szCs w:val="16"/>
              </w:rPr>
              <w:t>.1</w:t>
            </w:r>
            <w:r w:rsidRPr="00451503">
              <w:rPr>
                <w:sz w:val="16"/>
                <w:szCs w:val="16"/>
              </w:rPr>
              <w:t xml:space="preserve">: Number of operational CSOs legally authorized to </w:t>
            </w:r>
            <w:r w:rsidR="0016077D" w:rsidRPr="00451503">
              <w:rPr>
                <w:sz w:val="16"/>
                <w:szCs w:val="16"/>
              </w:rPr>
              <w:t>represent victims</w:t>
            </w:r>
            <w:r w:rsidR="00F134A0" w:rsidRPr="00451503">
              <w:rPr>
                <w:sz w:val="16"/>
                <w:szCs w:val="16"/>
              </w:rPr>
              <w:t xml:space="preserve"> in the justice system</w:t>
            </w:r>
            <w:r w:rsidRPr="00451503">
              <w:rPr>
                <w:sz w:val="16"/>
                <w:szCs w:val="16"/>
              </w:rPr>
              <w:t xml:space="preserve">. </w:t>
            </w:r>
          </w:p>
          <w:p w:rsidR="00557278" w:rsidRPr="00451503" w:rsidRDefault="00557278" w:rsidP="00BE2DD3">
            <w:pPr>
              <w:rPr>
                <w:sz w:val="16"/>
                <w:szCs w:val="16"/>
              </w:rPr>
            </w:pPr>
            <w:r w:rsidRPr="00451503">
              <w:rPr>
                <w:sz w:val="16"/>
                <w:szCs w:val="16"/>
              </w:rPr>
              <w:t>Baseline: 4</w:t>
            </w:r>
            <w:r w:rsidR="00FF2D5A">
              <w:rPr>
                <w:rStyle w:val="FootnoteReference"/>
                <w:sz w:val="16"/>
                <w:szCs w:val="16"/>
              </w:rPr>
              <w:footnoteReference w:id="19"/>
            </w:r>
          </w:p>
          <w:p w:rsidR="00557278" w:rsidRPr="00451503" w:rsidRDefault="00557278" w:rsidP="00BE2DD3">
            <w:pPr>
              <w:rPr>
                <w:sz w:val="16"/>
                <w:szCs w:val="16"/>
              </w:rPr>
            </w:pPr>
            <w:r w:rsidRPr="00451503">
              <w:rPr>
                <w:sz w:val="16"/>
                <w:szCs w:val="16"/>
              </w:rPr>
              <w:t>Target: 8</w:t>
            </w:r>
          </w:p>
          <w:p w:rsidR="00590382" w:rsidRPr="00451503" w:rsidRDefault="00590382" w:rsidP="00BE2DD3">
            <w:pPr>
              <w:rPr>
                <w:sz w:val="16"/>
                <w:szCs w:val="16"/>
              </w:rPr>
            </w:pPr>
          </w:p>
          <w:p w:rsidR="00557278" w:rsidRPr="00451503" w:rsidRDefault="00557278" w:rsidP="00BE2DD3">
            <w:pPr>
              <w:rPr>
                <w:sz w:val="16"/>
                <w:szCs w:val="16"/>
              </w:rPr>
            </w:pPr>
            <w:r w:rsidRPr="00DF6603">
              <w:rPr>
                <w:b/>
                <w:sz w:val="16"/>
                <w:szCs w:val="16"/>
              </w:rPr>
              <w:t>Output 2.</w:t>
            </w:r>
            <w:r w:rsidR="00854057" w:rsidRPr="00DF6603">
              <w:rPr>
                <w:b/>
                <w:sz w:val="16"/>
                <w:szCs w:val="16"/>
              </w:rPr>
              <w:t>3</w:t>
            </w:r>
            <w:r w:rsidRPr="00451503">
              <w:rPr>
                <w:sz w:val="16"/>
                <w:szCs w:val="16"/>
              </w:rPr>
              <w:t xml:space="preserve">: The vulnerable groups (women, extreme poor, </w:t>
            </w:r>
            <w:r w:rsidR="00E47626">
              <w:rPr>
                <w:sz w:val="16"/>
                <w:szCs w:val="16"/>
              </w:rPr>
              <w:t xml:space="preserve">handicapped, </w:t>
            </w:r>
            <w:r w:rsidRPr="00451503">
              <w:rPr>
                <w:sz w:val="16"/>
                <w:szCs w:val="16"/>
              </w:rPr>
              <w:t xml:space="preserve">victims of </w:t>
            </w:r>
            <w:r w:rsidR="00DF7935" w:rsidRPr="00451503">
              <w:rPr>
                <w:sz w:val="16"/>
                <w:szCs w:val="16"/>
              </w:rPr>
              <w:t xml:space="preserve">the aftermath of </w:t>
            </w:r>
            <w:r w:rsidRPr="00451503">
              <w:rPr>
                <w:sz w:val="16"/>
                <w:szCs w:val="16"/>
              </w:rPr>
              <w:t xml:space="preserve">slavery) have access to </w:t>
            </w:r>
            <w:r w:rsidR="007D1FB1" w:rsidRPr="00451503">
              <w:rPr>
                <w:sz w:val="16"/>
                <w:szCs w:val="16"/>
              </w:rPr>
              <w:t xml:space="preserve">legal aid service </w:t>
            </w:r>
          </w:p>
          <w:p w:rsidR="00557278" w:rsidRPr="00451503" w:rsidRDefault="00557278" w:rsidP="00BE2DD3">
            <w:pPr>
              <w:rPr>
                <w:sz w:val="16"/>
                <w:szCs w:val="16"/>
              </w:rPr>
            </w:pPr>
            <w:r w:rsidRPr="00DF6603">
              <w:rPr>
                <w:b/>
                <w:sz w:val="16"/>
                <w:szCs w:val="16"/>
              </w:rPr>
              <w:t>Indicator 2.</w:t>
            </w:r>
            <w:r w:rsidR="00854057" w:rsidRPr="00DF6603">
              <w:rPr>
                <w:b/>
                <w:sz w:val="16"/>
                <w:szCs w:val="16"/>
              </w:rPr>
              <w:t>3</w:t>
            </w:r>
            <w:r w:rsidRPr="00DF6603">
              <w:rPr>
                <w:b/>
                <w:sz w:val="16"/>
                <w:szCs w:val="16"/>
              </w:rPr>
              <w:t>.1</w:t>
            </w:r>
            <w:r w:rsidRPr="00451503">
              <w:rPr>
                <w:sz w:val="16"/>
                <w:szCs w:val="16"/>
              </w:rPr>
              <w:t xml:space="preserve">: Number of people with access to legal aid services, desegregated by sex  </w:t>
            </w:r>
          </w:p>
          <w:p w:rsidR="00557278" w:rsidRPr="00451503" w:rsidRDefault="00557278" w:rsidP="00BE2DD3">
            <w:pPr>
              <w:rPr>
                <w:sz w:val="16"/>
                <w:szCs w:val="16"/>
              </w:rPr>
            </w:pPr>
            <w:r w:rsidRPr="00451503">
              <w:rPr>
                <w:sz w:val="16"/>
                <w:szCs w:val="16"/>
              </w:rPr>
              <w:t>Baseline (Women/Men</w:t>
            </w:r>
            <w:r w:rsidR="003E61FF" w:rsidRPr="00451503">
              <w:rPr>
                <w:sz w:val="16"/>
                <w:szCs w:val="16"/>
              </w:rPr>
              <w:t>):</w:t>
            </w:r>
            <w:r w:rsidRPr="00451503">
              <w:rPr>
                <w:sz w:val="16"/>
                <w:szCs w:val="16"/>
              </w:rPr>
              <w:t xml:space="preserve"> F</w:t>
            </w:r>
            <w:r w:rsidR="00DF0E02" w:rsidRPr="00451503">
              <w:rPr>
                <w:sz w:val="16"/>
                <w:szCs w:val="16"/>
              </w:rPr>
              <w:t>:0</w:t>
            </w:r>
            <w:r w:rsidRPr="00451503">
              <w:rPr>
                <w:sz w:val="16"/>
                <w:szCs w:val="16"/>
              </w:rPr>
              <w:t>; M</w:t>
            </w:r>
            <w:r w:rsidR="00DF0E02" w:rsidRPr="00451503">
              <w:rPr>
                <w:sz w:val="16"/>
                <w:szCs w:val="16"/>
              </w:rPr>
              <w:t>:0</w:t>
            </w:r>
            <w:r w:rsidRPr="00451503">
              <w:rPr>
                <w:sz w:val="16"/>
                <w:szCs w:val="16"/>
              </w:rPr>
              <w:t xml:space="preserve"> </w:t>
            </w:r>
          </w:p>
          <w:p w:rsidR="00557278" w:rsidRDefault="009024EA" w:rsidP="00BE2DD3">
            <w:pPr>
              <w:rPr>
                <w:sz w:val="16"/>
                <w:szCs w:val="16"/>
              </w:rPr>
            </w:pPr>
            <w:r>
              <w:rPr>
                <w:sz w:val="16"/>
                <w:szCs w:val="16"/>
              </w:rPr>
              <w:t>Target (Women/Men)</w:t>
            </w:r>
            <w:r w:rsidR="00557278" w:rsidRPr="00451503">
              <w:rPr>
                <w:sz w:val="16"/>
                <w:szCs w:val="16"/>
              </w:rPr>
              <w:t>: F</w:t>
            </w:r>
            <w:r w:rsidR="00CA6C83" w:rsidRPr="00451503">
              <w:rPr>
                <w:sz w:val="16"/>
                <w:szCs w:val="16"/>
              </w:rPr>
              <w:t>: 100</w:t>
            </w:r>
            <w:r w:rsidR="00557278" w:rsidRPr="00451503">
              <w:rPr>
                <w:sz w:val="16"/>
                <w:szCs w:val="16"/>
              </w:rPr>
              <w:t>; M</w:t>
            </w:r>
            <w:r w:rsidR="00CA6C83" w:rsidRPr="00451503">
              <w:rPr>
                <w:sz w:val="16"/>
                <w:szCs w:val="16"/>
              </w:rPr>
              <w:t>: 600</w:t>
            </w:r>
          </w:p>
          <w:p w:rsidR="00295D55" w:rsidRPr="00451503" w:rsidRDefault="00295D55" w:rsidP="00BE2DD3">
            <w:pPr>
              <w:rPr>
                <w:sz w:val="16"/>
                <w:szCs w:val="16"/>
              </w:rPr>
            </w:pPr>
          </w:p>
          <w:p w:rsidR="00557278" w:rsidRPr="00451503" w:rsidRDefault="00557278" w:rsidP="00BE2DD3">
            <w:pPr>
              <w:rPr>
                <w:sz w:val="16"/>
                <w:szCs w:val="16"/>
              </w:rPr>
            </w:pPr>
            <w:r w:rsidRPr="00DF6603">
              <w:rPr>
                <w:b/>
                <w:sz w:val="16"/>
                <w:szCs w:val="16"/>
              </w:rPr>
              <w:t>Output 2.</w:t>
            </w:r>
            <w:r w:rsidR="00854057" w:rsidRPr="00DF6603">
              <w:rPr>
                <w:b/>
                <w:sz w:val="16"/>
                <w:szCs w:val="16"/>
              </w:rPr>
              <w:t>4</w:t>
            </w:r>
            <w:r w:rsidRPr="00451503">
              <w:rPr>
                <w:sz w:val="16"/>
                <w:szCs w:val="16"/>
              </w:rPr>
              <w:t>: Public administration and local government actors in eight wilayas</w:t>
            </w:r>
            <w:r w:rsidR="001F7617">
              <w:rPr>
                <w:sz w:val="16"/>
                <w:szCs w:val="16"/>
              </w:rPr>
              <w:t xml:space="preserve"> (regions)</w:t>
            </w:r>
            <w:r w:rsidRPr="00451503">
              <w:rPr>
                <w:sz w:val="16"/>
                <w:szCs w:val="16"/>
              </w:rPr>
              <w:t xml:space="preserve"> have the technical, financial and organizational capacities to design and </w:t>
            </w:r>
            <w:r w:rsidR="00334190" w:rsidRPr="00451503">
              <w:rPr>
                <w:sz w:val="16"/>
                <w:szCs w:val="16"/>
              </w:rPr>
              <w:t>implement gender</w:t>
            </w:r>
            <w:r w:rsidRPr="00451503">
              <w:rPr>
                <w:sz w:val="16"/>
                <w:szCs w:val="16"/>
              </w:rPr>
              <w:t xml:space="preserve"> sensitive development policies </w:t>
            </w:r>
            <w:r w:rsidR="0016077D" w:rsidRPr="00451503">
              <w:rPr>
                <w:sz w:val="16"/>
                <w:szCs w:val="16"/>
              </w:rPr>
              <w:t>at sub</w:t>
            </w:r>
            <w:r w:rsidRPr="00451503">
              <w:rPr>
                <w:sz w:val="16"/>
                <w:szCs w:val="16"/>
              </w:rPr>
              <w:t xml:space="preserve">-national level. </w:t>
            </w:r>
          </w:p>
          <w:p w:rsidR="00557278" w:rsidRPr="00451503" w:rsidRDefault="00557278" w:rsidP="00BE2DD3">
            <w:pPr>
              <w:rPr>
                <w:sz w:val="16"/>
                <w:szCs w:val="16"/>
              </w:rPr>
            </w:pPr>
            <w:r w:rsidRPr="00DF6603">
              <w:rPr>
                <w:b/>
                <w:sz w:val="16"/>
                <w:szCs w:val="16"/>
              </w:rPr>
              <w:t>Indicator 2.</w:t>
            </w:r>
            <w:r w:rsidR="00854057" w:rsidRPr="00DF6603">
              <w:rPr>
                <w:b/>
                <w:sz w:val="16"/>
                <w:szCs w:val="16"/>
              </w:rPr>
              <w:t>4</w:t>
            </w:r>
            <w:r w:rsidRPr="00DF6603">
              <w:rPr>
                <w:b/>
                <w:sz w:val="16"/>
                <w:szCs w:val="16"/>
              </w:rPr>
              <w:t>.1</w:t>
            </w:r>
            <w:r w:rsidRPr="00451503">
              <w:rPr>
                <w:sz w:val="16"/>
                <w:szCs w:val="16"/>
              </w:rPr>
              <w:t xml:space="preserve">: Level of capacity of sub-national governments/administrations for planning, budgeting and monitoring basic services delivery </w:t>
            </w:r>
          </w:p>
          <w:p w:rsidR="00557278" w:rsidRPr="00451503" w:rsidRDefault="00557278" w:rsidP="00BE2DD3">
            <w:pPr>
              <w:rPr>
                <w:sz w:val="16"/>
                <w:szCs w:val="16"/>
              </w:rPr>
            </w:pPr>
            <w:r w:rsidRPr="00451503">
              <w:rPr>
                <w:sz w:val="16"/>
                <w:szCs w:val="16"/>
              </w:rPr>
              <w:t>Baseline: 3</w:t>
            </w:r>
            <w:r w:rsidR="00CF2C68">
              <w:rPr>
                <w:sz w:val="16"/>
                <w:szCs w:val="16"/>
              </w:rPr>
              <w:t xml:space="preserve"> (</w:t>
            </w:r>
            <w:r w:rsidRPr="00451503">
              <w:rPr>
                <w:sz w:val="16"/>
                <w:szCs w:val="16"/>
              </w:rPr>
              <w:t>partial capacity</w:t>
            </w:r>
            <w:r w:rsidR="00CF2C68">
              <w:rPr>
                <w:sz w:val="16"/>
                <w:szCs w:val="16"/>
              </w:rPr>
              <w:t>)</w:t>
            </w:r>
            <w:r w:rsidR="00C8239E">
              <w:rPr>
                <w:rStyle w:val="FootnoteReference"/>
                <w:sz w:val="16"/>
                <w:szCs w:val="16"/>
              </w:rPr>
              <w:footnoteReference w:id="20"/>
            </w:r>
            <w:r w:rsidRPr="00451503">
              <w:rPr>
                <w:sz w:val="16"/>
                <w:szCs w:val="16"/>
              </w:rPr>
              <w:t xml:space="preserve"> </w:t>
            </w:r>
          </w:p>
          <w:p w:rsidR="00557278" w:rsidRPr="00451503" w:rsidRDefault="00557278" w:rsidP="00BE2DD3">
            <w:pPr>
              <w:rPr>
                <w:sz w:val="16"/>
                <w:szCs w:val="16"/>
              </w:rPr>
            </w:pPr>
            <w:r w:rsidRPr="00451503">
              <w:rPr>
                <w:sz w:val="16"/>
                <w:szCs w:val="16"/>
              </w:rPr>
              <w:t>Target: Capacity largely in place</w:t>
            </w:r>
          </w:p>
          <w:p w:rsidR="0071138F" w:rsidRPr="00451503" w:rsidRDefault="0071138F" w:rsidP="00BE2DD3">
            <w:pPr>
              <w:rPr>
                <w:sz w:val="16"/>
                <w:szCs w:val="16"/>
              </w:rPr>
            </w:pPr>
            <w:r w:rsidRPr="00DF6603">
              <w:rPr>
                <w:b/>
                <w:sz w:val="16"/>
                <w:szCs w:val="16"/>
              </w:rPr>
              <w:lastRenderedPageBreak/>
              <w:t>Indicator 2.4.</w:t>
            </w:r>
            <w:r w:rsidR="00334F96" w:rsidRPr="00DF6603">
              <w:rPr>
                <w:b/>
                <w:sz w:val="16"/>
                <w:szCs w:val="16"/>
              </w:rPr>
              <w:t>2</w:t>
            </w:r>
            <w:r w:rsidRPr="00451503">
              <w:rPr>
                <w:sz w:val="16"/>
                <w:szCs w:val="16"/>
              </w:rPr>
              <w:t xml:space="preserve">: Number of functional SCAPP-based regional </w:t>
            </w:r>
            <w:r w:rsidR="00334F96" w:rsidRPr="00451503">
              <w:rPr>
                <w:sz w:val="16"/>
                <w:szCs w:val="16"/>
              </w:rPr>
              <w:t xml:space="preserve">development </w:t>
            </w:r>
            <w:r w:rsidRPr="00451503">
              <w:rPr>
                <w:sz w:val="16"/>
                <w:szCs w:val="16"/>
              </w:rPr>
              <w:t xml:space="preserve">plans </w:t>
            </w:r>
          </w:p>
          <w:p w:rsidR="0071138F" w:rsidRPr="00451503" w:rsidRDefault="0071138F" w:rsidP="00BE2DD3">
            <w:pPr>
              <w:rPr>
                <w:sz w:val="16"/>
                <w:szCs w:val="16"/>
              </w:rPr>
            </w:pPr>
            <w:r w:rsidRPr="00451503">
              <w:rPr>
                <w:sz w:val="16"/>
                <w:szCs w:val="16"/>
              </w:rPr>
              <w:t>Baseline: 4</w:t>
            </w:r>
            <w:r w:rsidR="00465756">
              <w:rPr>
                <w:rStyle w:val="FootnoteReference"/>
                <w:sz w:val="16"/>
                <w:szCs w:val="16"/>
              </w:rPr>
              <w:footnoteReference w:id="21"/>
            </w:r>
          </w:p>
          <w:p w:rsidR="0071138F" w:rsidRPr="00451503" w:rsidRDefault="0071138F" w:rsidP="00BE2DD3">
            <w:pPr>
              <w:rPr>
                <w:sz w:val="16"/>
                <w:szCs w:val="16"/>
              </w:rPr>
            </w:pPr>
            <w:r w:rsidRPr="00451503">
              <w:rPr>
                <w:sz w:val="16"/>
                <w:szCs w:val="16"/>
              </w:rPr>
              <w:t xml:space="preserve">Target: 8 </w:t>
            </w:r>
          </w:p>
          <w:p w:rsidR="0071138F" w:rsidRPr="00451503" w:rsidRDefault="0071138F" w:rsidP="00BE2DD3">
            <w:pPr>
              <w:rPr>
                <w:sz w:val="16"/>
                <w:szCs w:val="16"/>
              </w:rPr>
            </w:pPr>
          </w:p>
          <w:p w:rsidR="00557278" w:rsidRPr="00FF491F" w:rsidRDefault="00557278" w:rsidP="00BE2DD3">
            <w:pPr>
              <w:rPr>
                <w:sz w:val="16"/>
                <w:szCs w:val="16"/>
              </w:rPr>
            </w:pPr>
            <w:r w:rsidRPr="00FF491F">
              <w:rPr>
                <w:b/>
                <w:sz w:val="16"/>
                <w:szCs w:val="16"/>
              </w:rPr>
              <w:t>Output 2.</w:t>
            </w:r>
            <w:r w:rsidR="00854057" w:rsidRPr="00FF491F">
              <w:rPr>
                <w:b/>
                <w:sz w:val="16"/>
                <w:szCs w:val="16"/>
              </w:rPr>
              <w:t>5</w:t>
            </w:r>
            <w:r w:rsidRPr="00FF491F">
              <w:rPr>
                <w:sz w:val="16"/>
                <w:szCs w:val="16"/>
              </w:rPr>
              <w:t>:</w:t>
            </w:r>
            <w:r w:rsidR="00FF491F" w:rsidRPr="00FF491F">
              <w:rPr>
                <w:sz w:val="16"/>
                <w:szCs w:val="16"/>
              </w:rPr>
              <w:t xml:space="preserve"> </w:t>
            </w:r>
            <w:r w:rsidR="004D53A2" w:rsidRPr="00FF491F">
              <w:rPr>
                <w:sz w:val="16"/>
                <w:szCs w:val="16"/>
              </w:rPr>
              <w:t>Women and youth participate as candidates in local and national elections</w:t>
            </w:r>
            <w:r w:rsidR="00CA6C83">
              <w:rPr>
                <w:sz w:val="16"/>
                <w:szCs w:val="16"/>
              </w:rPr>
              <w:t>.</w:t>
            </w:r>
            <w:r w:rsidRPr="00FF491F">
              <w:rPr>
                <w:sz w:val="16"/>
                <w:szCs w:val="16"/>
              </w:rPr>
              <w:t xml:space="preserve">  </w:t>
            </w:r>
          </w:p>
          <w:p w:rsidR="00557278" w:rsidRPr="00FF491F" w:rsidRDefault="00557278" w:rsidP="00BE2DD3">
            <w:pPr>
              <w:rPr>
                <w:sz w:val="16"/>
                <w:szCs w:val="16"/>
              </w:rPr>
            </w:pPr>
            <w:r w:rsidRPr="00FF491F">
              <w:rPr>
                <w:b/>
                <w:sz w:val="16"/>
                <w:szCs w:val="16"/>
              </w:rPr>
              <w:t>Indicator 2.</w:t>
            </w:r>
            <w:r w:rsidR="00854057" w:rsidRPr="00FF491F">
              <w:rPr>
                <w:b/>
                <w:sz w:val="16"/>
                <w:szCs w:val="16"/>
              </w:rPr>
              <w:t>5</w:t>
            </w:r>
            <w:r w:rsidRPr="00FF491F">
              <w:rPr>
                <w:b/>
                <w:sz w:val="16"/>
                <w:szCs w:val="16"/>
              </w:rPr>
              <w:t>.</w:t>
            </w:r>
            <w:r w:rsidR="00295D55" w:rsidRPr="00FF491F">
              <w:rPr>
                <w:b/>
                <w:sz w:val="16"/>
                <w:szCs w:val="16"/>
              </w:rPr>
              <w:t>1</w:t>
            </w:r>
            <w:r w:rsidRPr="00FF491F">
              <w:rPr>
                <w:sz w:val="16"/>
                <w:szCs w:val="16"/>
              </w:rPr>
              <w:t xml:space="preserve">: Number of women participating as candidates in local and national elections supported by UNDP </w:t>
            </w:r>
          </w:p>
          <w:p w:rsidR="00557278" w:rsidRPr="00FF491F" w:rsidRDefault="00557278" w:rsidP="00BE2DD3">
            <w:pPr>
              <w:rPr>
                <w:sz w:val="16"/>
                <w:szCs w:val="16"/>
              </w:rPr>
            </w:pPr>
            <w:r w:rsidRPr="00FF491F">
              <w:rPr>
                <w:sz w:val="16"/>
                <w:szCs w:val="16"/>
              </w:rPr>
              <w:t>Baseline: 365</w:t>
            </w:r>
          </w:p>
          <w:p w:rsidR="00557278" w:rsidRPr="00FF491F" w:rsidRDefault="00557278" w:rsidP="00BE2DD3">
            <w:pPr>
              <w:rPr>
                <w:sz w:val="16"/>
                <w:szCs w:val="16"/>
              </w:rPr>
            </w:pPr>
            <w:r w:rsidRPr="00FF491F">
              <w:rPr>
                <w:sz w:val="16"/>
                <w:szCs w:val="16"/>
              </w:rPr>
              <w:t>Target: 400</w:t>
            </w:r>
          </w:p>
          <w:p w:rsidR="00883AB7" w:rsidRPr="00FF491F" w:rsidRDefault="00883AB7" w:rsidP="00BE2DD3">
            <w:pPr>
              <w:rPr>
                <w:sz w:val="16"/>
                <w:szCs w:val="16"/>
              </w:rPr>
            </w:pPr>
            <w:r w:rsidRPr="00FF491F">
              <w:rPr>
                <w:b/>
                <w:sz w:val="16"/>
                <w:szCs w:val="16"/>
              </w:rPr>
              <w:t>Indicator 2.5.</w:t>
            </w:r>
            <w:r w:rsidR="00295D55" w:rsidRPr="00FF491F">
              <w:rPr>
                <w:b/>
                <w:sz w:val="16"/>
                <w:szCs w:val="16"/>
              </w:rPr>
              <w:t>2</w:t>
            </w:r>
            <w:r w:rsidRPr="00FF491F">
              <w:rPr>
                <w:sz w:val="16"/>
                <w:szCs w:val="16"/>
              </w:rPr>
              <w:t xml:space="preserve">: Number of youth participating as candidates in local and national elections </w:t>
            </w:r>
            <w:r w:rsidR="00AD6836" w:rsidRPr="00FF491F">
              <w:rPr>
                <w:sz w:val="16"/>
                <w:szCs w:val="16"/>
              </w:rPr>
              <w:t>supported by UNDP</w:t>
            </w:r>
          </w:p>
          <w:p w:rsidR="00883AB7" w:rsidRPr="00FF491F" w:rsidRDefault="00883AB7" w:rsidP="00BE2DD3">
            <w:pPr>
              <w:rPr>
                <w:sz w:val="16"/>
                <w:szCs w:val="16"/>
              </w:rPr>
            </w:pPr>
            <w:r w:rsidRPr="00FF491F">
              <w:rPr>
                <w:sz w:val="16"/>
                <w:szCs w:val="16"/>
              </w:rPr>
              <w:t xml:space="preserve">Baseline: </w:t>
            </w:r>
            <w:r w:rsidR="00AD6836" w:rsidRPr="00FF491F">
              <w:rPr>
                <w:sz w:val="16"/>
                <w:szCs w:val="16"/>
              </w:rPr>
              <w:t>0</w:t>
            </w:r>
          </w:p>
          <w:p w:rsidR="00642D06" w:rsidRDefault="00AD6836" w:rsidP="00BE2DD3">
            <w:pPr>
              <w:rPr>
                <w:sz w:val="16"/>
                <w:szCs w:val="16"/>
              </w:rPr>
            </w:pPr>
            <w:r w:rsidRPr="00FF491F">
              <w:rPr>
                <w:sz w:val="16"/>
                <w:szCs w:val="16"/>
              </w:rPr>
              <w:t>Target: 500</w:t>
            </w:r>
          </w:p>
          <w:p w:rsidR="00FF491F" w:rsidRDefault="00FF491F" w:rsidP="00BE2DD3">
            <w:pPr>
              <w:rPr>
                <w:sz w:val="16"/>
                <w:szCs w:val="16"/>
              </w:rPr>
            </w:pPr>
          </w:p>
          <w:p w:rsidR="00557278" w:rsidRPr="00451503" w:rsidRDefault="00557278" w:rsidP="00BE2DD3">
            <w:pPr>
              <w:rPr>
                <w:sz w:val="16"/>
                <w:szCs w:val="16"/>
              </w:rPr>
            </w:pPr>
            <w:r w:rsidRPr="00DF6603">
              <w:rPr>
                <w:b/>
                <w:sz w:val="16"/>
                <w:szCs w:val="16"/>
              </w:rPr>
              <w:t xml:space="preserve">Output </w:t>
            </w:r>
            <w:r w:rsidR="003E61FF" w:rsidRPr="00DF6603">
              <w:rPr>
                <w:b/>
                <w:sz w:val="16"/>
                <w:szCs w:val="16"/>
              </w:rPr>
              <w:t>2.</w:t>
            </w:r>
            <w:r w:rsidR="00854057" w:rsidRPr="00DF6603">
              <w:rPr>
                <w:b/>
                <w:sz w:val="16"/>
                <w:szCs w:val="16"/>
              </w:rPr>
              <w:t>6</w:t>
            </w:r>
            <w:r w:rsidR="003E61FF" w:rsidRPr="00451503">
              <w:rPr>
                <w:sz w:val="16"/>
                <w:szCs w:val="16"/>
              </w:rPr>
              <w:t>:</w:t>
            </w:r>
            <w:r w:rsidRPr="00451503">
              <w:rPr>
                <w:sz w:val="16"/>
                <w:szCs w:val="16"/>
              </w:rPr>
              <w:t xml:space="preserve"> Young people and women at national level and in border areas have improved knowledge of the dangers of radicalization and terrorism. </w:t>
            </w:r>
          </w:p>
          <w:p w:rsidR="00557278" w:rsidRPr="00451503" w:rsidRDefault="00A4398C" w:rsidP="00BE2DD3">
            <w:pPr>
              <w:rPr>
                <w:sz w:val="16"/>
                <w:szCs w:val="16"/>
              </w:rPr>
            </w:pPr>
            <w:r w:rsidRPr="00DF6603">
              <w:rPr>
                <w:b/>
                <w:sz w:val="16"/>
                <w:szCs w:val="16"/>
              </w:rPr>
              <w:t>Indicator 2.</w:t>
            </w:r>
            <w:r w:rsidR="009E7077" w:rsidRPr="00DF6603">
              <w:rPr>
                <w:b/>
                <w:sz w:val="16"/>
                <w:szCs w:val="16"/>
              </w:rPr>
              <w:t>6</w:t>
            </w:r>
            <w:r w:rsidRPr="00DF6603">
              <w:rPr>
                <w:b/>
                <w:sz w:val="16"/>
                <w:szCs w:val="16"/>
              </w:rPr>
              <w:t>.</w:t>
            </w:r>
            <w:r w:rsidR="009E7077" w:rsidRPr="00DF6603">
              <w:rPr>
                <w:b/>
                <w:sz w:val="16"/>
                <w:szCs w:val="16"/>
              </w:rPr>
              <w:t>1</w:t>
            </w:r>
            <w:r w:rsidRPr="00451503">
              <w:rPr>
                <w:sz w:val="16"/>
                <w:szCs w:val="16"/>
              </w:rPr>
              <w:t xml:space="preserve">: Percentage of youth declaring having knowledge of danger of violent extremism. </w:t>
            </w:r>
          </w:p>
          <w:p w:rsidR="00A9718E" w:rsidRPr="00451503" w:rsidRDefault="00A9718E" w:rsidP="00BE2DD3">
            <w:pPr>
              <w:rPr>
                <w:sz w:val="16"/>
                <w:szCs w:val="16"/>
              </w:rPr>
            </w:pPr>
            <w:r w:rsidRPr="00451503">
              <w:rPr>
                <w:sz w:val="16"/>
                <w:szCs w:val="16"/>
              </w:rPr>
              <w:t xml:space="preserve">Baseline: </w:t>
            </w:r>
            <w:r w:rsidR="00AE068F" w:rsidRPr="00451503">
              <w:rPr>
                <w:sz w:val="16"/>
                <w:szCs w:val="16"/>
              </w:rPr>
              <w:t xml:space="preserve">women 12%; </w:t>
            </w:r>
            <w:r w:rsidR="00AE068F" w:rsidRPr="000D6543">
              <w:rPr>
                <w:sz w:val="16"/>
                <w:szCs w:val="16"/>
              </w:rPr>
              <w:t>men: 22%</w:t>
            </w:r>
            <w:r w:rsidR="001511FD">
              <w:rPr>
                <w:rStyle w:val="FootnoteReference"/>
                <w:sz w:val="16"/>
                <w:szCs w:val="16"/>
              </w:rPr>
              <w:footnoteReference w:id="22"/>
            </w:r>
          </w:p>
          <w:p w:rsidR="00B11373" w:rsidRPr="00451503" w:rsidRDefault="00A9718E" w:rsidP="00BE2DD3">
            <w:pPr>
              <w:rPr>
                <w:sz w:val="16"/>
                <w:szCs w:val="16"/>
              </w:rPr>
            </w:pPr>
            <w:r w:rsidRPr="00451503">
              <w:rPr>
                <w:sz w:val="16"/>
                <w:szCs w:val="16"/>
              </w:rPr>
              <w:t xml:space="preserve">Target: </w:t>
            </w:r>
            <w:r w:rsidR="00AE068F" w:rsidRPr="00451503">
              <w:rPr>
                <w:sz w:val="16"/>
                <w:szCs w:val="16"/>
              </w:rPr>
              <w:t>women</w:t>
            </w:r>
            <w:r w:rsidR="001839BC">
              <w:rPr>
                <w:sz w:val="16"/>
                <w:szCs w:val="16"/>
              </w:rPr>
              <w:t>:</w:t>
            </w:r>
            <w:r w:rsidR="009024EA">
              <w:rPr>
                <w:sz w:val="16"/>
                <w:szCs w:val="16"/>
              </w:rPr>
              <w:t xml:space="preserve"> </w:t>
            </w:r>
            <w:r w:rsidRPr="00451503">
              <w:rPr>
                <w:sz w:val="16"/>
                <w:szCs w:val="16"/>
              </w:rPr>
              <w:t>50%</w:t>
            </w:r>
            <w:r w:rsidR="00AE068F" w:rsidRPr="00451503">
              <w:rPr>
                <w:sz w:val="16"/>
                <w:szCs w:val="16"/>
              </w:rPr>
              <w:t>; men</w:t>
            </w:r>
            <w:r w:rsidR="001839BC">
              <w:rPr>
                <w:sz w:val="16"/>
                <w:szCs w:val="16"/>
              </w:rPr>
              <w:t>:</w:t>
            </w:r>
            <w:r w:rsidR="00AE068F" w:rsidRPr="00451503">
              <w:rPr>
                <w:sz w:val="16"/>
                <w:szCs w:val="16"/>
              </w:rPr>
              <w:t xml:space="preserve"> 80%</w:t>
            </w:r>
          </w:p>
        </w:tc>
        <w:tc>
          <w:tcPr>
            <w:tcW w:w="751" w:type="pct"/>
            <w:gridSpan w:val="2"/>
            <w:vMerge w:val="restart"/>
          </w:tcPr>
          <w:p w:rsidR="00557278" w:rsidRPr="00451503" w:rsidRDefault="00557278" w:rsidP="00BE2DD3">
            <w:pPr>
              <w:tabs>
                <w:tab w:val="left" w:pos="237"/>
              </w:tabs>
              <w:rPr>
                <w:sz w:val="16"/>
                <w:szCs w:val="16"/>
              </w:rPr>
            </w:pPr>
            <w:r w:rsidRPr="00451503">
              <w:rPr>
                <w:sz w:val="16"/>
                <w:szCs w:val="16"/>
              </w:rPr>
              <w:lastRenderedPageBreak/>
              <w:t>Ministry of Justice;</w:t>
            </w:r>
          </w:p>
          <w:p w:rsidR="00557278" w:rsidRPr="00451503" w:rsidRDefault="00557278" w:rsidP="00BE2DD3">
            <w:pPr>
              <w:tabs>
                <w:tab w:val="left" w:pos="237"/>
              </w:tabs>
              <w:rPr>
                <w:sz w:val="16"/>
                <w:szCs w:val="16"/>
              </w:rPr>
            </w:pPr>
            <w:r w:rsidRPr="00451503">
              <w:rPr>
                <w:sz w:val="16"/>
                <w:szCs w:val="16"/>
              </w:rPr>
              <w:t>Ministry of Social Affairs;</w:t>
            </w:r>
          </w:p>
          <w:p w:rsidR="00557278" w:rsidRPr="00451503" w:rsidRDefault="00557278" w:rsidP="00BE2DD3">
            <w:pPr>
              <w:tabs>
                <w:tab w:val="left" w:pos="237"/>
              </w:tabs>
              <w:rPr>
                <w:sz w:val="16"/>
                <w:szCs w:val="16"/>
              </w:rPr>
            </w:pPr>
            <w:r w:rsidRPr="00451503">
              <w:rPr>
                <w:sz w:val="16"/>
                <w:szCs w:val="16"/>
              </w:rPr>
              <w:t>National Commission on Human Rights;</w:t>
            </w:r>
          </w:p>
          <w:p w:rsidR="00557278" w:rsidRPr="00451503" w:rsidRDefault="00557278" w:rsidP="00BE2DD3">
            <w:pPr>
              <w:tabs>
                <w:tab w:val="left" w:pos="237"/>
              </w:tabs>
              <w:rPr>
                <w:sz w:val="16"/>
                <w:szCs w:val="16"/>
              </w:rPr>
            </w:pPr>
            <w:r w:rsidRPr="00451503">
              <w:rPr>
                <w:sz w:val="16"/>
                <w:szCs w:val="16"/>
              </w:rPr>
              <w:t>CSOs on Human Rights;</w:t>
            </w:r>
          </w:p>
          <w:p w:rsidR="00557278" w:rsidRPr="00451503" w:rsidRDefault="00557278" w:rsidP="00BE2DD3">
            <w:pPr>
              <w:tabs>
                <w:tab w:val="left" w:pos="237"/>
              </w:tabs>
              <w:rPr>
                <w:sz w:val="16"/>
                <w:szCs w:val="16"/>
              </w:rPr>
            </w:pPr>
            <w:r w:rsidRPr="00451503">
              <w:rPr>
                <w:sz w:val="16"/>
                <w:szCs w:val="16"/>
              </w:rPr>
              <w:t>Ministry of Public Service;</w:t>
            </w:r>
          </w:p>
          <w:p w:rsidR="00557278" w:rsidRPr="00451503" w:rsidRDefault="000D7B9B" w:rsidP="00BE2DD3">
            <w:pPr>
              <w:tabs>
                <w:tab w:val="left" w:pos="237"/>
              </w:tabs>
              <w:rPr>
                <w:sz w:val="16"/>
                <w:szCs w:val="16"/>
              </w:rPr>
            </w:pPr>
            <w:r w:rsidRPr="00CF2C68">
              <w:rPr>
                <w:sz w:val="16"/>
                <w:szCs w:val="16"/>
              </w:rPr>
              <w:t>MEF</w:t>
            </w:r>
            <w:r w:rsidR="00557278" w:rsidRPr="00451503">
              <w:rPr>
                <w:sz w:val="16"/>
                <w:szCs w:val="16"/>
              </w:rPr>
              <w:t>;</w:t>
            </w:r>
          </w:p>
          <w:p w:rsidR="00557278" w:rsidRPr="006E077F" w:rsidRDefault="008F38B0" w:rsidP="00BE2DD3">
            <w:pPr>
              <w:tabs>
                <w:tab w:val="left" w:pos="237"/>
              </w:tabs>
              <w:rPr>
                <w:sz w:val="16"/>
                <w:szCs w:val="16"/>
              </w:rPr>
            </w:pPr>
            <w:r w:rsidRPr="008F38B0">
              <w:rPr>
                <w:sz w:val="16"/>
                <w:szCs w:val="16"/>
              </w:rPr>
              <w:t>Ministry of the Interior and Decentralization</w:t>
            </w:r>
            <w:r w:rsidR="00557278" w:rsidRPr="006E077F">
              <w:rPr>
                <w:sz w:val="16"/>
                <w:szCs w:val="16"/>
              </w:rPr>
              <w:t>;</w:t>
            </w:r>
          </w:p>
          <w:p w:rsidR="00557278" w:rsidRPr="006E077F" w:rsidRDefault="00557278" w:rsidP="00BE2DD3">
            <w:pPr>
              <w:tabs>
                <w:tab w:val="left" w:pos="237"/>
              </w:tabs>
              <w:rPr>
                <w:sz w:val="16"/>
              </w:rPr>
            </w:pPr>
            <w:r w:rsidRPr="006E077F">
              <w:rPr>
                <w:sz w:val="16"/>
              </w:rPr>
              <w:t>GIZ</w:t>
            </w:r>
            <w:r w:rsidR="00CF2C68" w:rsidRPr="006E077F">
              <w:rPr>
                <w:sz w:val="16"/>
              </w:rPr>
              <w:t>;</w:t>
            </w:r>
            <w:r w:rsidRPr="006E077F">
              <w:rPr>
                <w:sz w:val="16"/>
              </w:rPr>
              <w:t xml:space="preserve"> </w:t>
            </w:r>
          </w:p>
          <w:p w:rsidR="00557278" w:rsidRPr="006E077F" w:rsidRDefault="008F38B0" w:rsidP="00BE2DD3">
            <w:pPr>
              <w:tabs>
                <w:tab w:val="left" w:pos="237"/>
              </w:tabs>
              <w:rPr>
                <w:sz w:val="16"/>
              </w:rPr>
            </w:pPr>
            <w:r>
              <w:rPr>
                <w:sz w:val="16"/>
              </w:rPr>
              <w:t>European Union</w:t>
            </w:r>
            <w:r w:rsidR="00942A2B">
              <w:rPr>
                <w:sz w:val="16"/>
              </w:rPr>
              <w:t>;</w:t>
            </w:r>
            <w:r w:rsidR="00557278" w:rsidRPr="006E077F">
              <w:rPr>
                <w:sz w:val="16"/>
              </w:rPr>
              <w:t xml:space="preserve"> </w:t>
            </w:r>
          </w:p>
          <w:p w:rsidR="00557278" w:rsidRPr="006E077F" w:rsidRDefault="00190515" w:rsidP="00BE2DD3">
            <w:pPr>
              <w:tabs>
                <w:tab w:val="left" w:pos="237"/>
              </w:tabs>
              <w:rPr>
                <w:sz w:val="16"/>
              </w:rPr>
            </w:pPr>
            <w:r>
              <w:rPr>
                <w:sz w:val="16"/>
              </w:rPr>
              <w:t>France Development Agency</w:t>
            </w:r>
            <w:r w:rsidR="00942A2B">
              <w:rPr>
                <w:sz w:val="16"/>
              </w:rPr>
              <w:t>;</w:t>
            </w:r>
            <w:r w:rsidR="00557278" w:rsidRPr="006E077F">
              <w:rPr>
                <w:sz w:val="16"/>
              </w:rPr>
              <w:t xml:space="preserve"> </w:t>
            </w:r>
          </w:p>
          <w:p w:rsidR="00557278" w:rsidRPr="006E077F" w:rsidRDefault="003E61FF" w:rsidP="00BE2DD3">
            <w:pPr>
              <w:tabs>
                <w:tab w:val="left" w:pos="237"/>
              </w:tabs>
              <w:rPr>
                <w:sz w:val="16"/>
              </w:rPr>
            </w:pPr>
            <w:r w:rsidRPr="006E077F">
              <w:rPr>
                <w:sz w:val="16"/>
              </w:rPr>
              <w:t>W</w:t>
            </w:r>
            <w:r w:rsidR="00CF2C68" w:rsidRPr="006E077F">
              <w:rPr>
                <w:sz w:val="16"/>
              </w:rPr>
              <w:t xml:space="preserve">orld </w:t>
            </w:r>
            <w:r w:rsidRPr="006E077F">
              <w:rPr>
                <w:sz w:val="16"/>
              </w:rPr>
              <w:t>B</w:t>
            </w:r>
            <w:r w:rsidR="00CF2C68" w:rsidRPr="006E077F">
              <w:rPr>
                <w:sz w:val="16"/>
              </w:rPr>
              <w:t>ank;</w:t>
            </w:r>
            <w:r w:rsidR="00557278" w:rsidRPr="006E077F">
              <w:rPr>
                <w:sz w:val="16"/>
              </w:rPr>
              <w:t xml:space="preserve"> </w:t>
            </w:r>
          </w:p>
          <w:p w:rsidR="00557278" w:rsidRPr="006E077F" w:rsidRDefault="008C645A" w:rsidP="00BE2DD3">
            <w:pPr>
              <w:tabs>
                <w:tab w:val="left" w:pos="237"/>
              </w:tabs>
              <w:rPr>
                <w:sz w:val="16"/>
                <w:szCs w:val="16"/>
              </w:rPr>
            </w:pPr>
            <w:r w:rsidRPr="006E077F">
              <w:rPr>
                <w:sz w:val="16"/>
                <w:szCs w:val="16"/>
              </w:rPr>
              <w:t>AfDB</w:t>
            </w:r>
            <w:r w:rsidR="00CF2C68" w:rsidRPr="006E077F">
              <w:rPr>
                <w:sz w:val="16"/>
                <w:szCs w:val="16"/>
              </w:rPr>
              <w:t>;</w:t>
            </w:r>
          </w:p>
          <w:p w:rsidR="00557278" w:rsidRPr="006E077F" w:rsidRDefault="00557278" w:rsidP="00BE2DD3">
            <w:pPr>
              <w:tabs>
                <w:tab w:val="left" w:pos="237"/>
              </w:tabs>
              <w:rPr>
                <w:sz w:val="16"/>
                <w:szCs w:val="16"/>
              </w:rPr>
            </w:pPr>
            <w:r w:rsidRPr="006E077F">
              <w:rPr>
                <w:sz w:val="16"/>
                <w:szCs w:val="16"/>
              </w:rPr>
              <w:t>CENI;</w:t>
            </w:r>
          </w:p>
          <w:p w:rsidR="00557278" w:rsidRPr="00451503" w:rsidRDefault="00557278" w:rsidP="00BE2DD3">
            <w:pPr>
              <w:tabs>
                <w:tab w:val="left" w:pos="237"/>
              </w:tabs>
              <w:rPr>
                <w:sz w:val="16"/>
                <w:szCs w:val="16"/>
              </w:rPr>
            </w:pPr>
            <w:r w:rsidRPr="006E077F">
              <w:rPr>
                <w:sz w:val="16"/>
                <w:szCs w:val="16"/>
              </w:rPr>
              <w:t>Ministry of Youth and Sports</w:t>
            </w:r>
            <w:r w:rsidR="00CF2C68" w:rsidRPr="006E077F">
              <w:rPr>
                <w:sz w:val="16"/>
                <w:szCs w:val="16"/>
              </w:rPr>
              <w:t>;</w:t>
            </w:r>
          </w:p>
          <w:p w:rsidR="00557278" w:rsidRPr="00451503" w:rsidRDefault="00557278" w:rsidP="00BE2DD3">
            <w:pPr>
              <w:tabs>
                <w:tab w:val="left" w:pos="237"/>
              </w:tabs>
              <w:rPr>
                <w:sz w:val="16"/>
                <w:szCs w:val="16"/>
              </w:rPr>
            </w:pPr>
            <w:r w:rsidRPr="00451503">
              <w:rPr>
                <w:sz w:val="16"/>
                <w:szCs w:val="16"/>
              </w:rPr>
              <w:t>Youth and women's associations at local level</w:t>
            </w:r>
            <w:r w:rsidR="00115EE8">
              <w:rPr>
                <w:sz w:val="16"/>
                <w:szCs w:val="16"/>
              </w:rPr>
              <w:t>s</w:t>
            </w:r>
            <w:r w:rsidRPr="00451503">
              <w:rPr>
                <w:sz w:val="16"/>
                <w:szCs w:val="16"/>
              </w:rPr>
              <w:t>;</w:t>
            </w:r>
          </w:p>
          <w:p w:rsidR="00DD4D99" w:rsidRPr="00451503" w:rsidRDefault="00557278" w:rsidP="00BE2DD3">
            <w:pPr>
              <w:tabs>
                <w:tab w:val="left" w:pos="237"/>
              </w:tabs>
              <w:rPr>
                <w:sz w:val="16"/>
                <w:szCs w:val="16"/>
              </w:rPr>
            </w:pPr>
            <w:r w:rsidRPr="00451503">
              <w:rPr>
                <w:sz w:val="16"/>
                <w:szCs w:val="16"/>
              </w:rPr>
              <w:t>Embassy</w:t>
            </w:r>
            <w:r w:rsidR="00CF2C68">
              <w:rPr>
                <w:sz w:val="16"/>
                <w:szCs w:val="16"/>
              </w:rPr>
              <w:t xml:space="preserve"> of the United States of America; Embassy of</w:t>
            </w:r>
            <w:r w:rsidRPr="00451503">
              <w:rPr>
                <w:sz w:val="16"/>
                <w:szCs w:val="16"/>
              </w:rPr>
              <w:t xml:space="preserve"> Japan</w:t>
            </w:r>
            <w:r w:rsidR="00CF2C68">
              <w:rPr>
                <w:sz w:val="16"/>
                <w:szCs w:val="16"/>
              </w:rPr>
              <w:t>, and the p</w:t>
            </w:r>
            <w:r w:rsidR="00DD4D99">
              <w:rPr>
                <w:sz w:val="16"/>
                <w:szCs w:val="16"/>
              </w:rPr>
              <w:t>rivate sector</w:t>
            </w:r>
            <w:r w:rsidR="00CF2C68">
              <w:rPr>
                <w:sz w:val="16"/>
                <w:szCs w:val="16"/>
              </w:rPr>
              <w:t>.</w:t>
            </w:r>
          </w:p>
          <w:p w:rsidR="00557278" w:rsidRPr="00451503" w:rsidRDefault="00557278" w:rsidP="00BE2DD3">
            <w:pPr>
              <w:tabs>
                <w:tab w:val="left" w:pos="237"/>
              </w:tabs>
              <w:rPr>
                <w:sz w:val="16"/>
                <w:szCs w:val="16"/>
              </w:rPr>
            </w:pPr>
          </w:p>
        </w:tc>
        <w:tc>
          <w:tcPr>
            <w:tcW w:w="642" w:type="pct"/>
            <w:gridSpan w:val="2"/>
            <w:tcMar>
              <w:top w:w="15" w:type="dxa"/>
              <w:left w:w="108" w:type="dxa"/>
              <w:bottom w:w="0" w:type="dxa"/>
              <w:right w:w="108" w:type="dxa"/>
            </w:tcMar>
          </w:tcPr>
          <w:p w:rsidR="00557278" w:rsidRPr="00451503" w:rsidRDefault="00557278" w:rsidP="00BE2DD3">
            <w:pPr>
              <w:rPr>
                <w:b/>
                <w:sz w:val="16"/>
                <w:szCs w:val="16"/>
              </w:rPr>
            </w:pPr>
            <w:r w:rsidRPr="00451503">
              <w:rPr>
                <w:b/>
                <w:sz w:val="16"/>
                <w:szCs w:val="16"/>
              </w:rPr>
              <w:t xml:space="preserve">Regular: </w:t>
            </w:r>
            <w:r w:rsidR="003E2581">
              <w:rPr>
                <w:b/>
                <w:sz w:val="16"/>
                <w:szCs w:val="16"/>
              </w:rPr>
              <w:t>2</w:t>
            </w:r>
            <w:r w:rsidR="001D4D7A">
              <w:rPr>
                <w:b/>
                <w:sz w:val="16"/>
                <w:szCs w:val="16"/>
              </w:rPr>
              <w:t>,</w:t>
            </w:r>
            <w:r w:rsidR="003E4579">
              <w:rPr>
                <w:b/>
                <w:sz w:val="16"/>
                <w:szCs w:val="16"/>
              </w:rPr>
              <w:t>832</w:t>
            </w:r>
            <w:r w:rsidR="001D4D7A">
              <w:rPr>
                <w:b/>
                <w:sz w:val="16"/>
                <w:szCs w:val="16"/>
              </w:rPr>
              <w:t>,</w:t>
            </w:r>
            <w:r w:rsidR="003E4579">
              <w:rPr>
                <w:b/>
                <w:sz w:val="16"/>
                <w:szCs w:val="16"/>
              </w:rPr>
              <w:t>4</w:t>
            </w:r>
            <w:r w:rsidRPr="00451503">
              <w:rPr>
                <w:b/>
                <w:sz w:val="16"/>
                <w:szCs w:val="16"/>
              </w:rPr>
              <w:t>00</w:t>
            </w:r>
          </w:p>
        </w:tc>
      </w:tr>
      <w:tr w:rsidR="00557278" w:rsidRPr="00451503" w:rsidTr="00BE2DD3">
        <w:tc>
          <w:tcPr>
            <w:tcW w:w="981" w:type="pct"/>
            <w:vMerge/>
            <w:tcBorders>
              <w:bottom w:val="single" w:sz="4" w:space="0" w:color="auto"/>
            </w:tcBorders>
            <w:tcMar>
              <w:top w:w="72" w:type="dxa"/>
              <w:left w:w="144" w:type="dxa"/>
              <w:bottom w:w="72" w:type="dxa"/>
              <w:right w:w="144" w:type="dxa"/>
            </w:tcMar>
          </w:tcPr>
          <w:p w:rsidR="00557278" w:rsidRPr="00451503" w:rsidRDefault="00557278" w:rsidP="00BE2DD3">
            <w:pPr>
              <w:rPr>
                <w:i/>
                <w:iCs/>
                <w:sz w:val="16"/>
                <w:szCs w:val="16"/>
                <w:lang w:val="en-GB"/>
              </w:rPr>
            </w:pPr>
          </w:p>
        </w:tc>
        <w:tc>
          <w:tcPr>
            <w:tcW w:w="616" w:type="pct"/>
            <w:gridSpan w:val="2"/>
            <w:vMerge/>
            <w:tcBorders>
              <w:bottom w:val="single" w:sz="4" w:space="0" w:color="auto"/>
            </w:tcBorders>
          </w:tcPr>
          <w:p w:rsidR="00557278" w:rsidRPr="00451503" w:rsidRDefault="00557278" w:rsidP="00BE2DD3">
            <w:pPr>
              <w:rPr>
                <w:i/>
                <w:iCs/>
                <w:sz w:val="16"/>
                <w:szCs w:val="16"/>
                <w:lang w:val="en-GB"/>
              </w:rPr>
            </w:pPr>
          </w:p>
        </w:tc>
        <w:tc>
          <w:tcPr>
            <w:tcW w:w="2010" w:type="pct"/>
            <w:vMerge/>
            <w:tcBorders>
              <w:bottom w:val="single" w:sz="4" w:space="0" w:color="auto"/>
            </w:tcBorders>
            <w:tcMar>
              <w:top w:w="72" w:type="dxa"/>
              <w:left w:w="144" w:type="dxa"/>
              <w:bottom w:w="72" w:type="dxa"/>
              <w:right w:w="144" w:type="dxa"/>
            </w:tcMar>
          </w:tcPr>
          <w:p w:rsidR="00557278" w:rsidRPr="00451503" w:rsidRDefault="00557278" w:rsidP="00BE2DD3">
            <w:pPr>
              <w:rPr>
                <w:i/>
                <w:iCs/>
                <w:sz w:val="16"/>
                <w:szCs w:val="16"/>
                <w:lang w:val="en-GB"/>
              </w:rPr>
            </w:pPr>
          </w:p>
        </w:tc>
        <w:tc>
          <w:tcPr>
            <w:tcW w:w="751" w:type="pct"/>
            <w:gridSpan w:val="2"/>
            <w:vMerge/>
            <w:tcBorders>
              <w:bottom w:val="single" w:sz="4" w:space="0" w:color="auto"/>
            </w:tcBorders>
          </w:tcPr>
          <w:p w:rsidR="00557278" w:rsidRPr="00451503" w:rsidRDefault="00557278" w:rsidP="00BE2DD3">
            <w:pPr>
              <w:rPr>
                <w:i/>
                <w:iCs/>
                <w:sz w:val="16"/>
                <w:szCs w:val="16"/>
                <w:lang w:val="en-GB"/>
              </w:rPr>
            </w:pPr>
          </w:p>
        </w:tc>
        <w:tc>
          <w:tcPr>
            <w:tcW w:w="642" w:type="pct"/>
            <w:gridSpan w:val="2"/>
            <w:tcBorders>
              <w:bottom w:val="single" w:sz="4" w:space="0" w:color="auto"/>
            </w:tcBorders>
            <w:tcMar>
              <w:top w:w="15" w:type="dxa"/>
              <w:left w:w="108" w:type="dxa"/>
              <w:bottom w:w="0" w:type="dxa"/>
              <w:right w:w="108" w:type="dxa"/>
            </w:tcMar>
          </w:tcPr>
          <w:p w:rsidR="00557278" w:rsidRPr="00451503" w:rsidRDefault="00557278" w:rsidP="00BE2DD3">
            <w:pPr>
              <w:rPr>
                <w:b/>
                <w:sz w:val="16"/>
                <w:szCs w:val="16"/>
              </w:rPr>
            </w:pPr>
            <w:r w:rsidRPr="00451503">
              <w:rPr>
                <w:b/>
                <w:sz w:val="16"/>
                <w:szCs w:val="16"/>
              </w:rPr>
              <w:t>Other: 17</w:t>
            </w:r>
            <w:r w:rsidR="001D4D7A">
              <w:rPr>
                <w:b/>
                <w:sz w:val="16"/>
                <w:szCs w:val="16"/>
              </w:rPr>
              <w:t>,</w:t>
            </w:r>
            <w:r w:rsidRPr="00451503">
              <w:rPr>
                <w:b/>
                <w:sz w:val="16"/>
                <w:szCs w:val="16"/>
              </w:rPr>
              <w:t>500</w:t>
            </w:r>
            <w:r w:rsidR="001D4D7A">
              <w:rPr>
                <w:b/>
                <w:sz w:val="16"/>
                <w:szCs w:val="16"/>
              </w:rPr>
              <w:t>,</w:t>
            </w:r>
            <w:r w:rsidRPr="00451503">
              <w:rPr>
                <w:b/>
                <w:sz w:val="16"/>
                <w:szCs w:val="16"/>
              </w:rPr>
              <w:t>000</w:t>
            </w:r>
          </w:p>
        </w:tc>
      </w:tr>
      <w:tr w:rsidR="00557278" w:rsidRPr="00451503" w:rsidTr="00BE2DD3">
        <w:tc>
          <w:tcPr>
            <w:tcW w:w="5000" w:type="pct"/>
            <w:gridSpan w:val="8"/>
            <w:shd w:val="clear" w:color="auto" w:fill="auto"/>
            <w:tcMar>
              <w:top w:w="72" w:type="dxa"/>
              <w:left w:w="144" w:type="dxa"/>
              <w:bottom w:w="72" w:type="dxa"/>
              <w:right w:w="144" w:type="dxa"/>
            </w:tcMar>
          </w:tcPr>
          <w:p w:rsidR="00557278" w:rsidRPr="00451503" w:rsidRDefault="00557278" w:rsidP="00BE2DD3">
            <w:pPr>
              <w:rPr>
                <w:sz w:val="16"/>
                <w:szCs w:val="16"/>
              </w:rPr>
            </w:pPr>
            <w:r w:rsidRPr="00451503">
              <w:rPr>
                <w:b/>
                <w:bCs/>
                <w:sz w:val="16"/>
                <w:szCs w:val="16"/>
              </w:rPr>
              <w:t>NATIONAL PRIORITY OR GOAL: Pillar #3:</w:t>
            </w:r>
            <w:r w:rsidRPr="00451503">
              <w:t xml:space="preserve"> </w:t>
            </w:r>
            <w:r w:rsidRPr="00451503">
              <w:rPr>
                <w:b/>
                <w:bCs/>
                <w:sz w:val="16"/>
                <w:szCs w:val="16"/>
              </w:rPr>
              <w:t>Strengthening governance in all its dimensions / Strategic work of environmental governance</w:t>
            </w:r>
          </w:p>
        </w:tc>
      </w:tr>
      <w:tr w:rsidR="0035778D" w:rsidRPr="005507EA" w:rsidTr="00BE2DD3">
        <w:tc>
          <w:tcPr>
            <w:tcW w:w="3607" w:type="pct"/>
            <w:gridSpan w:val="4"/>
            <w:shd w:val="clear" w:color="auto" w:fill="auto"/>
            <w:tcMar>
              <w:top w:w="72" w:type="dxa"/>
              <w:left w:w="144" w:type="dxa"/>
              <w:bottom w:w="72" w:type="dxa"/>
              <w:right w:w="144" w:type="dxa"/>
            </w:tcMar>
          </w:tcPr>
          <w:p w:rsidR="0035778D" w:rsidRPr="005507EA" w:rsidRDefault="0035778D" w:rsidP="00BE2DD3">
            <w:pPr>
              <w:rPr>
                <w:sz w:val="16"/>
                <w:szCs w:val="16"/>
              </w:rPr>
            </w:pPr>
            <w:r w:rsidRPr="005507EA">
              <w:rPr>
                <w:b/>
                <w:bCs/>
                <w:sz w:val="16"/>
                <w:szCs w:val="16"/>
              </w:rPr>
              <w:t>UNDAF (OR EQUIVALENT) OUTCOME INVOLVING UNDP #3:</w:t>
            </w:r>
            <w:r w:rsidRPr="005507EA">
              <w:rPr>
                <w:sz w:val="16"/>
                <w:szCs w:val="16"/>
              </w:rPr>
              <w:t xml:space="preserve"> </w:t>
            </w:r>
            <w:r w:rsidRPr="001D4D7A">
              <w:rPr>
                <w:sz w:val="16"/>
                <w:szCs w:val="16"/>
              </w:rPr>
              <w:t>The institutions and communities contribute to the sustainable management of natural resources, to anticipate and respond to crises and the effects of climate change</w:t>
            </w:r>
            <w:r>
              <w:rPr>
                <w:sz w:val="16"/>
                <w:szCs w:val="16"/>
              </w:rPr>
              <w:t>.</w:t>
            </w:r>
          </w:p>
        </w:tc>
        <w:tc>
          <w:tcPr>
            <w:tcW w:w="1393" w:type="pct"/>
            <w:gridSpan w:val="4"/>
            <w:shd w:val="clear" w:color="auto" w:fill="auto"/>
          </w:tcPr>
          <w:p w:rsidR="0035778D" w:rsidRPr="002C127A" w:rsidRDefault="0035778D" w:rsidP="00BE2DD3">
            <w:pPr>
              <w:rPr>
                <w:b/>
                <w:sz w:val="16"/>
                <w:szCs w:val="16"/>
              </w:rPr>
            </w:pPr>
            <w:r w:rsidRPr="002C127A">
              <w:rPr>
                <w:b/>
                <w:sz w:val="16"/>
                <w:szCs w:val="16"/>
              </w:rPr>
              <w:t>SDG: SDG</w:t>
            </w:r>
            <w:r w:rsidR="00C54725">
              <w:rPr>
                <w:b/>
                <w:sz w:val="16"/>
                <w:szCs w:val="16"/>
              </w:rPr>
              <w:t xml:space="preserve"> </w:t>
            </w:r>
            <w:r w:rsidRPr="002C127A">
              <w:rPr>
                <w:b/>
                <w:sz w:val="16"/>
                <w:szCs w:val="16"/>
              </w:rPr>
              <w:t>1, SDG</w:t>
            </w:r>
            <w:r w:rsidR="00C54725">
              <w:rPr>
                <w:b/>
                <w:sz w:val="16"/>
                <w:szCs w:val="16"/>
              </w:rPr>
              <w:t xml:space="preserve"> </w:t>
            </w:r>
            <w:r w:rsidRPr="002C127A">
              <w:rPr>
                <w:b/>
                <w:sz w:val="16"/>
                <w:szCs w:val="16"/>
              </w:rPr>
              <w:t>6, SDG</w:t>
            </w:r>
            <w:r w:rsidR="00C54725">
              <w:rPr>
                <w:b/>
                <w:sz w:val="16"/>
                <w:szCs w:val="16"/>
              </w:rPr>
              <w:t xml:space="preserve"> </w:t>
            </w:r>
            <w:r w:rsidRPr="002C127A">
              <w:rPr>
                <w:b/>
                <w:sz w:val="16"/>
                <w:szCs w:val="16"/>
              </w:rPr>
              <w:t>7, SDG</w:t>
            </w:r>
            <w:r w:rsidR="00C54725">
              <w:rPr>
                <w:b/>
                <w:sz w:val="16"/>
                <w:szCs w:val="16"/>
              </w:rPr>
              <w:t xml:space="preserve"> </w:t>
            </w:r>
            <w:r w:rsidRPr="002C127A">
              <w:rPr>
                <w:b/>
                <w:sz w:val="16"/>
                <w:szCs w:val="16"/>
              </w:rPr>
              <w:t>11, SDG</w:t>
            </w:r>
            <w:r w:rsidR="00C54725">
              <w:rPr>
                <w:b/>
                <w:sz w:val="16"/>
                <w:szCs w:val="16"/>
              </w:rPr>
              <w:t xml:space="preserve"> </w:t>
            </w:r>
            <w:r w:rsidRPr="002C127A">
              <w:rPr>
                <w:b/>
                <w:sz w:val="16"/>
                <w:szCs w:val="16"/>
              </w:rPr>
              <w:t>13, SDG</w:t>
            </w:r>
            <w:r w:rsidR="00C54725">
              <w:rPr>
                <w:b/>
                <w:sz w:val="16"/>
                <w:szCs w:val="16"/>
              </w:rPr>
              <w:t xml:space="preserve"> </w:t>
            </w:r>
            <w:r w:rsidRPr="002C127A">
              <w:rPr>
                <w:b/>
                <w:sz w:val="16"/>
                <w:szCs w:val="16"/>
              </w:rPr>
              <w:t>14, SDG</w:t>
            </w:r>
            <w:r w:rsidR="00C54725">
              <w:rPr>
                <w:b/>
                <w:sz w:val="16"/>
                <w:szCs w:val="16"/>
              </w:rPr>
              <w:t xml:space="preserve"> </w:t>
            </w:r>
            <w:r w:rsidRPr="002C127A">
              <w:rPr>
                <w:b/>
                <w:sz w:val="16"/>
                <w:szCs w:val="16"/>
              </w:rPr>
              <w:t>15</w:t>
            </w:r>
          </w:p>
        </w:tc>
      </w:tr>
      <w:tr w:rsidR="00557278" w:rsidRPr="00451503" w:rsidTr="00BE2DD3">
        <w:tc>
          <w:tcPr>
            <w:tcW w:w="5000" w:type="pct"/>
            <w:gridSpan w:val="8"/>
            <w:shd w:val="clear" w:color="auto" w:fill="auto"/>
            <w:tcMar>
              <w:top w:w="72" w:type="dxa"/>
              <w:left w:w="144" w:type="dxa"/>
              <w:bottom w:w="72" w:type="dxa"/>
              <w:right w:w="144" w:type="dxa"/>
            </w:tcMar>
          </w:tcPr>
          <w:p w:rsidR="00557278" w:rsidRPr="00451503" w:rsidRDefault="00557278" w:rsidP="00BE2DD3">
            <w:pPr>
              <w:rPr>
                <w:b/>
                <w:bCs/>
                <w:sz w:val="16"/>
                <w:szCs w:val="16"/>
              </w:rPr>
            </w:pPr>
            <w:r w:rsidRPr="00451503">
              <w:rPr>
                <w:b/>
                <w:bCs/>
                <w:sz w:val="16"/>
                <w:szCs w:val="16"/>
              </w:rPr>
              <w:t>RELATED STRATEGIC PLAN OUTCOME:</w:t>
            </w:r>
            <w:r w:rsidRPr="00451503">
              <w:rPr>
                <w:sz w:val="16"/>
                <w:szCs w:val="16"/>
              </w:rPr>
              <w:t xml:space="preserve"> </w:t>
            </w:r>
            <w:r w:rsidRPr="00C4709E">
              <w:rPr>
                <w:b/>
                <w:sz w:val="16"/>
                <w:szCs w:val="16"/>
              </w:rPr>
              <w:t>Outcome 1</w:t>
            </w:r>
            <w:r w:rsidRPr="00451503">
              <w:rPr>
                <w:sz w:val="16"/>
                <w:szCs w:val="16"/>
              </w:rPr>
              <w:t>. Growth and development are inclusive and sustainable, incorporating productive capacities that create employment and livelihoods for the poor and excluded</w:t>
            </w:r>
          </w:p>
        </w:tc>
      </w:tr>
      <w:tr w:rsidR="00557278" w:rsidRPr="00451503" w:rsidTr="00BE2DD3">
        <w:tc>
          <w:tcPr>
            <w:tcW w:w="981" w:type="pct"/>
            <w:vMerge w:val="restart"/>
            <w:tcMar>
              <w:top w:w="72" w:type="dxa"/>
              <w:left w:w="144" w:type="dxa"/>
              <w:bottom w:w="72" w:type="dxa"/>
              <w:right w:w="144" w:type="dxa"/>
            </w:tcMar>
          </w:tcPr>
          <w:p w:rsidR="00557278" w:rsidRPr="00451503" w:rsidRDefault="00C56C0D" w:rsidP="00BE2DD3">
            <w:pPr>
              <w:rPr>
                <w:sz w:val="16"/>
                <w:szCs w:val="16"/>
              </w:rPr>
            </w:pPr>
            <w:r w:rsidRPr="00CE1E08">
              <w:rPr>
                <w:b/>
                <w:sz w:val="16"/>
                <w:szCs w:val="16"/>
              </w:rPr>
              <w:t>3.1</w:t>
            </w:r>
            <w:r>
              <w:rPr>
                <w:sz w:val="16"/>
                <w:szCs w:val="16"/>
              </w:rPr>
              <w:t xml:space="preserve"> </w:t>
            </w:r>
            <w:r w:rsidR="00557278" w:rsidRPr="00451503">
              <w:rPr>
                <w:sz w:val="16"/>
                <w:szCs w:val="16"/>
              </w:rPr>
              <w:t xml:space="preserve">Share of renewable energies in the </w:t>
            </w:r>
            <w:r w:rsidR="00073C22">
              <w:rPr>
                <w:sz w:val="16"/>
                <w:szCs w:val="16"/>
              </w:rPr>
              <w:t>m</w:t>
            </w:r>
            <w:r w:rsidR="00557278" w:rsidRPr="00451503">
              <w:rPr>
                <w:sz w:val="16"/>
                <w:szCs w:val="16"/>
              </w:rPr>
              <w:t>ix (SCAPP)</w:t>
            </w:r>
          </w:p>
          <w:p w:rsidR="00557278" w:rsidRPr="00451503" w:rsidRDefault="00557278" w:rsidP="00BE2DD3">
            <w:pPr>
              <w:rPr>
                <w:sz w:val="16"/>
                <w:szCs w:val="16"/>
              </w:rPr>
            </w:pPr>
            <w:r w:rsidRPr="00451503">
              <w:rPr>
                <w:sz w:val="16"/>
                <w:szCs w:val="16"/>
              </w:rPr>
              <w:t>Baseline: 32% (2015)</w:t>
            </w:r>
          </w:p>
          <w:p w:rsidR="00557278" w:rsidRPr="00451503" w:rsidRDefault="00557278" w:rsidP="00BE2DD3">
            <w:pPr>
              <w:rPr>
                <w:sz w:val="16"/>
                <w:szCs w:val="16"/>
              </w:rPr>
            </w:pPr>
            <w:r w:rsidRPr="00451503">
              <w:rPr>
                <w:sz w:val="16"/>
                <w:szCs w:val="16"/>
              </w:rPr>
              <w:t>Target: 50%  (2020)</w:t>
            </w:r>
          </w:p>
          <w:p w:rsidR="00557278" w:rsidRPr="00451503" w:rsidRDefault="00557278" w:rsidP="00BE2DD3">
            <w:pPr>
              <w:rPr>
                <w:bCs/>
                <w:sz w:val="16"/>
                <w:szCs w:val="16"/>
                <w:lang w:val="en-GB"/>
              </w:rPr>
            </w:pPr>
          </w:p>
          <w:p w:rsidR="00557278" w:rsidRPr="00451503" w:rsidRDefault="00C56C0D" w:rsidP="00BE2DD3">
            <w:pPr>
              <w:rPr>
                <w:bCs/>
                <w:sz w:val="16"/>
                <w:szCs w:val="16"/>
                <w:lang w:val="en-GB"/>
              </w:rPr>
            </w:pPr>
            <w:r w:rsidRPr="00CE1E08">
              <w:rPr>
                <w:b/>
                <w:bCs/>
                <w:sz w:val="16"/>
                <w:szCs w:val="16"/>
                <w:lang w:val="en-GB"/>
              </w:rPr>
              <w:t>3.2</w:t>
            </w:r>
            <w:r>
              <w:rPr>
                <w:bCs/>
                <w:sz w:val="16"/>
                <w:szCs w:val="16"/>
                <w:lang w:val="en-GB"/>
              </w:rPr>
              <w:t xml:space="preserve"> </w:t>
            </w:r>
            <w:r w:rsidR="002C7041" w:rsidRPr="00451503">
              <w:rPr>
                <w:bCs/>
                <w:sz w:val="16"/>
                <w:szCs w:val="16"/>
                <w:lang w:val="en-GB"/>
              </w:rPr>
              <w:t>Percentage of</w:t>
            </w:r>
            <w:r w:rsidR="00557278" w:rsidRPr="00451503">
              <w:rPr>
                <w:bCs/>
                <w:sz w:val="16"/>
                <w:szCs w:val="16"/>
                <w:lang w:val="en-GB"/>
              </w:rPr>
              <w:t xml:space="preserve"> rural population with access to electricity [IRRF 1.4.A.2.1]</w:t>
            </w:r>
          </w:p>
          <w:p w:rsidR="00557278" w:rsidRPr="00451503" w:rsidRDefault="00557278" w:rsidP="00BE2DD3">
            <w:pPr>
              <w:rPr>
                <w:bCs/>
                <w:sz w:val="16"/>
                <w:szCs w:val="16"/>
                <w:lang w:val="en-GB"/>
              </w:rPr>
            </w:pPr>
            <w:r w:rsidRPr="00451503">
              <w:rPr>
                <w:bCs/>
                <w:sz w:val="16"/>
                <w:szCs w:val="16"/>
                <w:lang w:val="en-GB"/>
              </w:rPr>
              <w:t xml:space="preserve">Baseline: 5% </w:t>
            </w:r>
          </w:p>
          <w:p w:rsidR="00557278" w:rsidRPr="00451503" w:rsidRDefault="00557278" w:rsidP="00BE2DD3">
            <w:pPr>
              <w:rPr>
                <w:bCs/>
                <w:sz w:val="16"/>
                <w:szCs w:val="16"/>
                <w:lang w:val="en-GB"/>
              </w:rPr>
            </w:pPr>
            <w:r w:rsidRPr="00451503">
              <w:rPr>
                <w:bCs/>
                <w:sz w:val="16"/>
                <w:szCs w:val="16"/>
                <w:lang w:val="en-GB"/>
              </w:rPr>
              <w:t>Target: 15%</w:t>
            </w:r>
          </w:p>
          <w:p w:rsidR="00C56C0D" w:rsidRDefault="00C56C0D" w:rsidP="00BE2DD3">
            <w:pPr>
              <w:rPr>
                <w:bCs/>
                <w:sz w:val="16"/>
                <w:szCs w:val="16"/>
                <w:lang w:val="en-GB"/>
              </w:rPr>
            </w:pPr>
          </w:p>
          <w:p w:rsidR="00607E90" w:rsidRPr="00607E90" w:rsidRDefault="00607E90" w:rsidP="00BE2DD3">
            <w:pPr>
              <w:rPr>
                <w:bCs/>
                <w:sz w:val="16"/>
                <w:szCs w:val="16"/>
                <w:lang w:val="en-GB"/>
              </w:rPr>
            </w:pPr>
            <w:r w:rsidRPr="00CE1E08">
              <w:rPr>
                <w:b/>
                <w:bCs/>
                <w:sz w:val="16"/>
                <w:szCs w:val="16"/>
                <w:lang w:val="en-GB"/>
              </w:rPr>
              <w:lastRenderedPageBreak/>
              <w:t>3.3</w:t>
            </w:r>
            <w:r>
              <w:rPr>
                <w:bCs/>
                <w:sz w:val="16"/>
                <w:szCs w:val="16"/>
                <w:lang w:val="en-GB"/>
              </w:rPr>
              <w:t xml:space="preserve"> </w:t>
            </w:r>
            <w:r w:rsidRPr="00607E90">
              <w:rPr>
                <w:bCs/>
                <w:sz w:val="16"/>
                <w:szCs w:val="16"/>
                <w:lang w:val="en-GB"/>
              </w:rPr>
              <w:t>Economic loss from natural hazards (e.g. geo-physical and climate-induced hazards) as a proportion of Gross Domestic Product (GDP) [IRRF Indicator 5.2]</w:t>
            </w:r>
          </w:p>
          <w:p w:rsidR="00607E90" w:rsidRPr="00607E90" w:rsidRDefault="003468FC" w:rsidP="00BE2DD3">
            <w:pPr>
              <w:rPr>
                <w:bCs/>
                <w:sz w:val="16"/>
                <w:szCs w:val="16"/>
                <w:lang w:val="fr-FR"/>
              </w:rPr>
            </w:pPr>
            <w:r>
              <w:rPr>
                <w:bCs/>
                <w:sz w:val="16"/>
                <w:szCs w:val="16"/>
                <w:lang w:val="fr-FR"/>
              </w:rPr>
              <w:t xml:space="preserve">Baseline: 17% </w:t>
            </w:r>
          </w:p>
          <w:p w:rsidR="00073C22" w:rsidRPr="00451503" w:rsidRDefault="00607E90" w:rsidP="00BE2DD3">
            <w:pPr>
              <w:rPr>
                <w:bCs/>
                <w:sz w:val="16"/>
                <w:szCs w:val="16"/>
                <w:lang w:val="en-GB"/>
              </w:rPr>
            </w:pPr>
            <w:r w:rsidRPr="00607E90">
              <w:rPr>
                <w:bCs/>
                <w:sz w:val="16"/>
                <w:szCs w:val="16"/>
                <w:lang w:val="fr-FR"/>
              </w:rPr>
              <w:t>Target: 16%</w:t>
            </w:r>
          </w:p>
        </w:tc>
        <w:tc>
          <w:tcPr>
            <w:tcW w:w="616" w:type="pct"/>
            <w:gridSpan w:val="2"/>
            <w:vMerge w:val="restart"/>
          </w:tcPr>
          <w:p w:rsidR="00557278" w:rsidRPr="00DF6603" w:rsidRDefault="00557278" w:rsidP="00BE2DD3">
            <w:pPr>
              <w:rPr>
                <w:iCs/>
                <w:sz w:val="16"/>
                <w:szCs w:val="16"/>
                <w:lang w:val="en-GB"/>
              </w:rPr>
            </w:pPr>
            <w:r w:rsidRPr="00DF6603">
              <w:rPr>
                <w:bCs/>
                <w:iCs/>
                <w:sz w:val="16"/>
                <w:szCs w:val="16"/>
                <w:lang w:val="en-GB"/>
              </w:rPr>
              <w:lastRenderedPageBreak/>
              <w:t xml:space="preserve">Data Source: </w:t>
            </w:r>
            <w:r w:rsidRPr="00DF6603">
              <w:rPr>
                <w:iCs/>
                <w:sz w:val="16"/>
                <w:szCs w:val="16"/>
                <w:lang w:val="en-GB"/>
              </w:rPr>
              <w:t xml:space="preserve">SCAPP </w:t>
            </w:r>
            <w:r w:rsidR="003468FC">
              <w:rPr>
                <w:iCs/>
                <w:sz w:val="16"/>
                <w:szCs w:val="16"/>
                <w:lang w:val="en-GB"/>
              </w:rPr>
              <w:t>Implementation R</w:t>
            </w:r>
            <w:r w:rsidRPr="00DF6603">
              <w:rPr>
                <w:iCs/>
                <w:sz w:val="16"/>
                <w:szCs w:val="16"/>
                <w:lang w:val="en-GB"/>
              </w:rPr>
              <w:t>eport</w:t>
            </w:r>
          </w:p>
          <w:p w:rsidR="00557278" w:rsidRPr="00DF6603" w:rsidRDefault="00557278" w:rsidP="00BE2DD3">
            <w:pPr>
              <w:rPr>
                <w:iCs/>
                <w:sz w:val="16"/>
                <w:szCs w:val="16"/>
                <w:lang w:val="en-GB"/>
              </w:rPr>
            </w:pPr>
            <w:r w:rsidRPr="00DF6603">
              <w:rPr>
                <w:bCs/>
                <w:iCs/>
                <w:sz w:val="16"/>
                <w:szCs w:val="16"/>
                <w:lang w:val="en-GB"/>
              </w:rPr>
              <w:t>Frequency</w:t>
            </w:r>
            <w:r w:rsidRPr="00DF6603">
              <w:rPr>
                <w:iCs/>
                <w:sz w:val="16"/>
                <w:szCs w:val="16"/>
                <w:lang w:val="en-GB"/>
              </w:rPr>
              <w:t xml:space="preserve">: </w:t>
            </w:r>
            <w:r w:rsidR="003468FC">
              <w:rPr>
                <w:iCs/>
                <w:sz w:val="16"/>
                <w:szCs w:val="16"/>
                <w:lang w:val="en-GB"/>
              </w:rPr>
              <w:t>A</w:t>
            </w:r>
            <w:r w:rsidRPr="00DF6603">
              <w:rPr>
                <w:iCs/>
                <w:sz w:val="16"/>
                <w:szCs w:val="16"/>
                <w:lang w:val="en-GB"/>
              </w:rPr>
              <w:t>nnual</w:t>
            </w:r>
          </w:p>
          <w:p w:rsidR="00557278" w:rsidRPr="00DF6603" w:rsidRDefault="00557278" w:rsidP="00BE2DD3">
            <w:pPr>
              <w:rPr>
                <w:iCs/>
                <w:sz w:val="16"/>
                <w:szCs w:val="16"/>
                <w:lang w:val="en-GB"/>
              </w:rPr>
            </w:pPr>
          </w:p>
          <w:p w:rsidR="00557278" w:rsidRPr="00DF6603" w:rsidRDefault="00557278" w:rsidP="00BE2DD3">
            <w:pPr>
              <w:rPr>
                <w:bCs/>
                <w:iCs/>
                <w:sz w:val="16"/>
                <w:szCs w:val="16"/>
                <w:lang w:val="en-GB"/>
              </w:rPr>
            </w:pPr>
          </w:p>
          <w:p w:rsidR="00557278" w:rsidRPr="00DF6603" w:rsidRDefault="00557278" w:rsidP="00BE2DD3">
            <w:pPr>
              <w:rPr>
                <w:iCs/>
                <w:sz w:val="16"/>
                <w:szCs w:val="16"/>
                <w:lang w:val="en-GB"/>
              </w:rPr>
            </w:pPr>
            <w:r w:rsidRPr="00DF6603">
              <w:rPr>
                <w:bCs/>
                <w:iCs/>
                <w:sz w:val="16"/>
                <w:szCs w:val="16"/>
                <w:lang w:val="en-GB"/>
              </w:rPr>
              <w:t xml:space="preserve">Data Source: </w:t>
            </w:r>
            <w:r w:rsidRPr="00DF6603">
              <w:rPr>
                <w:iCs/>
                <w:sz w:val="16"/>
                <w:szCs w:val="16"/>
                <w:lang w:val="en-GB"/>
              </w:rPr>
              <w:t>SE4ALL</w:t>
            </w:r>
          </w:p>
          <w:p w:rsidR="00557278" w:rsidRPr="00DF6603" w:rsidRDefault="00557278" w:rsidP="00BE2DD3">
            <w:pPr>
              <w:rPr>
                <w:iCs/>
                <w:sz w:val="16"/>
                <w:szCs w:val="16"/>
                <w:lang w:val="en-GB"/>
              </w:rPr>
            </w:pPr>
            <w:r w:rsidRPr="00DF6603">
              <w:rPr>
                <w:bCs/>
                <w:iCs/>
                <w:sz w:val="16"/>
                <w:szCs w:val="16"/>
                <w:lang w:val="en-GB"/>
              </w:rPr>
              <w:t>Frequency:</w:t>
            </w:r>
            <w:r w:rsidRPr="00DF6603">
              <w:rPr>
                <w:iCs/>
                <w:sz w:val="16"/>
                <w:szCs w:val="16"/>
                <w:lang w:val="en-GB"/>
              </w:rPr>
              <w:t xml:space="preserve"> </w:t>
            </w:r>
            <w:r w:rsidR="009024EA" w:rsidRPr="00DF6603">
              <w:rPr>
                <w:iCs/>
                <w:sz w:val="16"/>
                <w:szCs w:val="16"/>
                <w:lang w:val="en-GB"/>
              </w:rPr>
              <w:t>A</w:t>
            </w:r>
            <w:r w:rsidRPr="00DF6603">
              <w:rPr>
                <w:iCs/>
                <w:sz w:val="16"/>
                <w:szCs w:val="16"/>
                <w:lang w:val="en-GB"/>
              </w:rPr>
              <w:t xml:space="preserve">nnual </w:t>
            </w:r>
          </w:p>
          <w:p w:rsidR="00557278" w:rsidRPr="00DF6603" w:rsidRDefault="00557278" w:rsidP="00BE2DD3">
            <w:pPr>
              <w:rPr>
                <w:bCs/>
                <w:sz w:val="16"/>
                <w:szCs w:val="16"/>
                <w:lang w:val="en-GB"/>
              </w:rPr>
            </w:pPr>
          </w:p>
          <w:p w:rsidR="00557278" w:rsidRPr="00DF6603" w:rsidRDefault="00557278" w:rsidP="00BE2DD3">
            <w:pPr>
              <w:rPr>
                <w:bCs/>
                <w:sz w:val="16"/>
                <w:szCs w:val="16"/>
                <w:lang w:val="en-GB"/>
              </w:rPr>
            </w:pPr>
          </w:p>
          <w:p w:rsidR="00557278" w:rsidRPr="00DF6603" w:rsidRDefault="00557278" w:rsidP="00BE2DD3">
            <w:pPr>
              <w:rPr>
                <w:bCs/>
                <w:sz w:val="16"/>
                <w:szCs w:val="16"/>
                <w:lang w:val="en-GB"/>
              </w:rPr>
            </w:pPr>
          </w:p>
          <w:p w:rsidR="00557278" w:rsidRPr="00DF6603" w:rsidRDefault="00557278" w:rsidP="00BE2DD3">
            <w:pPr>
              <w:rPr>
                <w:bCs/>
                <w:sz w:val="16"/>
                <w:szCs w:val="16"/>
                <w:lang w:val="en-GB"/>
              </w:rPr>
            </w:pPr>
          </w:p>
          <w:p w:rsidR="00557278" w:rsidRPr="00DF6603" w:rsidRDefault="00557278" w:rsidP="00BE2DD3">
            <w:pPr>
              <w:rPr>
                <w:iCs/>
                <w:sz w:val="16"/>
                <w:szCs w:val="16"/>
                <w:lang w:val="en-GB"/>
              </w:rPr>
            </w:pPr>
            <w:r w:rsidRPr="00DF6603">
              <w:rPr>
                <w:bCs/>
                <w:iCs/>
                <w:sz w:val="16"/>
                <w:szCs w:val="16"/>
                <w:lang w:val="en-GB"/>
              </w:rPr>
              <w:lastRenderedPageBreak/>
              <w:t xml:space="preserve">Data Source: </w:t>
            </w:r>
            <w:r w:rsidRPr="00DF6603">
              <w:rPr>
                <w:iCs/>
                <w:sz w:val="16"/>
                <w:szCs w:val="16"/>
                <w:lang w:val="en-GB"/>
              </w:rPr>
              <w:t xml:space="preserve">National Communication on Climate Change </w:t>
            </w:r>
          </w:p>
          <w:p w:rsidR="00557278" w:rsidRPr="00DF6603" w:rsidRDefault="00557278" w:rsidP="00BE2DD3">
            <w:pPr>
              <w:rPr>
                <w:iCs/>
                <w:sz w:val="16"/>
                <w:szCs w:val="16"/>
                <w:lang w:val="en-GB"/>
              </w:rPr>
            </w:pPr>
            <w:r w:rsidRPr="00DF6603">
              <w:rPr>
                <w:bCs/>
                <w:iCs/>
                <w:sz w:val="16"/>
                <w:szCs w:val="16"/>
                <w:lang w:val="en-GB"/>
              </w:rPr>
              <w:t>Frequency:</w:t>
            </w:r>
            <w:r w:rsidR="003468FC">
              <w:rPr>
                <w:iCs/>
                <w:sz w:val="16"/>
                <w:szCs w:val="16"/>
                <w:lang w:val="en-GB"/>
              </w:rPr>
              <w:t xml:space="preserve"> Annual</w:t>
            </w:r>
          </w:p>
          <w:p w:rsidR="00557278" w:rsidRPr="00DF6603" w:rsidRDefault="00557278" w:rsidP="00BE2DD3">
            <w:pPr>
              <w:rPr>
                <w:bCs/>
                <w:sz w:val="16"/>
                <w:szCs w:val="16"/>
                <w:lang w:val="en-GB"/>
              </w:rPr>
            </w:pPr>
          </w:p>
        </w:tc>
        <w:tc>
          <w:tcPr>
            <w:tcW w:w="2010" w:type="pct"/>
            <w:vMerge w:val="restart"/>
            <w:tcMar>
              <w:top w:w="72" w:type="dxa"/>
              <w:left w:w="144" w:type="dxa"/>
              <w:bottom w:w="72" w:type="dxa"/>
              <w:right w:w="144" w:type="dxa"/>
            </w:tcMar>
          </w:tcPr>
          <w:p w:rsidR="00557278" w:rsidRPr="00451503" w:rsidRDefault="00557278" w:rsidP="00BE2DD3">
            <w:pPr>
              <w:rPr>
                <w:sz w:val="16"/>
                <w:szCs w:val="16"/>
              </w:rPr>
            </w:pPr>
            <w:r w:rsidRPr="00451503">
              <w:rPr>
                <w:b/>
                <w:bCs/>
                <w:sz w:val="16"/>
                <w:szCs w:val="16"/>
              </w:rPr>
              <w:lastRenderedPageBreak/>
              <w:t>Output 3.1</w:t>
            </w:r>
            <w:r w:rsidRPr="00451503">
              <w:rPr>
                <w:sz w:val="16"/>
                <w:szCs w:val="16"/>
              </w:rPr>
              <w:t>: National institutions have the technical, financial and organizational capacities to ensure operational environmental coordination, ecosystem protection and effective disaster risk management</w:t>
            </w:r>
          </w:p>
          <w:p w:rsidR="00557278" w:rsidRPr="00451503" w:rsidRDefault="00557278" w:rsidP="00BE2DD3">
            <w:pPr>
              <w:rPr>
                <w:sz w:val="16"/>
                <w:szCs w:val="16"/>
              </w:rPr>
            </w:pPr>
            <w:r w:rsidRPr="00451503">
              <w:rPr>
                <w:b/>
                <w:bCs/>
                <w:sz w:val="16"/>
                <w:szCs w:val="16"/>
              </w:rPr>
              <w:t>Indicator 3.1.1</w:t>
            </w:r>
            <w:r w:rsidRPr="00451503">
              <w:rPr>
                <w:sz w:val="16"/>
                <w:szCs w:val="16"/>
              </w:rPr>
              <w:t xml:space="preserve">:  Extent to which there is a mechanism in place for effective institutional coordination </w:t>
            </w:r>
          </w:p>
          <w:p w:rsidR="00557278" w:rsidRPr="00451503" w:rsidRDefault="00557278" w:rsidP="00BE2DD3">
            <w:pPr>
              <w:rPr>
                <w:sz w:val="16"/>
                <w:szCs w:val="16"/>
              </w:rPr>
            </w:pPr>
            <w:r w:rsidRPr="00451503">
              <w:rPr>
                <w:sz w:val="16"/>
                <w:szCs w:val="16"/>
              </w:rPr>
              <w:t>Baseline:  3</w:t>
            </w:r>
            <w:r w:rsidR="00CF2C68">
              <w:rPr>
                <w:sz w:val="16"/>
                <w:szCs w:val="16"/>
              </w:rPr>
              <w:t xml:space="preserve"> (p</w:t>
            </w:r>
            <w:r w:rsidRPr="00451503">
              <w:rPr>
                <w:sz w:val="16"/>
                <w:szCs w:val="16"/>
              </w:rPr>
              <w:t>artially</w:t>
            </w:r>
            <w:r w:rsidR="00CF2C68">
              <w:rPr>
                <w:sz w:val="16"/>
                <w:szCs w:val="16"/>
              </w:rPr>
              <w:t>)</w:t>
            </w:r>
            <w:r w:rsidR="001E7AD8">
              <w:rPr>
                <w:rStyle w:val="FootnoteReference"/>
                <w:sz w:val="16"/>
                <w:szCs w:val="16"/>
              </w:rPr>
              <w:footnoteReference w:id="23"/>
            </w:r>
            <w:r w:rsidRPr="00451503">
              <w:rPr>
                <w:sz w:val="16"/>
                <w:szCs w:val="16"/>
              </w:rPr>
              <w:t xml:space="preserve"> </w:t>
            </w:r>
          </w:p>
          <w:p w:rsidR="00557278" w:rsidRPr="00451503" w:rsidRDefault="00557278" w:rsidP="00BE2DD3">
            <w:pPr>
              <w:rPr>
                <w:sz w:val="16"/>
                <w:szCs w:val="16"/>
              </w:rPr>
            </w:pPr>
            <w:r w:rsidRPr="00451503">
              <w:rPr>
                <w:sz w:val="16"/>
                <w:szCs w:val="16"/>
              </w:rPr>
              <w:t xml:space="preserve">Target: Fully </w:t>
            </w:r>
          </w:p>
          <w:p w:rsidR="00557278" w:rsidRPr="000D6543" w:rsidRDefault="00557278" w:rsidP="00BE2DD3">
            <w:pPr>
              <w:rPr>
                <w:sz w:val="16"/>
                <w:szCs w:val="16"/>
              </w:rPr>
            </w:pPr>
            <w:r w:rsidRPr="000D6543">
              <w:rPr>
                <w:b/>
                <w:bCs/>
                <w:sz w:val="16"/>
                <w:szCs w:val="16"/>
              </w:rPr>
              <w:t>Indicator 3.1.2</w:t>
            </w:r>
            <w:r w:rsidR="00C21B09" w:rsidRPr="000D6543">
              <w:rPr>
                <w:b/>
                <w:bCs/>
                <w:sz w:val="16"/>
                <w:szCs w:val="16"/>
              </w:rPr>
              <w:t>:</w:t>
            </w:r>
            <w:r w:rsidRPr="000D6543">
              <w:rPr>
                <w:b/>
                <w:bCs/>
                <w:sz w:val="16"/>
                <w:szCs w:val="16"/>
              </w:rPr>
              <w:t xml:space="preserve"> </w:t>
            </w:r>
            <w:r w:rsidRPr="000D6543">
              <w:rPr>
                <w:sz w:val="16"/>
                <w:szCs w:val="16"/>
              </w:rPr>
              <w:t xml:space="preserve">Extent to which disaster risk reduction and/or integrated disaster risk reduction and adaptation plans, and dedicated institutional frameworks and multi-stakeholder coordination mechanisms, are in place </w:t>
            </w:r>
            <w:r w:rsidR="00DC4F83" w:rsidRPr="000D6543">
              <w:rPr>
                <w:sz w:val="16"/>
                <w:szCs w:val="16"/>
              </w:rPr>
              <w:t>and are gender responsive.</w:t>
            </w:r>
          </w:p>
          <w:p w:rsidR="00557278" w:rsidRPr="000D6543" w:rsidRDefault="00557278" w:rsidP="00BE2DD3">
            <w:pPr>
              <w:rPr>
                <w:sz w:val="16"/>
                <w:szCs w:val="16"/>
              </w:rPr>
            </w:pPr>
            <w:r w:rsidRPr="000D6543">
              <w:rPr>
                <w:sz w:val="16"/>
                <w:szCs w:val="16"/>
              </w:rPr>
              <w:t>Baseline: 0</w:t>
            </w:r>
            <w:r w:rsidR="00C74863">
              <w:rPr>
                <w:rStyle w:val="FootnoteReference"/>
                <w:sz w:val="16"/>
                <w:szCs w:val="16"/>
              </w:rPr>
              <w:footnoteReference w:id="24"/>
            </w:r>
          </w:p>
          <w:p w:rsidR="004D64ED" w:rsidRDefault="00557278" w:rsidP="00BE2DD3">
            <w:pPr>
              <w:rPr>
                <w:sz w:val="16"/>
                <w:szCs w:val="16"/>
              </w:rPr>
            </w:pPr>
            <w:r w:rsidRPr="000D6543">
              <w:rPr>
                <w:sz w:val="16"/>
                <w:szCs w:val="16"/>
              </w:rPr>
              <w:lastRenderedPageBreak/>
              <w:t>Target: 3</w:t>
            </w:r>
          </w:p>
          <w:p w:rsidR="004D64ED" w:rsidRPr="000D6543" w:rsidRDefault="004D64ED" w:rsidP="00BE2DD3">
            <w:pPr>
              <w:rPr>
                <w:sz w:val="16"/>
                <w:szCs w:val="16"/>
              </w:rPr>
            </w:pPr>
            <w:r w:rsidRPr="000D6543">
              <w:rPr>
                <w:b/>
                <w:bCs/>
                <w:sz w:val="16"/>
                <w:szCs w:val="16"/>
              </w:rPr>
              <w:t>Indicator 3.1.</w:t>
            </w:r>
            <w:r>
              <w:rPr>
                <w:b/>
                <w:bCs/>
                <w:sz w:val="16"/>
                <w:szCs w:val="16"/>
              </w:rPr>
              <w:t>3</w:t>
            </w:r>
            <w:r w:rsidRPr="000D6543">
              <w:rPr>
                <w:b/>
                <w:bCs/>
                <w:sz w:val="16"/>
                <w:szCs w:val="16"/>
              </w:rPr>
              <w:t xml:space="preserve">: </w:t>
            </w:r>
            <w:r w:rsidRPr="00FF491F">
              <w:rPr>
                <w:bCs/>
                <w:sz w:val="16"/>
                <w:szCs w:val="16"/>
              </w:rPr>
              <w:t>Number of Government documents into which</w:t>
            </w:r>
            <w:r>
              <w:rPr>
                <w:b/>
                <w:bCs/>
                <w:sz w:val="16"/>
                <w:szCs w:val="16"/>
              </w:rPr>
              <w:t xml:space="preserve"> s</w:t>
            </w:r>
            <w:r>
              <w:rPr>
                <w:sz w:val="16"/>
                <w:szCs w:val="16"/>
              </w:rPr>
              <w:t>ocial and environmental standards have been integrated.</w:t>
            </w:r>
          </w:p>
          <w:p w:rsidR="004D64ED" w:rsidRPr="000D6543" w:rsidRDefault="004D64ED" w:rsidP="00BE2DD3">
            <w:pPr>
              <w:rPr>
                <w:sz w:val="16"/>
                <w:szCs w:val="16"/>
              </w:rPr>
            </w:pPr>
            <w:r w:rsidRPr="000D6543">
              <w:rPr>
                <w:sz w:val="16"/>
                <w:szCs w:val="16"/>
              </w:rPr>
              <w:t>Baseline: 0</w:t>
            </w:r>
          </w:p>
          <w:p w:rsidR="004D64ED" w:rsidRDefault="004D64ED" w:rsidP="00BE2DD3">
            <w:pPr>
              <w:rPr>
                <w:sz w:val="16"/>
                <w:szCs w:val="16"/>
              </w:rPr>
            </w:pPr>
            <w:r w:rsidRPr="000D6543">
              <w:rPr>
                <w:sz w:val="16"/>
                <w:szCs w:val="16"/>
              </w:rPr>
              <w:t xml:space="preserve">Target: </w:t>
            </w:r>
            <w:r>
              <w:rPr>
                <w:sz w:val="16"/>
                <w:szCs w:val="16"/>
              </w:rPr>
              <w:t>5</w:t>
            </w:r>
          </w:p>
          <w:p w:rsidR="00557278" w:rsidRPr="000D6543" w:rsidRDefault="00557278" w:rsidP="00BE2DD3">
            <w:pPr>
              <w:rPr>
                <w:sz w:val="16"/>
                <w:szCs w:val="16"/>
              </w:rPr>
            </w:pPr>
          </w:p>
          <w:p w:rsidR="00557278" w:rsidRPr="000D6543" w:rsidRDefault="00557278" w:rsidP="00BE2DD3">
            <w:pPr>
              <w:rPr>
                <w:sz w:val="16"/>
                <w:szCs w:val="16"/>
              </w:rPr>
            </w:pPr>
            <w:r w:rsidRPr="000D6543">
              <w:rPr>
                <w:b/>
                <w:bCs/>
                <w:sz w:val="16"/>
                <w:szCs w:val="16"/>
              </w:rPr>
              <w:t>Output 3.2:</w:t>
            </w:r>
            <w:r w:rsidRPr="000D6543">
              <w:rPr>
                <w:sz w:val="16"/>
                <w:szCs w:val="16"/>
              </w:rPr>
              <w:t xml:space="preserve"> Vulnerable communities have adequate capacities, resources and an enabling environment to </w:t>
            </w:r>
            <w:r w:rsidR="002E0B66" w:rsidRPr="000D6543">
              <w:rPr>
                <w:sz w:val="16"/>
                <w:szCs w:val="16"/>
              </w:rPr>
              <w:t xml:space="preserve">enhance the resilience of socio-economic development assets and community livelihoods through effective disaster and climate risk management </w:t>
            </w:r>
          </w:p>
          <w:p w:rsidR="00557278" w:rsidRPr="000D6543" w:rsidRDefault="00557278" w:rsidP="00BE2DD3">
            <w:pPr>
              <w:rPr>
                <w:b/>
                <w:bCs/>
                <w:sz w:val="16"/>
                <w:szCs w:val="16"/>
              </w:rPr>
            </w:pPr>
            <w:r w:rsidRPr="000D6543">
              <w:rPr>
                <w:b/>
                <w:bCs/>
                <w:sz w:val="16"/>
                <w:szCs w:val="16"/>
              </w:rPr>
              <w:t xml:space="preserve">Indicator </w:t>
            </w:r>
            <w:r w:rsidR="003A22CE" w:rsidRPr="000D6543">
              <w:rPr>
                <w:b/>
                <w:bCs/>
                <w:sz w:val="16"/>
                <w:szCs w:val="16"/>
              </w:rPr>
              <w:t>3.2.1:</w:t>
            </w:r>
            <w:r w:rsidRPr="000D6543">
              <w:rPr>
                <w:b/>
                <w:bCs/>
                <w:sz w:val="16"/>
                <w:szCs w:val="16"/>
              </w:rPr>
              <w:t xml:space="preserve"> </w:t>
            </w:r>
            <w:r w:rsidR="00642FDA" w:rsidRPr="000D6543">
              <w:rPr>
                <w:sz w:val="16"/>
                <w:szCs w:val="16"/>
              </w:rPr>
              <w:t xml:space="preserve">Number of households sustainably benefiting of </w:t>
            </w:r>
            <w:r w:rsidR="003A22CE" w:rsidRPr="000D6543">
              <w:rPr>
                <w:sz w:val="16"/>
                <w:szCs w:val="16"/>
              </w:rPr>
              <w:t>disaster and climate risk management projects</w:t>
            </w:r>
          </w:p>
          <w:p w:rsidR="003A22CE" w:rsidRPr="000D6543" w:rsidRDefault="003A22CE" w:rsidP="00BE2DD3">
            <w:pPr>
              <w:rPr>
                <w:sz w:val="16"/>
                <w:szCs w:val="16"/>
              </w:rPr>
            </w:pPr>
            <w:r w:rsidRPr="000D6543">
              <w:rPr>
                <w:sz w:val="16"/>
                <w:szCs w:val="16"/>
              </w:rPr>
              <w:t>Baseline</w:t>
            </w:r>
            <w:r w:rsidR="00391065" w:rsidRPr="000D6543">
              <w:rPr>
                <w:sz w:val="16"/>
                <w:szCs w:val="16"/>
              </w:rPr>
              <w:t>:</w:t>
            </w:r>
            <w:r w:rsidR="00115EE8">
              <w:rPr>
                <w:sz w:val="16"/>
                <w:szCs w:val="16"/>
              </w:rPr>
              <w:t xml:space="preserve"> </w:t>
            </w:r>
            <w:r w:rsidR="00391065" w:rsidRPr="000D6543">
              <w:rPr>
                <w:sz w:val="16"/>
                <w:szCs w:val="16"/>
              </w:rPr>
              <w:t>1</w:t>
            </w:r>
            <w:r w:rsidR="00793647">
              <w:rPr>
                <w:sz w:val="16"/>
                <w:szCs w:val="16"/>
              </w:rPr>
              <w:t>,</w:t>
            </w:r>
            <w:r w:rsidR="00391065" w:rsidRPr="000D6543">
              <w:rPr>
                <w:sz w:val="16"/>
                <w:szCs w:val="16"/>
              </w:rPr>
              <w:t>4</w:t>
            </w:r>
            <w:r w:rsidRPr="000D6543">
              <w:rPr>
                <w:sz w:val="16"/>
                <w:szCs w:val="16"/>
              </w:rPr>
              <w:t>00</w:t>
            </w:r>
            <w:r w:rsidR="00C74863">
              <w:rPr>
                <w:rStyle w:val="FootnoteReference"/>
                <w:sz w:val="16"/>
                <w:szCs w:val="16"/>
              </w:rPr>
              <w:footnoteReference w:id="25"/>
            </w:r>
          </w:p>
          <w:p w:rsidR="003A22CE" w:rsidRPr="000D6543" w:rsidRDefault="003A22CE" w:rsidP="00BE2DD3">
            <w:pPr>
              <w:rPr>
                <w:sz w:val="16"/>
                <w:szCs w:val="16"/>
                <w:lang w:val="en-GB"/>
              </w:rPr>
            </w:pPr>
            <w:r w:rsidRPr="000D6543">
              <w:rPr>
                <w:sz w:val="16"/>
                <w:szCs w:val="16"/>
              </w:rPr>
              <w:t xml:space="preserve">Target: </w:t>
            </w:r>
            <w:r w:rsidR="00391065" w:rsidRPr="000D6543">
              <w:rPr>
                <w:sz w:val="16"/>
                <w:szCs w:val="16"/>
              </w:rPr>
              <w:t>8</w:t>
            </w:r>
            <w:r w:rsidR="00793647">
              <w:rPr>
                <w:sz w:val="16"/>
                <w:szCs w:val="16"/>
              </w:rPr>
              <w:t>,</w:t>
            </w:r>
            <w:r w:rsidR="00391065" w:rsidRPr="000D6543">
              <w:rPr>
                <w:sz w:val="16"/>
                <w:szCs w:val="16"/>
              </w:rPr>
              <w:t>000</w:t>
            </w:r>
          </w:p>
          <w:p w:rsidR="00557278" w:rsidRPr="000D6543" w:rsidRDefault="00557278" w:rsidP="00BE2DD3">
            <w:pPr>
              <w:rPr>
                <w:bCs/>
                <w:i/>
                <w:sz w:val="16"/>
                <w:szCs w:val="16"/>
                <w:lang w:val="en-GB"/>
              </w:rPr>
            </w:pPr>
          </w:p>
          <w:p w:rsidR="00557278" w:rsidRPr="000D6543" w:rsidRDefault="00557278" w:rsidP="00BE2DD3">
            <w:pPr>
              <w:rPr>
                <w:sz w:val="16"/>
                <w:szCs w:val="16"/>
              </w:rPr>
            </w:pPr>
            <w:r w:rsidRPr="000D6543">
              <w:rPr>
                <w:b/>
                <w:bCs/>
                <w:sz w:val="16"/>
                <w:szCs w:val="16"/>
              </w:rPr>
              <w:t>Output 3.3:</w:t>
            </w:r>
            <w:r w:rsidRPr="000D6543">
              <w:rPr>
                <w:sz w:val="16"/>
                <w:szCs w:val="16"/>
              </w:rPr>
              <w:t xml:space="preserve"> National actors have the technical, financial and organizational capacities for the effective integration of Climate Change </w:t>
            </w:r>
            <w:r w:rsidR="002E0B66" w:rsidRPr="000D6543">
              <w:rPr>
                <w:sz w:val="16"/>
                <w:szCs w:val="16"/>
              </w:rPr>
              <w:t xml:space="preserve">and disaster risk reduction </w:t>
            </w:r>
            <w:r w:rsidRPr="000D6543">
              <w:rPr>
                <w:sz w:val="16"/>
                <w:szCs w:val="16"/>
              </w:rPr>
              <w:t xml:space="preserve">into development policies and strategies and for the promotion of the use of renewable energies </w:t>
            </w:r>
          </w:p>
          <w:p w:rsidR="00557278" w:rsidRPr="000D6543" w:rsidRDefault="00557278" w:rsidP="00BE2DD3">
            <w:pPr>
              <w:rPr>
                <w:sz w:val="16"/>
                <w:szCs w:val="16"/>
              </w:rPr>
            </w:pPr>
            <w:r w:rsidRPr="000D6543">
              <w:rPr>
                <w:b/>
                <w:bCs/>
                <w:sz w:val="16"/>
                <w:szCs w:val="16"/>
              </w:rPr>
              <w:t>Indicator</w:t>
            </w:r>
            <w:r w:rsidR="00391065" w:rsidRPr="000D6543">
              <w:rPr>
                <w:b/>
                <w:bCs/>
                <w:sz w:val="16"/>
                <w:szCs w:val="16"/>
              </w:rPr>
              <w:t xml:space="preserve"> 3.3.1</w:t>
            </w:r>
            <w:r w:rsidR="00C21B09" w:rsidRPr="000D6543">
              <w:rPr>
                <w:b/>
                <w:bCs/>
                <w:sz w:val="16"/>
                <w:szCs w:val="16"/>
              </w:rPr>
              <w:t xml:space="preserve">: </w:t>
            </w:r>
            <w:r w:rsidRPr="000D6543">
              <w:rPr>
                <w:sz w:val="16"/>
                <w:szCs w:val="16"/>
              </w:rPr>
              <w:t xml:space="preserve">Extent to which there is a strengthened system in place to access, deliver, monitor, report on and verify climate finance </w:t>
            </w:r>
          </w:p>
          <w:p w:rsidR="00557278" w:rsidRPr="000D6543" w:rsidRDefault="00557278" w:rsidP="00BE2DD3">
            <w:pPr>
              <w:rPr>
                <w:sz w:val="16"/>
                <w:szCs w:val="16"/>
              </w:rPr>
            </w:pPr>
            <w:r w:rsidRPr="000D6543">
              <w:rPr>
                <w:sz w:val="16"/>
                <w:szCs w:val="16"/>
              </w:rPr>
              <w:t>Baseline: 3</w:t>
            </w:r>
            <w:r w:rsidR="00731136">
              <w:rPr>
                <w:sz w:val="16"/>
                <w:szCs w:val="16"/>
              </w:rPr>
              <w:t xml:space="preserve"> (p</w:t>
            </w:r>
            <w:r w:rsidRPr="000D6543">
              <w:rPr>
                <w:sz w:val="16"/>
                <w:szCs w:val="16"/>
              </w:rPr>
              <w:t>artially</w:t>
            </w:r>
            <w:r w:rsidR="00731136">
              <w:rPr>
                <w:sz w:val="16"/>
                <w:szCs w:val="16"/>
              </w:rPr>
              <w:t>)</w:t>
            </w:r>
          </w:p>
          <w:p w:rsidR="00557278" w:rsidRPr="000D6543" w:rsidRDefault="00557278" w:rsidP="00BE2DD3">
            <w:pPr>
              <w:rPr>
                <w:sz w:val="16"/>
                <w:szCs w:val="16"/>
              </w:rPr>
            </w:pPr>
            <w:r w:rsidRPr="000D6543">
              <w:rPr>
                <w:sz w:val="16"/>
                <w:szCs w:val="16"/>
              </w:rPr>
              <w:t xml:space="preserve">Target: Fully </w:t>
            </w:r>
          </w:p>
          <w:p w:rsidR="00557278" w:rsidRPr="000D6543" w:rsidRDefault="00557278" w:rsidP="00BE2DD3">
            <w:pPr>
              <w:rPr>
                <w:b/>
                <w:bCs/>
                <w:sz w:val="16"/>
                <w:szCs w:val="16"/>
              </w:rPr>
            </w:pPr>
          </w:p>
          <w:p w:rsidR="00557278" w:rsidRPr="000D6543" w:rsidRDefault="00557278" w:rsidP="00BE2DD3">
            <w:pPr>
              <w:rPr>
                <w:sz w:val="16"/>
                <w:szCs w:val="16"/>
              </w:rPr>
            </w:pPr>
            <w:r w:rsidRPr="000D6543">
              <w:rPr>
                <w:b/>
                <w:bCs/>
                <w:sz w:val="16"/>
                <w:szCs w:val="16"/>
              </w:rPr>
              <w:t>Output 3.4:</w:t>
            </w:r>
            <w:r w:rsidRPr="000D6543">
              <w:rPr>
                <w:sz w:val="16"/>
                <w:szCs w:val="16"/>
              </w:rPr>
              <w:t xml:space="preserve"> National institutions and rural communities develop and implement sustainable models to access renewable energy</w:t>
            </w:r>
          </w:p>
          <w:p w:rsidR="00557278" w:rsidRPr="000D6543" w:rsidRDefault="00557278" w:rsidP="00BE2DD3">
            <w:pPr>
              <w:rPr>
                <w:sz w:val="16"/>
                <w:szCs w:val="16"/>
                <w:lang w:val="en-GB"/>
              </w:rPr>
            </w:pPr>
            <w:r w:rsidRPr="000D6543">
              <w:rPr>
                <w:b/>
                <w:bCs/>
                <w:sz w:val="16"/>
                <w:szCs w:val="16"/>
              </w:rPr>
              <w:t xml:space="preserve">Indicator 3.4.1: </w:t>
            </w:r>
            <w:r w:rsidR="00C21B09" w:rsidRPr="000D6543">
              <w:rPr>
                <w:sz w:val="16"/>
                <w:szCs w:val="16"/>
                <w:lang w:val="en-GB"/>
              </w:rPr>
              <w:t>T</w:t>
            </w:r>
            <w:r w:rsidRPr="000D6543">
              <w:rPr>
                <w:sz w:val="16"/>
                <w:szCs w:val="16"/>
                <w:lang w:val="en-GB"/>
              </w:rPr>
              <w:t xml:space="preserve">otal number of </w:t>
            </w:r>
            <w:r w:rsidR="00DC4F83" w:rsidRPr="000D6543">
              <w:rPr>
                <w:sz w:val="16"/>
                <w:szCs w:val="16"/>
                <w:lang w:val="en-GB"/>
              </w:rPr>
              <w:t>citizens disaggregated by sex</w:t>
            </w:r>
            <w:r w:rsidRPr="000D6543">
              <w:rPr>
                <w:sz w:val="16"/>
                <w:szCs w:val="16"/>
                <w:lang w:val="en-GB"/>
              </w:rPr>
              <w:t xml:space="preserve"> with improved access to energy as a result of UNDP-supported intervention </w:t>
            </w:r>
          </w:p>
          <w:p w:rsidR="00557278" w:rsidRPr="000D6543" w:rsidRDefault="00557278" w:rsidP="00BE2DD3">
            <w:pPr>
              <w:rPr>
                <w:sz w:val="16"/>
                <w:szCs w:val="16"/>
              </w:rPr>
            </w:pPr>
            <w:r w:rsidRPr="000D6543">
              <w:rPr>
                <w:sz w:val="16"/>
                <w:szCs w:val="16"/>
              </w:rPr>
              <w:t>Baseline: 19</w:t>
            </w:r>
            <w:r w:rsidR="00E2722C" w:rsidRPr="000D6543">
              <w:rPr>
                <w:sz w:val="16"/>
                <w:szCs w:val="16"/>
              </w:rPr>
              <w:t>,</w:t>
            </w:r>
            <w:r w:rsidRPr="000D6543">
              <w:rPr>
                <w:sz w:val="16"/>
                <w:szCs w:val="16"/>
              </w:rPr>
              <w:t>700</w:t>
            </w:r>
            <w:r w:rsidR="00793222">
              <w:rPr>
                <w:rStyle w:val="FootnoteReference"/>
                <w:sz w:val="16"/>
                <w:szCs w:val="16"/>
              </w:rPr>
              <w:footnoteReference w:id="26"/>
            </w:r>
          </w:p>
          <w:p w:rsidR="00557278" w:rsidRPr="00451503" w:rsidRDefault="00557278" w:rsidP="00BE2DD3">
            <w:pPr>
              <w:rPr>
                <w:sz w:val="16"/>
                <w:szCs w:val="16"/>
              </w:rPr>
            </w:pPr>
            <w:r w:rsidRPr="000D6543">
              <w:rPr>
                <w:sz w:val="16"/>
                <w:szCs w:val="16"/>
              </w:rPr>
              <w:t>Target: 30</w:t>
            </w:r>
            <w:r w:rsidR="00E2722C" w:rsidRPr="000D6543">
              <w:rPr>
                <w:sz w:val="16"/>
                <w:szCs w:val="16"/>
              </w:rPr>
              <w:t>,</w:t>
            </w:r>
            <w:r w:rsidRPr="000D6543">
              <w:rPr>
                <w:sz w:val="16"/>
                <w:szCs w:val="16"/>
              </w:rPr>
              <w:t>000</w:t>
            </w:r>
          </w:p>
          <w:p w:rsidR="00557278" w:rsidRPr="00451503" w:rsidRDefault="00557278" w:rsidP="00BE2DD3">
            <w:pPr>
              <w:rPr>
                <w:sz w:val="16"/>
                <w:szCs w:val="16"/>
              </w:rPr>
            </w:pPr>
            <w:r w:rsidRPr="00451503">
              <w:rPr>
                <w:b/>
                <w:bCs/>
                <w:sz w:val="16"/>
                <w:szCs w:val="16"/>
              </w:rPr>
              <w:t>Indicator 3.4.2:</w:t>
            </w:r>
            <w:r w:rsidRPr="00451503">
              <w:rPr>
                <w:sz w:val="16"/>
                <w:szCs w:val="16"/>
              </w:rPr>
              <w:t xml:space="preserve"> </w:t>
            </w:r>
            <w:r w:rsidR="00DC4F83" w:rsidRPr="00451503">
              <w:rPr>
                <w:sz w:val="16"/>
                <w:szCs w:val="16"/>
              </w:rPr>
              <w:t xml:space="preserve">Percentage of </w:t>
            </w:r>
            <w:r w:rsidR="00C37AB6" w:rsidRPr="00451503">
              <w:rPr>
                <w:sz w:val="16"/>
                <w:szCs w:val="16"/>
              </w:rPr>
              <w:t xml:space="preserve">women </w:t>
            </w:r>
            <w:r w:rsidR="00DC4F83" w:rsidRPr="00451503">
              <w:rPr>
                <w:sz w:val="16"/>
                <w:szCs w:val="16"/>
              </w:rPr>
              <w:t>headed households benefitting from improved energy access</w:t>
            </w:r>
            <w:r w:rsidRPr="00451503">
              <w:rPr>
                <w:sz w:val="16"/>
                <w:szCs w:val="16"/>
              </w:rPr>
              <w:t xml:space="preserve"> </w:t>
            </w:r>
          </w:p>
          <w:p w:rsidR="00557278" w:rsidRPr="000D6543" w:rsidRDefault="00557278" w:rsidP="00BE2DD3">
            <w:pPr>
              <w:rPr>
                <w:sz w:val="16"/>
                <w:szCs w:val="16"/>
              </w:rPr>
            </w:pPr>
            <w:r w:rsidRPr="000D6543">
              <w:rPr>
                <w:sz w:val="16"/>
                <w:szCs w:val="16"/>
              </w:rPr>
              <w:t>Baseline: 55%</w:t>
            </w:r>
            <w:r w:rsidR="009D4DD4">
              <w:rPr>
                <w:rStyle w:val="FootnoteReference"/>
                <w:sz w:val="16"/>
                <w:szCs w:val="16"/>
              </w:rPr>
              <w:footnoteReference w:id="27"/>
            </w:r>
          </w:p>
          <w:p w:rsidR="00557278" w:rsidRPr="00451503" w:rsidRDefault="00557278" w:rsidP="00BE2DD3">
            <w:pPr>
              <w:rPr>
                <w:sz w:val="16"/>
                <w:szCs w:val="16"/>
              </w:rPr>
            </w:pPr>
            <w:r w:rsidRPr="000D6543">
              <w:rPr>
                <w:sz w:val="16"/>
                <w:szCs w:val="16"/>
              </w:rPr>
              <w:t>Target: 70%</w:t>
            </w:r>
          </w:p>
          <w:p w:rsidR="00557278" w:rsidRPr="00451503" w:rsidRDefault="00557278" w:rsidP="00BE2DD3">
            <w:pPr>
              <w:rPr>
                <w:sz w:val="16"/>
                <w:szCs w:val="16"/>
              </w:rPr>
            </w:pPr>
          </w:p>
          <w:p w:rsidR="00557278" w:rsidRPr="00451503" w:rsidRDefault="00557278" w:rsidP="00BE2DD3">
            <w:pPr>
              <w:rPr>
                <w:sz w:val="16"/>
                <w:szCs w:val="16"/>
              </w:rPr>
            </w:pPr>
            <w:r w:rsidRPr="00451503">
              <w:rPr>
                <w:b/>
                <w:bCs/>
                <w:sz w:val="16"/>
                <w:szCs w:val="16"/>
              </w:rPr>
              <w:t xml:space="preserve">Output </w:t>
            </w:r>
            <w:r w:rsidR="003E61FF" w:rsidRPr="00451503">
              <w:rPr>
                <w:b/>
                <w:bCs/>
                <w:sz w:val="16"/>
                <w:szCs w:val="16"/>
              </w:rPr>
              <w:t>3.5:</w:t>
            </w:r>
            <w:r w:rsidRPr="00451503">
              <w:rPr>
                <w:sz w:val="16"/>
                <w:szCs w:val="16"/>
              </w:rPr>
              <w:t xml:space="preserve"> National institutions have the technical and organizational capacities for effective </w:t>
            </w:r>
            <w:r w:rsidR="00DC4F83" w:rsidRPr="00451503">
              <w:rPr>
                <w:sz w:val="16"/>
                <w:szCs w:val="16"/>
              </w:rPr>
              <w:t xml:space="preserve">gender </w:t>
            </w:r>
            <w:r w:rsidR="003E61FF" w:rsidRPr="00451503">
              <w:rPr>
                <w:sz w:val="16"/>
                <w:szCs w:val="16"/>
              </w:rPr>
              <w:t>responsive management</w:t>
            </w:r>
            <w:r w:rsidR="00DC4F83" w:rsidRPr="00451503">
              <w:rPr>
                <w:sz w:val="16"/>
                <w:szCs w:val="16"/>
              </w:rPr>
              <w:t xml:space="preserve"> </w:t>
            </w:r>
            <w:r w:rsidRPr="00451503">
              <w:rPr>
                <w:sz w:val="16"/>
                <w:szCs w:val="16"/>
              </w:rPr>
              <w:t xml:space="preserve">of water resources.   </w:t>
            </w:r>
          </w:p>
          <w:p w:rsidR="00557278" w:rsidRPr="00451503" w:rsidRDefault="00557278" w:rsidP="00BE2DD3">
            <w:pPr>
              <w:rPr>
                <w:sz w:val="16"/>
                <w:szCs w:val="16"/>
              </w:rPr>
            </w:pPr>
            <w:r w:rsidRPr="00451503">
              <w:rPr>
                <w:b/>
                <w:bCs/>
                <w:sz w:val="16"/>
                <w:szCs w:val="16"/>
              </w:rPr>
              <w:t xml:space="preserve">Indicator 3.5.1: </w:t>
            </w:r>
            <w:r w:rsidRPr="00451503">
              <w:rPr>
                <w:sz w:val="16"/>
                <w:szCs w:val="16"/>
              </w:rPr>
              <w:t xml:space="preserve">Extent to which capacities to implement national and local plans for Integrated Water Resources Management have improved </w:t>
            </w:r>
          </w:p>
          <w:p w:rsidR="00557278" w:rsidRPr="00451503" w:rsidRDefault="00557278" w:rsidP="00BE2DD3">
            <w:pPr>
              <w:rPr>
                <w:sz w:val="16"/>
                <w:szCs w:val="16"/>
              </w:rPr>
            </w:pPr>
            <w:r w:rsidRPr="00451503">
              <w:rPr>
                <w:sz w:val="16"/>
                <w:szCs w:val="16"/>
              </w:rPr>
              <w:t>Baseline:  3</w:t>
            </w:r>
            <w:r w:rsidR="00CF2C68">
              <w:rPr>
                <w:sz w:val="16"/>
                <w:szCs w:val="16"/>
              </w:rPr>
              <w:t xml:space="preserve"> (</w:t>
            </w:r>
            <w:r w:rsidRPr="00451503">
              <w:rPr>
                <w:sz w:val="16"/>
                <w:szCs w:val="16"/>
              </w:rPr>
              <w:t>partially</w:t>
            </w:r>
            <w:r w:rsidR="00CF2C68">
              <w:rPr>
                <w:sz w:val="16"/>
                <w:szCs w:val="16"/>
              </w:rPr>
              <w:t>)</w:t>
            </w:r>
          </w:p>
          <w:p w:rsidR="00557278" w:rsidRPr="00451503" w:rsidRDefault="00557278" w:rsidP="00BE2DD3">
            <w:pPr>
              <w:rPr>
                <w:b/>
                <w:bCs/>
                <w:sz w:val="16"/>
                <w:szCs w:val="16"/>
              </w:rPr>
            </w:pPr>
            <w:r w:rsidRPr="00451503">
              <w:rPr>
                <w:sz w:val="16"/>
                <w:szCs w:val="16"/>
              </w:rPr>
              <w:t>Target: Fully</w:t>
            </w:r>
          </w:p>
        </w:tc>
        <w:tc>
          <w:tcPr>
            <w:tcW w:w="783" w:type="pct"/>
            <w:gridSpan w:val="3"/>
            <w:vMerge w:val="restart"/>
          </w:tcPr>
          <w:p w:rsidR="00557278" w:rsidRPr="00451503" w:rsidRDefault="00557278" w:rsidP="00BE2DD3">
            <w:pPr>
              <w:rPr>
                <w:iCs/>
                <w:sz w:val="16"/>
                <w:szCs w:val="16"/>
                <w:lang w:val="en-GB"/>
              </w:rPr>
            </w:pPr>
            <w:r w:rsidRPr="00451503">
              <w:rPr>
                <w:iCs/>
                <w:sz w:val="16"/>
                <w:szCs w:val="16"/>
                <w:lang w:val="en-GB"/>
              </w:rPr>
              <w:lastRenderedPageBreak/>
              <w:t xml:space="preserve">Ministry of Environment and </w:t>
            </w:r>
            <w:r w:rsidR="00942A2B">
              <w:rPr>
                <w:iCs/>
                <w:sz w:val="16"/>
                <w:szCs w:val="16"/>
                <w:lang w:val="en-GB"/>
              </w:rPr>
              <w:t>S</w:t>
            </w:r>
            <w:r w:rsidRPr="00451503">
              <w:rPr>
                <w:iCs/>
                <w:sz w:val="16"/>
                <w:szCs w:val="16"/>
                <w:lang w:val="en-GB"/>
              </w:rPr>
              <w:t xml:space="preserve">ustainable </w:t>
            </w:r>
            <w:r w:rsidR="00942A2B">
              <w:rPr>
                <w:iCs/>
                <w:sz w:val="16"/>
                <w:szCs w:val="16"/>
                <w:lang w:val="en-GB"/>
              </w:rPr>
              <w:t>D</w:t>
            </w:r>
            <w:r w:rsidRPr="00451503">
              <w:rPr>
                <w:iCs/>
                <w:sz w:val="16"/>
                <w:szCs w:val="16"/>
                <w:lang w:val="en-GB"/>
              </w:rPr>
              <w:t>evelopment;</w:t>
            </w:r>
          </w:p>
          <w:p w:rsidR="00557278" w:rsidRPr="00451503" w:rsidRDefault="00557278" w:rsidP="00BE2DD3">
            <w:pPr>
              <w:rPr>
                <w:iCs/>
                <w:sz w:val="16"/>
                <w:szCs w:val="16"/>
                <w:lang w:val="en-GB"/>
              </w:rPr>
            </w:pPr>
            <w:r w:rsidRPr="00451503">
              <w:rPr>
                <w:iCs/>
                <w:sz w:val="16"/>
                <w:szCs w:val="16"/>
                <w:lang w:val="en-GB"/>
              </w:rPr>
              <w:t>Ministry of Economy and Finance</w:t>
            </w:r>
            <w:r w:rsidR="00E2722C" w:rsidRPr="00451503">
              <w:rPr>
                <w:iCs/>
                <w:sz w:val="16"/>
                <w:szCs w:val="16"/>
                <w:lang w:val="en-GB"/>
              </w:rPr>
              <w:t>s</w:t>
            </w:r>
            <w:r w:rsidRPr="00451503">
              <w:rPr>
                <w:iCs/>
                <w:sz w:val="16"/>
                <w:szCs w:val="16"/>
                <w:lang w:val="en-GB"/>
              </w:rPr>
              <w:t xml:space="preserve">; </w:t>
            </w:r>
          </w:p>
          <w:p w:rsidR="00557278" w:rsidRPr="00451503" w:rsidRDefault="00557278" w:rsidP="00BE2DD3">
            <w:pPr>
              <w:rPr>
                <w:iCs/>
                <w:sz w:val="16"/>
                <w:szCs w:val="16"/>
                <w:lang w:val="en-GB"/>
              </w:rPr>
            </w:pPr>
            <w:r w:rsidRPr="00451503">
              <w:rPr>
                <w:iCs/>
                <w:sz w:val="16"/>
                <w:szCs w:val="16"/>
                <w:lang w:val="en-GB"/>
              </w:rPr>
              <w:t>Ministry of Agriculture;</w:t>
            </w:r>
          </w:p>
          <w:p w:rsidR="00557278" w:rsidRPr="00451503" w:rsidRDefault="00E2722C" w:rsidP="00BE2DD3">
            <w:pPr>
              <w:rPr>
                <w:iCs/>
                <w:sz w:val="16"/>
                <w:szCs w:val="16"/>
                <w:lang w:val="en-GB"/>
              </w:rPr>
            </w:pPr>
            <w:r w:rsidRPr="00451503">
              <w:rPr>
                <w:iCs/>
                <w:sz w:val="16"/>
                <w:szCs w:val="16"/>
                <w:lang w:val="en-GB"/>
              </w:rPr>
              <w:t>Ministry of F</w:t>
            </w:r>
            <w:r w:rsidR="00557278" w:rsidRPr="00451503">
              <w:rPr>
                <w:iCs/>
                <w:sz w:val="16"/>
                <w:szCs w:val="16"/>
                <w:lang w:val="en-GB"/>
              </w:rPr>
              <w:t>isher</w:t>
            </w:r>
            <w:r w:rsidRPr="00451503">
              <w:rPr>
                <w:iCs/>
                <w:sz w:val="16"/>
                <w:szCs w:val="16"/>
                <w:lang w:val="en-GB"/>
              </w:rPr>
              <w:t>ies;</w:t>
            </w:r>
          </w:p>
          <w:p w:rsidR="00557278" w:rsidRPr="00451503" w:rsidRDefault="00557278" w:rsidP="00BE2DD3">
            <w:pPr>
              <w:rPr>
                <w:iCs/>
                <w:sz w:val="16"/>
                <w:szCs w:val="16"/>
                <w:lang w:val="en-GB"/>
              </w:rPr>
            </w:pPr>
            <w:r w:rsidRPr="00451503">
              <w:rPr>
                <w:iCs/>
                <w:sz w:val="16"/>
                <w:szCs w:val="16"/>
                <w:lang w:val="en-GB"/>
              </w:rPr>
              <w:t>Ministry of Interior and Decentralization;</w:t>
            </w:r>
          </w:p>
          <w:p w:rsidR="00557278" w:rsidRPr="00451503" w:rsidRDefault="00557278" w:rsidP="00BE2DD3">
            <w:pPr>
              <w:rPr>
                <w:iCs/>
                <w:sz w:val="16"/>
                <w:szCs w:val="16"/>
                <w:lang w:val="en-GB"/>
              </w:rPr>
            </w:pPr>
            <w:r w:rsidRPr="00451503">
              <w:rPr>
                <w:iCs/>
                <w:sz w:val="16"/>
                <w:szCs w:val="16"/>
                <w:lang w:val="en-GB"/>
              </w:rPr>
              <w:t>GIZ;</w:t>
            </w:r>
          </w:p>
          <w:p w:rsidR="00557278" w:rsidRPr="00451503" w:rsidRDefault="00557278" w:rsidP="00BE2DD3">
            <w:pPr>
              <w:rPr>
                <w:iCs/>
                <w:sz w:val="16"/>
                <w:szCs w:val="16"/>
                <w:lang w:val="en-GB"/>
              </w:rPr>
            </w:pPr>
            <w:r w:rsidRPr="00451503">
              <w:rPr>
                <w:iCs/>
                <w:sz w:val="16"/>
                <w:szCs w:val="16"/>
                <w:lang w:val="en-GB"/>
              </w:rPr>
              <w:t>E</w:t>
            </w:r>
            <w:r w:rsidR="00CF2C68">
              <w:rPr>
                <w:iCs/>
                <w:sz w:val="16"/>
                <w:szCs w:val="16"/>
                <w:lang w:val="en-GB"/>
              </w:rPr>
              <w:t xml:space="preserve">uropean </w:t>
            </w:r>
            <w:r w:rsidRPr="00451503">
              <w:rPr>
                <w:iCs/>
                <w:sz w:val="16"/>
                <w:szCs w:val="16"/>
                <w:lang w:val="en-GB"/>
              </w:rPr>
              <w:t>U</w:t>
            </w:r>
            <w:r w:rsidR="00CF2C68">
              <w:rPr>
                <w:iCs/>
                <w:sz w:val="16"/>
                <w:szCs w:val="16"/>
                <w:lang w:val="en-GB"/>
              </w:rPr>
              <w:t>nion</w:t>
            </w:r>
            <w:r w:rsidRPr="00451503">
              <w:rPr>
                <w:iCs/>
                <w:sz w:val="16"/>
                <w:szCs w:val="16"/>
                <w:lang w:val="en-GB"/>
              </w:rPr>
              <w:t>;</w:t>
            </w:r>
          </w:p>
          <w:p w:rsidR="00557278" w:rsidRPr="00451503" w:rsidRDefault="00557278" w:rsidP="00BE2DD3">
            <w:pPr>
              <w:rPr>
                <w:iCs/>
                <w:sz w:val="16"/>
                <w:szCs w:val="16"/>
                <w:lang w:val="en-GB"/>
              </w:rPr>
            </w:pPr>
            <w:r w:rsidRPr="00451503">
              <w:rPr>
                <w:iCs/>
                <w:sz w:val="16"/>
                <w:szCs w:val="16"/>
                <w:lang w:val="en-GB"/>
              </w:rPr>
              <w:t>Ministry of Water and Sanitation;</w:t>
            </w:r>
          </w:p>
          <w:p w:rsidR="00557278" w:rsidRDefault="00CF2C68" w:rsidP="00BE2DD3">
            <w:pPr>
              <w:rPr>
                <w:iCs/>
                <w:sz w:val="16"/>
                <w:szCs w:val="16"/>
                <w:lang w:val="en-GB"/>
              </w:rPr>
            </w:pPr>
            <w:r>
              <w:rPr>
                <w:iCs/>
                <w:sz w:val="16"/>
                <w:szCs w:val="16"/>
                <w:lang w:val="en-GB"/>
              </w:rPr>
              <w:lastRenderedPageBreak/>
              <w:t>CSOs, and</w:t>
            </w:r>
            <w:r w:rsidR="00942A2B">
              <w:rPr>
                <w:iCs/>
                <w:sz w:val="16"/>
                <w:szCs w:val="16"/>
                <w:lang w:val="en-GB"/>
              </w:rPr>
              <w:t xml:space="preserve"> the</w:t>
            </w:r>
          </w:p>
          <w:p w:rsidR="00DD4D99" w:rsidRPr="00451503" w:rsidRDefault="00942A2B" w:rsidP="00BE2DD3">
            <w:pPr>
              <w:rPr>
                <w:iCs/>
                <w:sz w:val="16"/>
                <w:szCs w:val="16"/>
                <w:lang w:val="en-GB"/>
              </w:rPr>
            </w:pPr>
            <w:r>
              <w:rPr>
                <w:iCs/>
                <w:sz w:val="16"/>
                <w:szCs w:val="16"/>
                <w:lang w:val="en-GB"/>
              </w:rPr>
              <w:t xml:space="preserve">private </w:t>
            </w:r>
            <w:r w:rsidR="00DD4D99">
              <w:rPr>
                <w:iCs/>
                <w:sz w:val="16"/>
                <w:szCs w:val="16"/>
                <w:lang w:val="en-GB"/>
              </w:rPr>
              <w:t>sector</w:t>
            </w:r>
            <w:r w:rsidR="00CF2C68">
              <w:rPr>
                <w:iCs/>
                <w:sz w:val="16"/>
                <w:szCs w:val="16"/>
                <w:lang w:val="en-GB"/>
              </w:rPr>
              <w:t>.</w:t>
            </w:r>
          </w:p>
          <w:p w:rsidR="00557278" w:rsidRPr="00451503" w:rsidRDefault="00557278" w:rsidP="00BE2DD3">
            <w:pPr>
              <w:rPr>
                <w:iCs/>
                <w:sz w:val="16"/>
                <w:szCs w:val="16"/>
                <w:lang w:val="en-GB"/>
              </w:rPr>
            </w:pPr>
          </w:p>
        </w:tc>
        <w:tc>
          <w:tcPr>
            <w:tcW w:w="610" w:type="pct"/>
            <w:tcMar>
              <w:top w:w="15" w:type="dxa"/>
              <w:left w:w="108" w:type="dxa"/>
              <w:bottom w:w="0" w:type="dxa"/>
              <w:right w:w="108" w:type="dxa"/>
            </w:tcMar>
          </w:tcPr>
          <w:p w:rsidR="00557278" w:rsidRPr="00451503" w:rsidRDefault="00557278" w:rsidP="00BE2DD3">
            <w:pPr>
              <w:rPr>
                <w:b/>
                <w:sz w:val="16"/>
                <w:szCs w:val="16"/>
              </w:rPr>
            </w:pPr>
            <w:r w:rsidRPr="00451503">
              <w:rPr>
                <w:b/>
                <w:sz w:val="16"/>
                <w:szCs w:val="16"/>
              </w:rPr>
              <w:lastRenderedPageBreak/>
              <w:t>Regular: 2</w:t>
            </w:r>
            <w:r w:rsidR="001D4D7A">
              <w:rPr>
                <w:b/>
                <w:sz w:val="16"/>
                <w:szCs w:val="16"/>
              </w:rPr>
              <w:t>,</w:t>
            </w:r>
            <w:r w:rsidRPr="00451503">
              <w:rPr>
                <w:b/>
                <w:sz w:val="16"/>
                <w:szCs w:val="16"/>
              </w:rPr>
              <w:t>600</w:t>
            </w:r>
            <w:r w:rsidR="001D4D7A">
              <w:rPr>
                <w:b/>
                <w:sz w:val="16"/>
                <w:szCs w:val="16"/>
              </w:rPr>
              <w:t>,</w:t>
            </w:r>
            <w:r w:rsidRPr="00451503">
              <w:rPr>
                <w:b/>
                <w:sz w:val="16"/>
                <w:szCs w:val="16"/>
              </w:rPr>
              <w:t>000</w:t>
            </w:r>
          </w:p>
        </w:tc>
      </w:tr>
      <w:tr w:rsidR="00557278" w:rsidRPr="00451503" w:rsidTr="00BE2DD3">
        <w:tc>
          <w:tcPr>
            <w:tcW w:w="981" w:type="pct"/>
            <w:vMerge/>
            <w:tcMar>
              <w:top w:w="72" w:type="dxa"/>
              <w:left w:w="144" w:type="dxa"/>
              <w:bottom w:w="72" w:type="dxa"/>
              <w:right w:w="144" w:type="dxa"/>
            </w:tcMar>
          </w:tcPr>
          <w:p w:rsidR="00557278" w:rsidRPr="00451503" w:rsidRDefault="00557278" w:rsidP="00BE2DD3">
            <w:pPr>
              <w:rPr>
                <w:i/>
                <w:iCs/>
                <w:sz w:val="16"/>
                <w:szCs w:val="16"/>
                <w:lang w:val="en-GB"/>
              </w:rPr>
            </w:pPr>
          </w:p>
        </w:tc>
        <w:tc>
          <w:tcPr>
            <w:tcW w:w="616" w:type="pct"/>
            <w:gridSpan w:val="2"/>
            <w:vMerge/>
          </w:tcPr>
          <w:p w:rsidR="00557278" w:rsidRPr="00451503" w:rsidRDefault="00557278" w:rsidP="00BE2DD3">
            <w:pPr>
              <w:rPr>
                <w:i/>
                <w:iCs/>
                <w:sz w:val="16"/>
                <w:szCs w:val="16"/>
                <w:lang w:val="en-GB"/>
              </w:rPr>
            </w:pPr>
          </w:p>
        </w:tc>
        <w:tc>
          <w:tcPr>
            <w:tcW w:w="2010" w:type="pct"/>
            <w:vMerge/>
            <w:tcMar>
              <w:top w:w="72" w:type="dxa"/>
              <w:left w:w="144" w:type="dxa"/>
              <w:bottom w:w="72" w:type="dxa"/>
              <w:right w:w="144" w:type="dxa"/>
            </w:tcMar>
          </w:tcPr>
          <w:p w:rsidR="00557278" w:rsidRPr="00451503" w:rsidRDefault="00557278" w:rsidP="00BE2DD3">
            <w:pPr>
              <w:rPr>
                <w:i/>
                <w:iCs/>
                <w:sz w:val="16"/>
                <w:szCs w:val="16"/>
                <w:lang w:val="en-GB"/>
              </w:rPr>
            </w:pPr>
          </w:p>
        </w:tc>
        <w:tc>
          <w:tcPr>
            <w:tcW w:w="783" w:type="pct"/>
            <w:gridSpan w:val="3"/>
            <w:vMerge/>
          </w:tcPr>
          <w:p w:rsidR="00557278" w:rsidRPr="00451503" w:rsidRDefault="00557278" w:rsidP="00BE2DD3">
            <w:pPr>
              <w:rPr>
                <w:i/>
                <w:iCs/>
                <w:sz w:val="16"/>
                <w:szCs w:val="16"/>
                <w:lang w:val="en-GB"/>
              </w:rPr>
            </w:pPr>
          </w:p>
        </w:tc>
        <w:tc>
          <w:tcPr>
            <w:tcW w:w="610" w:type="pct"/>
            <w:tcMar>
              <w:top w:w="15" w:type="dxa"/>
              <w:left w:w="108" w:type="dxa"/>
              <w:bottom w:w="0" w:type="dxa"/>
              <w:right w:w="108" w:type="dxa"/>
            </w:tcMar>
          </w:tcPr>
          <w:p w:rsidR="00557278" w:rsidRPr="00451503" w:rsidRDefault="00557278" w:rsidP="00BE2DD3">
            <w:pPr>
              <w:rPr>
                <w:b/>
                <w:sz w:val="16"/>
                <w:szCs w:val="16"/>
              </w:rPr>
            </w:pPr>
            <w:r w:rsidRPr="00451503">
              <w:rPr>
                <w:b/>
                <w:sz w:val="16"/>
                <w:szCs w:val="16"/>
              </w:rPr>
              <w:t>Other: 17</w:t>
            </w:r>
            <w:r w:rsidR="001D4D7A">
              <w:rPr>
                <w:b/>
                <w:sz w:val="16"/>
                <w:szCs w:val="16"/>
              </w:rPr>
              <w:t>,</w:t>
            </w:r>
            <w:r w:rsidRPr="00451503">
              <w:rPr>
                <w:b/>
                <w:sz w:val="16"/>
                <w:szCs w:val="16"/>
              </w:rPr>
              <w:t>450</w:t>
            </w:r>
            <w:r w:rsidR="001D4D7A">
              <w:rPr>
                <w:b/>
                <w:sz w:val="16"/>
                <w:szCs w:val="16"/>
              </w:rPr>
              <w:t>,</w:t>
            </w:r>
            <w:r w:rsidRPr="00451503">
              <w:rPr>
                <w:b/>
                <w:sz w:val="16"/>
                <w:szCs w:val="16"/>
              </w:rPr>
              <w:t>000</w:t>
            </w:r>
          </w:p>
        </w:tc>
      </w:tr>
    </w:tbl>
    <w:p w:rsidR="00BE2DD3" w:rsidRPr="00BE2DD3" w:rsidRDefault="00BE2DD3" w:rsidP="00BE2DD3"/>
    <w:p w:rsidR="00557278" w:rsidRPr="00451503" w:rsidRDefault="00452EE5" w:rsidP="00BE2DD3">
      <w:pPr>
        <w:jc w:val="center"/>
      </w:pPr>
      <w:r w:rsidRPr="00452EE5">
        <w:rPr>
          <w:noProof/>
        </w:rPr>
        <w:drawing>
          <wp:inline distT="0" distB="0" distL="0" distR="0" wp14:anchorId="51B831FB" wp14:editId="1720A477">
            <wp:extent cx="942975" cy="28575"/>
            <wp:effectExtent l="57150" t="0" r="6667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557278" w:rsidRPr="00451503" w:rsidSect="005363C9">
      <w:headerReference w:type="even" r:id="rId22"/>
      <w:headerReference w:type="default" r:id="rId23"/>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85" w:rsidRDefault="00CC7385" w:rsidP="00441061">
      <w:r>
        <w:separator/>
      </w:r>
    </w:p>
  </w:endnote>
  <w:endnote w:type="continuationSeparator" w:id="0">
    <w:p w:rsidR="00CC7385" w:rsidRDefault="00CC7385" w:rsidP="00441061">
      <w:r>
        <w:continuationSeparator/>
      </w:r>
    </w:p>
  </w:endnote>
  <w:endnote w:type="continuationNotice" w:id="1">
    <w:p w:rsidR="00CC7385" w:rsidRDefault="00CC7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Yu Mincho">
    <w:charset w:val="80"/>
    <w:family w:val="roman"/>
    <w:pitch w:val="variable"/>
    <w:sig w:usb0="00000287" w:usb1="08070000" w:usb2="00000010" w:usb3="00000000" w:csb0="0002009F" w:csb1="00000000"/>
  </w:font>
  <w:font w:name="Yu Gothic Light">
    <w:charset w:val="80"/>
    <w:family w:val="swiss"/>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8B0" w:rsidRPr="005841A3" w:rsidRDefault="008F38B0">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8B0" w:rsidRPr="005841A3" w:rsidRDefault="008F38B0">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p w:rsidR="008F38B0" w:rsidRDefault="008F38B0"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721"/>
      <w:docPartObj>
        <w:docPartGallery w:val="Page Numbers (Bottom of Page)"/>
        <w:docPartUnique/>
      </w:docPartObj>
    </w:sdtPr>
    <w:sdtEndPr>
      <w:rPr>
        <w:b/>
        <w:noProof/>
        <w:sz w:val="17"/>
        <w:szCs w:val="17"/>
      </w:rPr>
    </w:sdtEndPr>
    <w:sdtContent>
      <w:p w:rsidR="008F38B0" w:rsidRPr="00C60F40" w:rsidRDefault="008F38B0" w:rsidP="00E67631">
        <w:pPr>
          <w:pStyle w:val="Footer"/>
          <w:rPr>
            <w:b/>
            <w:sz w:val="17"/>
            <w:szCs w:val="17"/>
          </w:rPr>
        </w:pPr>
        <w:r w:rsidRPr="00C60F40">
          <w:rPr>
            <w:b/>
            <w:sz w:val="17"/>
            <w:szCs w:val="17"/>
          </w:rPr>
          <w:fldChar w:fldCharType="begin"/>
        </w:r>
        <w:r w:rsidRPr="00C60F40">
          <w:rPr>
            <w:b/>
            <w:sz w:val="17"/>
            <w:szCs w:val="17"/>
          </w:rPr>
          <w:instrText xml:space="preserve"> PAGE   \* MERGEFORMAT </w:instrText>
        </w:r>
        <w:r w:rsidRPr="00C60F40">
          <w:rPr>
            <w:b/>
            <w:sz w:val="17"/>
            <w:szCs w:val="17"/>
          </w:rPr>
          <w:fldChar w:fldCharType="separate"/>
        </w:r>
        <w:r w:rsidR="00922990">
          <w:rPr>
            <w:b/>
            <w:noProof/>
            <w:sz w:val="17"/>
            <w:szCs w:val="17"/>
          </w:rPr>
          <w:t>6</w:t>
        </w:r>
        <w:r w:rsidRPr="00C60F40">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293643"/>
      <w:docPartObj>
        <w:docPartGallery w:val="Page Numbers (Bottom of Page)"/>
        <w:docPartUnique/>
      </w:docPartObj>
    </w:sdtPr>
    <w:sdtEndPr>
      <w:rPr>
        <w:b/>
        <w:noProof/>
        <w:sz w:val="17"/>
        <w:szCs w:val="17"/>
      </w:rPr>
    </w:sdtEndPr>
    <w:sdtContent>
      <w:p w:rsidR="008F38B0" w:rsidRPr="00507165" w:rsidRDefault="008F38B0" w:rsidP="00507165">
        <w:pPr>
          <w:pStyle w:val="Footer"/>
          <w:jc w:val="right"/>
          <w:rPr>
            <w:b/>
            <w:sz w:val="17"/>
            <w:szCs w:val="17"/>
          </w:rPr>
        </w:pPr>
        <w:r w:rsidRPr="00507165">
          <w:rPr>
            <w:b/>
            <w:sz w:val="17"/>
            <w:szCs w:val="17"/>
          </w:rPr>
          <w:fldChar w:fldCharType="begin"/>
        </w:r>
        <w:r w:rsidRPr="00507165">
          <w:rPr>
            <w:b/>
            <w:sz w:val="17"/>
            <w:szCs w:val="17"/>
          </w:rPr>
          <w:instrText xml:space="preserve"> PAGE   \* MERGEFORMAT </w:instrText>
        </w:r>
        <w:r w:rsidRPr="00507165">
          <w:rPr>
            <w:b/>
            <w:sz w:val="17"/>
            <w:szCs w:val="17"/>
          </w:rPr>
          <w:fldChar w:fldCharType="separate"/>
        </w:r>
        <w:r w:rsidR="00922990">
          <w:rPr>
            <w:b/>
            <w:noProof/>
            <w:sz w:val="17"/>
            <w:szCs w:val="17"/>
          </w:rPr>
          <w:t>7</w:t>
        </w:r>
        <w:r w:rsidRPr="00507165">
          <w:rPr>
            <w:b/>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762984"/>
      <w:docPartObj>
        <w:docPartGallery w:val="Page Numbers (Bottom of Page)"/>
        <w:docPartUnique/>
      </w:docPartObj>
    </w:sdtPr>
    <w:sdtEndPr>
      <w:rPr>
        <w:b/>
        <w:noProof/>
        <w:sz w:val="17"/>
        <w:szCs w:val="17"/>
      </w:rPr>
    </w:sdtEndPr>
    <w:sdtContent>
      <w:p w:rsidR="008F38B0" w:rsidRPr="00452EE5" w:rsidRDefault="008F38B0">
        <w:pPr>
          <w:pStyle w:val="Footer"/>
          <w:rPr>
            <w:b/>
            <w:sz w:val="17"/>
            <w:szCs w:val="17"/>
          </w:rPr>
        </w:pPr>
        <w:r w:rsidRPr="00452EE5">
          <w:rPr>
            <w:b/>
            <w:sz w:val="17"/>
            <w:szCs w:val="17"/>
          </w:rPr>
          <w:fldChar w:fldCharType="begin"/>
        </w:r>
        <w:r w:rsidRPr="00452EE5">
          <w:rPr>
            <w:b/>
            <w:sz w:val="17"/>
            <w:szCs w:val="17"/>
          </w:rPr>
          <w:instrText xml:space="preserve"> PAGE   \* MERGEFORMAT </w:instrText>
        </w:r>
        <w:r w:rsidRPr="00452EE5">
          <w:rPr>
            <w:b/>
            <w:sz w:val="17"/>
            <w:szCs w:val="17"/>
          </w:rPr>
          <w:fldChar w:fldCharType="separate"/>
        </w:r>
        <w:r w:rsidR="00922990">
          <w:rPr>
            <w:b/>
            <w:noProof/>
            <w:sz w:val="17"/>
            <w:szCs w:val="17"/>
          </w:rPr>
          <w:t>2</w:t>
        </w:r>
        <w:r w:rsidRPr="00452EE5">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85" w:rsidRDefault="00CC7385" w:rsidP="00441061">
      <w:r>
        <w:separator/>
      </w:r>
    </w:p>
  </w:footnote>
  <w:footnote w:type="continuationSeparator" w:id="0">
    <w:p w:rsidR="00CC7385" w:rsidRDefault="00CC7385" w:rsidP="00441061">
      <w:r>
        <w:continuationSeparator/>
      </w:r>
    </w:p>
  </w:footnote>
  <w:footnote w:type="continuationNotice" w:id="1">
    <w:p w:rsidR="00CC7385" w:rsidRDefault="00CC7385"/>
  </w:footnote>
  <w:footnote w:id="2">
    <w:p w:rsidR="008F38B0" w:rsidRPr="00C4709E" w:rsidRDefault="008F38B0">
      <w:pPr>
        <w:pStyle w:val="FootnoteText"/>
        <w:rPr>
          <w:rFonts w:ascii="Times" w:hAnsi="Times"/>
          <w:sz w:val="16"/>
          <w:szCs w:val="16"/>
        </w:rPr>
      </w:pPr>
      <w:r w:rsidRPr="00C4709E">
        <w:rPr>
          <w:rStyle w:val="FootnoteReference"/>
          <w:rFonts w:ascii="Times" w:hAnsi="Times"/>
          <w:sz w:val="16"/>
          <w:szCs w:val="16"/>
        </w:rPr>
        <w:footnoteRef/>
      </w:r>
      <w:r w:rsidRPr="00C4709E">
        <w:rPr>
          <w:rFonts w:ascii="Times" w:hAnsi="Times"/>
          <w:sz w:val="16"/>
          <w:szCs w:val="16"/>
        </w:rPr>
        <w:t xml:space="preserve"> </w:t>
      </w:r>
      <w:r w:rsidRPr="00C4709E">
        <w:rPr>
          <w:rFonts w:ascii="Times" w:hAnsi="Times"/>
          <w:sz w:val="16"/>
          <w:szCs w:val="16"/>
          <w:lang w:val="en-GB"/>
        </w:rPr>
        <w:t>Systematic country diagnostic, 2017 World Bank report.</w:t>
      </w:r>
    </w:p>
  </w:footnote>
  <w:footnote w:id="3">
    <w:p w:rsidR="008F38B0" w:rsidRPr="00C4709E" w:rsidRDefault="008F38B0">
      <w:pPr>
        <w:pStyle w:val="FootnoteText"/>
        <w:rPr>
          <w:rFonts w:ascii="Times" w:hAnsi="Times"/>
          <w:sz w:val="16"/>
          <w:szCs w:val="16"/>
        </w:rPr>
      </w:pPr>
      <w:r w:rsidRPr="00C4709E">
        <w:rPr>
          <w:rStyle w:val="FootnoteReference"/>
          <w:rFonts w:ascii="Times" w:hAnsi="Times"/>
          <w:sz w:val="16"/>
          <w:szCs w:val="16"/>
        </w:rPr>
        <w:footnoteRef/>
      </w:r>
      <w:r w:rsidRPr="00C4709E">
        <w:rPr>
          <w:rFonts w:ascii="Times" w:hAnsi="Times"/>
          <w:sz w:val="16"/>
          <w:szCs w:val="16"/>
        </w:rPr>
        <w:t xml:space="preserve"> National Household Living Conditions Survey, 2014.</w:t>
      </w:r>
    </w:p>
  </w:footnote>
  <w:footnote w:id="4">
    <w:p w:rsidR="008F38B0" w:rsidRPr="00C4709E" w:rsidRDefault="008F38B0">
      <w:pPr>
        <w:pStyle w:val="FootnoteText"/>
        <w:rPr>
          <w:rFonts w:ascii="Times" w:hAnsi="Times"/>
          <w:sz w:val="16"/>
          <w:szCs w:val="16"/>
        </w:rPr>
      </w:pPr>
      <w:r w:rsidRPr="00C4709E">
        <w:rPr>
          <w:rStyle w:val="FootnoteReference"/>
          <w:rFonts w:ascii="Times" w:hAnsi="Times"/>
          <w:sz w:val="16"/>
          <w:szCs w:val="16"/>
        </w:rPr>
        <w:footnoteRef/>
      </w:r>
      <w:r w:rsidRPr="00C4709E">
        <w:rPr>
          <w:rFonts w:ascii="Times" w:hAnsi="Times"/>
          <w:sz w:val="16"/>
          <w:szCs w:val="16"/>
        </w:rPr>
        <w:t xml:space="preserve"> </w:t>
      </w:r>
      <w:r w:rsidRPr="00C4709E">
        <w:rPr>
          <w:rFonts w:ascii="Times" w:hAnsi="Times"/>
          <w:sz w:val="16"/>
          <w:szCs w:val="16"/>
          <w:lang w:val="en-GB"/>
        </w:rPr>
        <w:t>Mauritania Renewable Readiness Assessment, 2015.</w:t>
      </w:r>
    </w:p>
  </w:footnote>
  <w:footnote w:id="5">
    <w:p w:rsidR="008F38B0" w:rsidRPr="00C4709E" w:rsidRDefault="008F38B0">
      <w:pPr>
        <w:pStyle w:val="FootnoteText"/>
        <w:rPr>
          <w:rFonts w:ascii="Times" w:hAnsi="Times"/>
          <w:sz w:val="16"/>
          <w:szCs w:val="16"/>
        </w:rPr>
      </w:pPr>
      <w:r w:rsidRPr="00C4709E">
        <w:rPr>
          <w:rStyle w:val="FootnoteReference"/>
          <w:rFonts w:ascii="Times" w:hAnsi="Times"/>
          <w:sz w:val="16"/>
          <w:szCs w:val="16"/>
        </w:rPr>
        <w:footnoteRef/>
      </w:r>
      <w:r w:rsidRPr="00C4709E">
        <w:rPr>
          <w:rFonts w:ascii="Times" w:hAnsi="Times"/>
          <w:sz w:val="16"/>
          <w:szCs w:val="16"/>
        </w:rPr>
        <w:t xml:space="preserve"> Situation analysis by UNDP/Global Environment Facility Hybrid Mini Grids Project, 2016.</w:t>
      </w:r>
    </w:p>
  </w:footnote>
  <w:footnote w:id="6">
    <w:p w:rsidR="008F38B0" w:rsidRDefault="008F38B0" w:rsidP="002B6748">
      <w:r w:rsidRPr="00C4709E">
        <w:rPr>
          <w:rStyle w:val="FootnoteReference"/>
          <w:rFonts w:ascii="Times" w:hAnsi="Times"/>
          <w:sz w:val="16"/>
          <w:szCs w:val="16"/>
        </w:rPr>
        <w:footnoteRef/>
      </w:r>
      <w:r w:rsidRPr="00C4709E">
        <w:rPr>
          <w:rFonts w:ascii="Times" w:hAnsi="Times"/>
          <w:sz w:val="16"/>
          <w:szCs w:val="16"/>
        </w:rPr>
        <w:t xml:space="preserve"> </w:t>
      </w:r>
      <w:r w:rsidRPr="008F38B0">
        <w:rPr>
          <w:rFonts w:ascii="Times" w:hAnsi="Times"/>
          <w:sz w:val="16"/>
          <w:szCs w:val="16"/>
          <w:shd w:val="clear" w:color="auto" w:fill="FFFFFF"/>
          <w:lang w:val="en-CA"/>
        </w:rPr>
        <w:t>An institutional framework for coordination of regional cooperation in development policies and security matters in central Africa, it was created at a summit for five Sahel countries: Burkina Faso, Chad, Mali, Mauritania, and Niger.</w:t>
      </w:r>
    </w:p>
  </w:footnote>
  <w:footnote w:id="7">
    <w:p w:rsidR="008F38B0" w:rsidRPr="00C4709E" w:rsidRDefault="008F38B0">
      <w:pPr>
        <w:pStyle w:val="FootnoteText"/>
        <w:rPr>
          <w:rFonts w:ascii="Times" w:hAnsi="Times"/>
          <w:sz w:val="16"/>
          <w:szCs w:val="16"/>
        </w:rPr>
      </w:pPr>
      <w:r w:rsidRPr="00C4709E">
        <w:rPr>
          <w:rStyle w:val="FootnoteReference"/>
          <w:rFonts w:ascii="Times" w:hAnsi="Times"/>
          <w:sz w:val="16"/>
          <w:szCs w:val="16"/>
        </w:rPr>
        <w:footnoteRef/>
      </w:r>
      <w:r w:rsidRPr="00C4709E">
        <w:rPr>
          <w:rFonts w:ascii="Times" w:hAnsi="Times"/>
          <w:sz w:val="16"/>
          <w:szCs w:val="16"/>
        </w:rPr>
        <w:t xml:space="preserve"> </w:t>
      </w:r>
      <w:r w:rsidRPr="00C4709E">
        <w:rPr>
          <w:rFonts w:ascii="Times" w:hAnsi="Times"/>
          <w:sz w:val="16"/>
          <w:szCs w:val="16"/>
          <w:lang w:val="en-GB"/>
        </w:rPr>
        <w:t>Report on perception of justice, E</w:t>
      </w:r>
      <w:r>
        <w:rPr>
          <w:rFonts w:ascii="Times" w:hAnsi="Times"/>
          <w:sz w:val="16"/>
          <w:szCs w:val="16"/>
          <w:lang w:val="en-GB"/>
        </w:rPr>
        <w:t xml:space="preserve">uropean </w:t>
      </w:r>
      <w:r w:rsidRPr="00C4709E">
        <w:rPr>
          <w:rFonts w:ascii="Times" w:hAnsi="Times"/>
          <w:sz w:val="16"/>
          <w:szCs w:val="16"/>
          <w:lang w:val="en-GB"/>
        </w:rPr>
        <w:t>U</w:t>
      </w:r>
      <w:r>
        <w:rPr>
          <w:rFonts w:ascii="Times" w:hAnsi="Times"/>
          <w:sz w:val="16"/>
          <w:szCs w:val="16"/>
          <w:lang w:val="en-GB"/>
        </w:rPr>
        <w:t>nion</w:t>
      </w:r>
      <w:r w:rsidRPr="00C4709E">
        <w:rPr>
          <w:rFonts w:ascii="Times" w:hAnsi="Times"/>
          <w:sz w:val="16"/>
          <w:szCs w:val="16"/>
          <w:lang w:val="en-GB"/>
        </w:rPr>
        <w:t>, 2014.</w:t>
      </w:r>
    </w:p>
  </w:footnote>
  <w:footnote w:id="8">
    <w:p w:rsidR="008F38B0" w:rsidRDefault="008F38B0">
      <w:pPr>
        <w:pStyle w:val="FootnoteText"/>
      </w:pPr>
      <w:r w:rsidRPr="006E077F">
        <w:rPr>
          <w:rStyle w:val="FootnoteReference"/>
          <w:rFonts w:ascii="Times" w:hAnsi="Times"/>
          <w:sz w:val="16"/>
          <w:szCs w:val="16"/>
        </w:rPr>
        <w:footnoteRef/>
      </w:r>
      <w:r w:rsidRPr="006E077F">
        <w:rPr>
          <w:rFonts w:ascii="Times" w:hAnsi="Times"/>
          <w:sz w:val="16"/>
          <w:szCs w:val="16"/>
        </w:rPr>
        <w:t xml:space="preserve"> See Transparency International Corruption Perceptions Index:</w:t>
      </w:r>
      <w:r w:rsidRPr="00C4709E">
        <w:rPr>
          <w:rFonts w:ascii="Times" w:hAnsi="Times"/>
          <w:sz w:val="16"/>
          <w:szCs w:val="16"/>
        </w:rPr>
        <w:t xml:space="preserve"> </w:t>
      </w:r>
      <w:hyperlink r:id="rId1" w:history="1">
        <w:r w:rsidRPr="00C4709E">
          <w:rPr>
            <w:rStyle w:val="Hyperlink"/>
            <w:rFonts w:ascii="Times" w:hAnsi="Times"/>
            <w:color w:val="auto"/>
            <w:sz w:val="16"/>
            <w:szCs w:val="16"/>
          </w:rPr>
          <w:t>www.transparency.org/cpi2016</w:t>
        </w:r>
      </w:hyperlink>
      <w:r w:rsidRPr="006E077F">
        <w:rPr>
          <w:rStyle w:val="Hyperlink"/>
          <w:rFonts w:ascii="Times" w:hAnsi="Times"/>
          <w:color w:val="auto"/>
          <w:sz w:val="16"/>
          <w:szCs w:val="16"/>
        </w:rPr>
        <w:t>.</w:t>
      </w:r>
    </w:p>
  </w:footnote>
  <w:footnote w:id="9">
    <w:p w:rsidR="008F38B0" w:rsidRPr="00C4709E" w:rsidRDefault="008F38B0">
      <w:pPr>
        <w:pStyle w:val="FootnoteText"/>
        <w:rPr>
          <w:rFonts w:ascii="Times New Roman" w:hAnsi="Times New Roman"/>
          <w:sz w:val="16"/>
          <w:szCs w:val="16"/>
        </w:rPr>
      </w:pPr>
      <w:r w:rsidRPr="00C4709E">
        <w:rPr>
          <w:rStyle w:val="FootnoteReference"/>
          <w:rFonts w:ascii="Times New Roman" w:hAnsi="Times New Roman"/>
          <w:sz w:val="16"/>
          <w:szCs w:val="16"/>
        </w:rPr>
        <w:footnoteRef/>
      </w:r>
      <w:r w:rsidRPr="00C4709E">
        <w:rPr>
          <w:rFonts w:ascii="Times New Roman" w:hAnsi="Times New Roman"/>
          <w:sz w:val="16"/>
          <w:szCs w:val="16"/>
        </w:rPr>
        <w:t xml:space="preserve"> </w:t>
      </w:r>
      <w:r w:rsidRPr="00DB0E28">
        <w:rPr>
          <w:rFonts w:ascii="Times New Roman" w:hAnsi="Times New Roman"/>
          <w:sz w:val="16"/>
          <w:szCs w:val="16"/>
        </w:rPr>
        <w:t>Mauritania ADR, 2015.</w:t>
      </w:r>
    </w:p>
  </w:footnote>
  <w:footnote w:id="10">
    <w:p w:rsidR="008F38B0" w:rsidRPr="0031127B" w:rsidRDefault="008F38B0">
      <w:pPr>
        <w:pStyle w:val="FootnoteText"/>
        <w:rPr>
          <w:rFonts w:ascii="Times New Roman" w:hAnsi="Times New Roman"/>
        </w:rPr>
      </w:pPr>
      <w:r w:rsidRPr="00C4709E">
        <w:rPr>
          <w:rStyle w:val="FootnoteReference"/>
          <w:rFonts w:ascii="Times New Roman" w:hAnsi="Times New Roman"/>
          <w:sz w:val="16"/>
          <w:szCs w:val="16"/>
        </w:rPr>
        <w:footnoteRef/>
      </w:r>
      <w:r w:rsidRPr="00C4709E">
        <w:rPr>
          <w:rFonts w:ascii="Times New Roman" w:hAnsi="Times New Roman"/>
          <w:sz w:val="16"/>
          <w:szCs w:val="16"/>
        </w:rPr>
        <w:t xml:space="preserve"> </w:t>
      </w:r>
      <w:r w:rsidRPr="00DB0E28">
        <w:rPr>
          <w:rFonts w:ascii="Times New Roman" w:hAnsi="Times New Roman"/>
          <w:sz w:val="16"/>
          <w:szCs w:val="16"/>
        </w:rPr>
        <w:t>Assessment of UNDP interventions in community development</w:t>
      </w:r>
      <w:r>
        <w:rPr>
          <w:rFonts w:ascii="Times New Roman" w:hAnsi="Times New Roman"/>
          <w:sz w:val="16"/>
          <w:szCs w:val="16"/>
        </w:rPr>
        <w:t>.</w:t>
      </w:r>
      <w:r w:rsidRPr="00DB0E28">
        <w:rPr>
          <w:rFonts w:ascii="Times New Roman" w:hAnsi="Times New Roman"/>
          <w:sz w:val="16"/>
          <w:szCs w:val="16"/>
        </w:rPr>
        <w:t xml:space="preserve"> UNDP Outcome Evaluation, 2016.</w:t>
      </w:r>
    </w:p>
  </w:footnote>
  <w:footnote w:id="11">
    <w:p w:rsidR="008F38B0" w:rsidRPr="00C4709E" w:rsidRDefault="008F38B0">
      <w:pPr>
        <w:pStyle w:val="FootnoteText"/>
        <w:rPr>
          <w:rFonts w:ascii="Times New Roman" w:hAnsi="Times New Roman"/>
          <w:sz w:val="16"/>
          <w:szCs w:val="16"/>
        </w:rPr>
      </w:pPr>
      <w:r w:rsidRPr="00C4709E">
        <w:rPr>
          <w:rStyle w:val="FootnoteReference"/>
          <w:rFonts w:ascii="Times New Roman" w:hAnsi="Times New Roman"/>
          <w:sz w:val="16"/>
          <w:szCs w:val="16"/>
        </w:rPr>
        <w:footnoteRef/>
      </w:r>
      <w:r w:rsidRPr="00C4709E">
        <w:rPr>
          <w:rFonts w:ascii="Times New Roman" w:hAnsi="Times New Roman"/>
          <w:sz w:val="16"/>
          <w:szCs w:val="16"/>
        </w:rPr>
        <w:t xml:space="preserve"> </w:t>
      </w:r>
      <w:r w:rsidRPr="00DB0E28">
        <w:rPr>
          <w:rFonts w:ascii="Times New Roman" w:hAnsi="Times New Roman"/>
          <w:sz w:val="16"/>
          <w:szCs w:val="16"/>
        </w:rPr>
        <w:t>ART GOLD Project Mid-Term Evaluation, 2015.</w:t>
      </w:r>
    </w:p>
  </w:footnote>
  <w:footnote w:id="12">
    <w:p w:rsidR="008F38B0" w:rsidRPr="00C4709E" w:rsidRDefault="008F38B0">
      <w:pPr>
        <w:pStyle w:val="FootnoteText"/>
        <w:rPr>
          <w:rFonts w:ascii="Times New Roman" w:hAnsi="Times New Roman"/>
          <w:sz w:val="16"/>
          <w:szCs w:val="16"/>
        </w:rPr>
      </w:pPr>
      <w:r w:rsidRPr="00C4709E">
        <w:rPr>
          <w:rStyle w:val="FootnoteReference"/>
          <w:rFonts w:ascii="Times New Roman" w:hAnsi="Times New Roman"/>
          <w:sz w:val="16"/>
          <w:szCs w:val="16"/>
        </w:rPr>
        <w:footnoteRef/>
      </w:r>
      <w:r w:rsidRPr="00C4709E">
        <w:rPr>
          <w:rFonts w:ascii="Times New Roman" w:hAnsi="Times New Roman"/>
          <w:sz w:val="16"/>
          <w:szCs w:val="16"/>
        </w:rPr>
        <w:t xml:space="preserve"> </w:t>
      </w:r>
      <w:r w:rsidRPr="00DB0E28">
        <w:rPr>
          <w:rFonts w:ascii="Times New Roman" w:hAnsi="Times New Roman"/>
          <w:sz w:val="16"/>
          <w:szCs w:val="16"/>
        </w:rPr>
        <w:t>Final Review Report of the Project support to Parliament, 2016.</w:t>
      </w:r>
    </w:p>
  </w:footnote>
  <w:footnote w:id="13">
    <w:p w:rsidR="008F38B0" w:rsidRDefault="008F38B0">
      <w:pPr>
        <w:pStyle w:val="FootnoteText"/>
      </w:pPr>
      <w:r w:rsidRPr="00C4709E">
        <w:rPr>
          <w:rStyle w:val="FootnoteReference"/>
          <w:rFonts w:ascii="Times New Roman" w:hAnsi="Times New Roman"/>
          <w:sz w:val="16"/>
          <w:szCs w:val="16"/>
        </w:rPr>
        <w:footnoteRef/>
      </w:r>
      <w:r w:rsidRPr="00C4709E">
        <w:rPr>
          <w:rFonts w:ascii="Times New Roman" w:hAnsi="Times New Roman"/>
          <w:sz w:val="16"/>
          <w:szCs w:val="16"/>
        </w:rPr>
        <w:t xml:space="preserve"> </w:t>
      </w:r>
      <w:r w:rsidRPr="00DB0E28">
        <w:rPr>
          <w:rFonts w:ascii="Times New Roman" w:hAnsi="Times New Roman"/>
          <w:sz w:val="16"/>
          <w:szCs w:val="16"/>
        </w:rPr>
        <w:t>Country Gender profile, AfDB 2015.</w:t>
      </w:r>
    </w:p>
  </w:footnote>
  <w:footnote w:id="14">
    <w:p w:rsidR="008F38B0" w:rsidRPr="0031127B" w:rsidRDefault="008F38B0">
      <w:pPr>
        <w:pStyle w:val="FootnoteText"/>
        <w:rPr>
          <w:rFonts w:ascii="Times New Roman" w:hAnsi="Times New Roman"/>
        </w:rPr>
      </w:pPr>
      <w:r w:rsidRPr="00C4709E">
        <w:rPr>
          <w:rStyle w:val="FootnoteReference"/>
          <w:rFonts w:ascii="Times New Roman" w:hAnsi="Times New Roman"/>
          <w:sz w:val="16"/>
        </w:rPr>
        <w:footnoteRef/>
      </w:r>
      <w:r w:rsidRPr="00C4709E">
        <w:rPr>
          <w:rFonts w:ascii="Times New Roman" w:hAnsi="Times New Roman"/>
          <w:sz w:val="16"/>
        </w:rPr>
        <w:t xml:space="preserve"> </w:t>
      </w:r>
      <w:r w:rsidRPr="0031127B">
        <w:rPr>
          <w:rFonts w:ascii="Times New Roman" w:hAnsi="Times New Roman"/>
          <w:sz w:val="16"/>
          <w:szCs w:val="16"/>
        </w:rPr>
        <w:t xml:space="preserve">Assessment of UNDP </w:t>
      </w:r>
      <w:r>
        <w:rPr>
          <w:rFonts w:ascii="Times New Roman" w:hAnsi="Times New Roman"/>
          <w:sz w:val="16"/>
          <w:szCs w:val="16"/>
        </w:rPr>
        <w:t>c</w:t>
      </w:r>
      <w:r w:rsidRPr="0031127B">
        <w:rPr>
          <w:rFonts w:ascii="Times New Roman" w:hAnsi="Times New Roman"/>
          <w:sz w:val="16"/>
          <w:szCs w:val="16"/>
        </w:rPr>
        <w:t>ontribution</w:t>
      </w:r>
      <w:r>
        <w:rPr>
          <w:rFonts w:ascii="Times New Roman" w:hAnsi="Times New Roman"/>
          <w:sz w:val="16"/>
          <w:szCs w:val="16"/>
        </w:rPr>
        <w:t>s</w:t>
      </w:r>
      <w:r w:rsidRPr="0031127B">
        <w:rPr>
          <w:rFonts w:ascii="Times New Roman" w:hAnsi="Times New Roman"/>
          <w:sz w:val="16"/>
          <w:szCs w:val="16"/>
        </w:rPr>
        <w:t xml:space="preserve"> to mainstreaming environment and climate change issues in national strategies</w:t>
      </w:r>
      <w:r>
        <w:rPr>
          <w:rFonts w:ascii="Times New Roman" w:hAnsi="Times New Roman"/>
          <w:sz w:val="16"/>
          <w:szCs w:val="16"/>
        </w:rPr>
        <w:t>.</w:t>
      </w:r>
      <w:r w:rsidRPr="0031127B">
        <w:rPr>
          <w:rFonts w:ascii="Times New Roman" w:hAnsi="Times New Roman"/>
          <w:sz w:val="16"/>
          <w:szCs w:val="16"/>
        </w:rPr>
        <w:t xml:space="preserve"> </w:t>
      </w:r>
      <w:r>
        <w:rPr>
          <w:rFonts w:ascii="Times New Roman" w:hAnsi="Times New Roman"/>
          <w:sz w:val="16"/>
          <w:szCs w:val="16"/>
        </w:rPr>
        <w:t xml:space="preserve">UNDP </w:t>
      </w:r>
      <w:r w:rsidRPr="0031127B">
        <w:rPr>
          <w:rFonts w:ascii="Times New Roman" w:hAnsi="Times New Roman"/>
          <w:sz w:val="16"/>
          <w:szCs w:val="16"/>
        </w:rPr>
        <w:t>Outcome Evaluation 2016</w:t>
      </w:r>
      <w:r>
        <w:rPr>
          <w:rFonts w:ascii="Times New Roman" w:hAnsi="Times New Roman"/>
          <w:sz w:val="16"/>
          <w:szCs w:val="16"/>
        </w:rPr>
        <w:t>.</w:t>
      </w:r>
    </w:p>
  </w:footnote>
  <w:footnote w:id="15">
    <w:p w:rsidR="008F38B0" w:rsidRPr="0031127B" w:rsidRDefault="008F38B0">
      <w:pPr>
        <w:pStyle w:val="FootnoteText"/>
        <w:rPr>
          <w:rFonts w:ascii="Times New Roman" w:hAnsi="Times New Roman"/>
        </w:rPr>
      </w:pPr>
      <w:r w:rsidRPr="00C4709E">
        <w:rPr>
          <w:rStyle w:val="FootnoteReference"/>
          <w:rFonts w:ascii="Times New Roman" w:hAnsi="Times New Roman"/>
          <w:sz w:val="16"/>
        </w:rPr>
        <w:footnoteRef/>
      </w:r>
      <w:r w:rsidRPr="00C4709E">
        <w:rPr>
          <w:rFonts w:ascii="Times New Roman" w:hAnsi="Times New Roman"/>
          <w:sz w:val="16"/>
        </w:rPr>
        <w:t xml:space="preserve"> </w:t>
      </w:r>
      <w:r w:rsidRPr="0031127B">
        <w:rPr>
          <w:rFonts w:ascii="Times New Roman" w:hAnsi="Times New Roman"/>
          <w:sz w:val="16"/>
          <w:szCs w:val="16"/>
        </w:rPr>
        <w:t>Evaluation of the Strategic Framework to Fight Against Poverty, July 2015</w:t>
      </w:r>
      <w:r>
        <w:rPr>
          <w:rFonts w:ascii="Times New Roman" w:hAnsi="Times New Roman"/>
          <w:sz w:val="16"/>
          <w:szCs w:val="16"/>
        </w:rPr>
        <w:t>.</w:t>
      </w:r>
    </w:p>
  </w:footnote>
  <w:footnote w:id="16">
    <w:p w:rsidR="008F38B0" w:rsidRPr="005363C9" w:rsidRDefault="008F38B0">
      <w:pPr>
        <w:pStyle w:val="FootnoteText"/>
        <w:rPr>
          <w:rFonts w:ascii="Times New Roman" w:hAnsi="Times New Roman"/>
          <w:sz w:val="16"/>
          <w:szCs w:val="16"/>
        </w:rPr>
      </w:pPr>
      <w:r w:rsidRPr="005363C9">
        <w:rPr>
          <w:rStyle w:val="FootnoteReference"/>
          <w:rFonts w:ascii="Times New Roman" w:hAnsi="Times New Roman"/>
          <w:sz w:val="16"/>
          <w:szCs w:val="16"/>
        </w:rPr>
        <w:footnoteRef/>
      </w:r>
      <w:r w:rsidRPr="005363C9">
        <w:rPr>
          <w:rFonts w:ascii="Times New Roman" w:hAnsi="Times New Roman"/>
          <w:sz w:val="16"/>
          <w:szCs w:val="16"/>
        </w:rPr>
        <w:t xml:space="preserve"> Assessment of UNDP contribution</w:t>
      </w:r>
      <w:r>
        <w:rPr>
          <w:rFonts w:ascii="Times New Roman" w:hAnsi="Times New Roman"/>
          <w:sz w:val="16"/>
          <w:szCs w:val="16"/>
        </w:rPr>
        <w:t>s</w:t>
      </w:r>
      <w:r w:rsidRPr="005363C9">
        <w:rPr>
          <w:rFonts w:ascii="Times New Roman" w:hAnsi="Times New Roman"/>
          <w:sz w:val="16"/>
          <w:szCs w:val="16"/>
        </w:rPr>
        <w:t xml:space="preserve"> to promote access to job opportunities for women and young people</w:t>
      </w:r>
      <w:r w:rsidR="00B22A70">
        <w:rPr>
          <w:rFonts w:ascii="Times New Roman" w:hAnsi="Times New Roman"/>
          <w:sz w:val="16"/>
          <w:szCs w:val="16"/>
        </w:rPr>
        <w:t>,</w:t>
      </w:r>
      <w:r w:rsidRPr="005363C9">
        <w:rPr>
          <w:rFonts w:ascii="Times New Roman" w:hAnsi="Times New Roman"/>
          <w:sz w:val="16"/>
          <w:szCs w:val="16"/>
        </w:rPr>
        <w:t xml:space="preserve"> UNDP Outcome Evaluation 2016</w:t>
      </w:r>
      <w:r>
        <w:rPr>
          <w:rFonts w:ascii="Times New Roman" w:hAnsi="Times New Roman"/>
          <w:sz w:val="16"/>
          <w:szCs w:val="16"/>
        </w:rPr>
        <w:t>.</w:t>
      </w:r>
    </w:p>
  </w:footnote>
  <w:footnote w:id="17">
    <w:p w:rsidR="008F38B0" w:rsidRPr="005363C9" w:rsidRDefault="008F38B0">
      <w:pPr>
        <w:pStyle w:val="FootnoteText"/>
        <w:rPr>
          <w:rFonts w:ascii="Times New Roman" w:hAnsi="Times New Roman"/>
          <w:sz w:val="16"/>
          <w:szCs w:val="16"/>
        </w:rPr>
      </w:pPr>
      <w:r w:rsidRPr="005363C9">
        <w:rPr>
          <w:rStyle w:val="FootnoteReference"/>
          <w:rFonts w:ascii="Times New Roman" w:hAnsi="Times New Roman"/>
          <w:sz w:val="16"/>
          <w:szCs w:val="16"/>
        </w:rPr>
        <w:footnoteRef/>
      </w:r>
      <w:r w:rsidRPr="005363C9">
        <w:rPr>
          <w:rFonts w:ascii="Times New Roman" w:hAnsi="Times New Roman"/>
          <w:sz w:val="16"/>
          <w:szCs w:val="16"/>
        </w:rPr>
        <w:t xml:space="preserve"> National Statistic Development Strategy report,</w:t>
      </w:r>
      <w:r>
        <w:rPr>
          <w:rFonts w:ascii="Times New Roman" w:hAnsi="Times New Roman"/>
          <w:sz w:val="16"/>
          <w:szCs w:val="16"/>
        </w:rPr>
        <w:t xml:space="preserve"> </w:t>
      </w:r>
      <w:r w:rsidRPr="005363C9">
        <w:rPr>
          <w:rFonts w:ascii="Times New Roman" w:hAnsi="Times New Roman"/>
          <w:sz w:val="16"/>
          <w:szCs w:val="16"/>
        </w:rPr>
        <w:t>2016</w:t>
      </w:r>
      <w:r>
        <w:rPr>
          <w:rFonts w:ascii="Times New Roman" w:hAnsi="Times New Roman"/>
          <w:sz w:val="16"/>
          <w:szCs w:val="16"/>
        </w:rPr>
        <w:t>.</w:t>
      </w:r>
    </w:p>
  </w:footnote>
  <w:footnote w:id="18">
    <w:p w:rsidR="008F38B0" w:rsidRPr="005363C9" w:rsidRDefault="008F38B0">
      <w:pPr>
        <w:pStyle w:val="FootnoteText"/>
        <w:rPr>
          <w:rFonts w:ascii="Times New Roman" w:hAnsi="Times New Roman"/>
          <w:sz w:val="16"/>
          <w:szCs w:val="16"/>
        </w:rPr>
      </w:pPr>
      <w:r w:rsidRPr="005363C9">
        <w:rPr>
          <w:rStyle w:val="FootnoteReference"/>
          <w:rFonts w:ascii="Times New Roman" w:hAnsi="Times New Roman"/>
          <w:sz w:val="16"/>
          <w:szCs w:val="16"/>
        </w:rPr>
        <w:footnoteRef/>
      </w:r>
      <w:r w:rsidRPr="005363C9">
        <w:rPr>
          <w:rFonts w:ascii="Times New Roman" w:hAnsi="Times New Roman"/>
          <w:sz w:val="16"/>
          <w:szCs w:val="16"/>
        </w:rPr>
        <w:t xml:space="preserve"> Final report of the project “Peace, Security and Justice</w:t>
      </w:r>
      <w:r>
        <w:rPr>
          <w:rFonts w:ascii="Times New Roman" w:hAnsi="Times New Roman"/>
          <w:sz w:val="16"/>
          <w:szCs w:val="16"/>
        </w:rPr>
        <w:t>,</w:t>
      </w:r>
      <w:r w:rsidRPr="005363C9">
        <w:rPr>
          <w:rFonts w:ascii="Times New Roman" w:hAnsi="Times New Roman"/>
          <w:sz w:val="16"/>
          <w:szCs w:val="16"/>
        </w:rPr>
        <w:t>” 2016</w:t>
      </w:r>
      <w:r>
        <w:rPr>
          <w:rFonts w:ascii="Times New Roman" w:hAnsi="Times New Roman"/>
          <w:sz w:val="16"/>
          <w:szCs w:val="16"/>
        </w:rPr>
        <w:t>.</w:t>
      </w:r>
    </w:p>
  </w:footnote>
  <w:footnote w:id="19">
    <w:p w:rsidR="008F38B0" w:rsidRPr="00FF2D5A" w:rsidRDefault="008F38B0">
      <w:pPr>
        <w:pStyle w:val="FootnoteText"/>
        <w:rPr>
          <w:sz w:val="16"/>
          <w:szCs w:val="16"/>
        </w:rPr>
      </w:pPr>
      <w:r w:rsidRPr="005363C9">
        <w:rPr>
          <w:rStyle w:val="FootnoteReference"/>
          <w:rFonts w:ascii="Times New Roman" w:hAnsi="Times New Roman"/>
          <w:sz w:val="16"/>
          <w:szCs w:val="16"/>
        </w:rPr>
        <w:footnoteRef/>
      </w:r>
      <w:r w:rsidRPr="005363C9">
        <w:rPr>
          <w:rFonts w:ascii="Times New Roman" w:hAnsi="Times New Roman"/>
          <w:sz w:val="16"/>
          <w:szCs w:val="16"/>
        </w:rPr>
        <w:t xml:space="preserve"> </w:t>
      </w:r>
      <w:r w:rsidRPr="00C4709E">
        <w:rPr>
          <w:rFonts w:ascii="Times New Roman" w:hAnsi="Times New Roman"/>
          <w:i/>
          <w:sz w:val="16"/>
          <w:szCs w:val="16"/>
        </w:rPr>
        <w:t>Ibid</w:t>
      </w:r>
      <w:r>
        <w:rPr>
          <w:rFonts w:ascii="Times New Roman" w:hAnsi="Times New Roman"/>
          <w:sz w:val="16"/>
          <w:szCs w:val="16"/>
        </w:rPr>
        <w:t>.</w:t>
      </w:r>
    </w:p>
  </w:footnote>
  <w:footnote w:id="20">
    <w:p w:rsidR="008F38B0" w:rsidRPr="005363C9" w:rsidRDefault="008F38B0">
      <w:pPr>
        <w:pStyle w:val="FootnoteText"/>
        <w:rPr>
          <w:rFonts w:ascii="Times New Roman" w:hAnsi="Times New Roman"/>
          <w:sz w:val="16"/>
          <w:szCs w:val="16"/>
        </w:rPr>
      </w:pPr>
      <w:r w:rsidRPr="005363C9">
        <w:rPr>
          <w:rStyle w:val="FootnoteReference"/>
          <w:rFonts w:ascii="Times New Roman" w:hAnsi="Times New Roman"/>
          <w:sz w:val="16"/>
          <w:szCs w:val="16"/>
        </w:rPr>
        <w:footnoteRef/>
      </w:r>
      <w:r w:rsidRPr="005363C9">
        <w:rPr>
          <w:rFonts w:ascii="Times New Roman" w:hAnsi="Times New Roman"/>
          <w:sz w:val="16"/>
          <w:szCs w:val="16"/>
        </w:rPr>
        <w:t xml:space="preserve"> ART GOLD Project Mid-Term Evaluation 2015</w:t>
      </w:r>
      <w:r>
        <w:rPr>
          <w:rFonts w:ascii="Times New Roman" w:hAnsi="Times New Roman"/>
          <w:sz w:val="16"/>
          <w:szCs w:val="16"/>
        </w:rPr>
        <w:t>.</w:t>
      </w:r>
    </w:p>
  </w:footnote>
  <w:footnote w:id="21">
    <w:p w:rsidR="008F38B0" w:rsidRPr="005363C9" w:rsidRDefault="008F38B0">
      <w:pPr>
        <w:pStyle w:val="FootnoteText"/>
        <w:rPr>
          <w:rFonts w:ascii="Times New Roman" w:hAnsi="Times New Roman"/>
          <w:sz w:val="16"/>
          <w:szCs w:val="16"/>
        </w:rPr>
      </w:pPr>
      <w:r w:rsidRPr="005363C9">
        <w:rPr>
          <w:rStyle w:val="FootnoteReference"/>
          <w:rFonts w:ascii="Times New Roman" w:hAnsi="Times New Roman"/>
          <w:sz w:val="16"/>
          <w:szCs w:val="16"/>
        </w:rPr>
        <w:footnoteRef/>
      </w:r>
      <w:r w:rsidRPr="005363C9">
        <w:rPr>
          <w:rFonts w:ascii="Times New Roman" w:hAnsi="Times New Roman"/>
          <w:sz w:val="16"/>
          <w:szCs w:val="16"/>
        </w:rPr>
        <w:t xml:space="preserve"> </w:t>
      </w:r>
      <w:r w:rsidRPr="008F38B0">
        <w:rPr>
          <w:rFonts w:ascii="Times New Roman" w:hAnsi="Times New Roman"/>
          <w:i/>
          <w:sz w:val="16"/>
          <w:szCs w:val="16"/>
        </w:rPr>
        <w:t>Ibid</w:t>
      </w:r>
      <w:r w:rsidRPr="008F38B0">
        <w:rPr>
          <w:rFonts w:ascii="Times New Roman" w:hAnsi="Times New Roman"/>
          <w:sz w:val="16"/>
          <w:szCs w:val="16"/>
        </w:rPr>
        <w:t>.</w:t>
      </w:r>
    </w:p>
  </w:footnote>
  <w:footnote w:id="22">
    <w:p w:rsidR="008F38B0" w:rsidRPr="001511FD" w:rsidRDefault="008F38B0">
      <w:pPr>
        <w:pStyle w:val="FootnoteText"/>
        <w:rPr>
          <w:sz w:val="16"/>
          <w:szCs w:val="16"/>
        </w:rPr>
      </w:pPr>
      <w:r w:rsidRPr="005363C9">
        <w:rPr>
          <w:rStyle w:val="FootnoteReference"/>
          <w:rFonts w:ascii="Times New Roman" w:hAnsi="Times New Roman"/>
          <w:sz w:val="16"/>
          <w:szCs w:val="16"/>
        </w:rPr>
        <w:footnoteRef/>
      </w:r>
      <w:r w:rsidRPr="005363C9">
        <w:rPr>
          <w:rFonts w:ascii="Times New Roman" w:hAnsi="Times New Roman"/>
          <w:sz w:val="16"/>
          <w:szCs w:val="16"/>
        </w:rPr>
        <w:t xml:space="preserve"> Study on the socioeconomic determinants of terrorism in Mauritania, Ministry of Interior</w:t>
      </w:r>
      <w:r>
        <w:rPr>
          <w:rFonts w:ascii="Times New Roman" w:hAnsi="Times New Roman"/>
          <w:sz w:val="16"/>
          <w:szCs w:val="16"/>
        </w:rPr>
        <w:t xml:space="preserve"> and </w:t>
      </w:r>
      <w:r w:rsidRPr="005363C9">
        <w:rPr>
          <w:rFonts w:ascii="Times New Roman" w:hAnsi="Times New Roman"/>
          <w:sz w:val="16"/>
          <w:szCs w:val="16"/>
        </w:rPr>
        <w:t>UNDP, 2016</w:t>
      </w:r>
      <w:r>
        <w:rPr>
          <w:rFonts w:ascii="Times New Roman" w:hAnsi="Times New Roman"/>
          <w:sz w:val="16"/>
          <w:szCs w:val="16"/>
        </w:rPr>
        <w:t>.</w:t>
      </w:r>
    </w:p>
  </w:footnote>
  <w:footnote w:id="23">
    <w:p w:rsidR="008F38B0" w:rsidRPr="005363C9" w:rsidRDefault="008F38B0">
      <w:pPr>
        <w:pStyle w:val="FootnoteText"/>
        <w:rPr>
          <w:rFonts w:ascii="Times New Roman" w:hAnsi="Times New Roman"/>
          <w:sz w:val="16"/>
          <w:szCs w:val="16"/>
        </w:rPr>
      </w:pPr>
      <w:r w:rsidRPr="005363C9">
        <w:rPr>
          <w:rStyle w:val="FootnoteReference"/>
          <w:rFonts w:ascii="Times New Roman" w:hAnsi="Times New Roman"/>
          <w:sz w:val="16"/>
          <w:szCs w:val="16"/>
        </w:rPr>
        <w:footnoteRef/>
      </w:r>
      <w:r w:rsidRPr="005363C9">
        <w:rPr>
          <w:rFonts w:ascii="Times New Roman" w:hAnsi="Times New Roman"/>
          <w:sz w:val="16"/>
          <w:szCs w:val="16"/>
        </w:rPr>
        <w:t xml:space="preserve"> Assessment of UNDP </w:t>
      </w:r>
      <w:r>
        <w:rPr>
          <w:rFonts w:ascii="Times New Roman" w:hAnsi="Times New Roman"/>
          <w:sz w:val="16"/>
          <w:szCs w:val="16"/>
        </w:rPr>
        <w:t>c</w:t>
      </w:r>
      <w:r w:rsidRPr="005363C9">
        <w:rPr>
          <w:rFonts w:ascii="Times New Roman" w:hAnsi="Times New Roman"/>
          <w:sz w:val="16"/>
          <w:szCs w:val="16"/>
        </w:rPr>
        <w:t>ontribution to mainstreaming environment and climate change issues in national strategies, Outcome Evaluation 2016</w:t>
      </w:r>
      <w:r>
        <w:rPr>
          <w:rFonts w:ascii="Times New Roman" w:hAnsi="Times New Roman"/>
          <w:sz w:val="16"/>
          <w:szCs w:val="16"/>
        </w:rPr>
        <w:t>.</w:t>
      </w:r>
    </w:p>
  </w:footnote>
  <w:footnote w:id="24">
    <w:p w:rsidR="008F38B0" w:rsidRPr="005363C9" w:rsidRDefault="008F38B0">
      <w:pPr>
        <w:pStyle w:val="FootnoteText"/>
        <w:rPr>
          <w:rFonts w:ascii="Times New Roman" w:hAnsi="Times New Roman"/>
          <w:sz w:val="16"/>
          <w:szCs w:val="16"/>
        </w:rPr>
      </w:pPr>
      <w:r w:rsidRPr="005363C9">
        <w:rPr>
          <w:rStyle w:val="FootnoteReference"/>
          <w:rFonts w:ascii="Times New Roman" w:hAnsi="Times New Roman"/>
          <w:sz w:val="16"/>
          <w:szCs w:val="16"/>
        </w:rPr>
        <w:footnoteRef/>
      </w:r>
      <w:r w:rsidRPr="005363C9">
        <w:rPr>
          <w:rFonts w:ascii="Times New Roman" w:hAnsi="Times New Roman"/>
          <w:sz w:val="16"/>
          <w:szCs w:val="16"/>
        </w:rPr>
        <w:t xml:space="preserve"> </w:t>
      </w:r>
      <w:r w:rsidRPr="008F38B0">
        <w:rPr>
          <w:rFonts w:ascii="Times New Roman" w:hAnsi="Times New Roman"/>
          <w:i/>
          <w:sz w:val="16"/>
          <w:szCs w:val="16"/>
        </w:rPr>
        <w:t>Ibid</w:t>
      </w:r>
      <w:r>
        <w:rPr>
          <w:rFonts w:ascii="Times New Roman" w:hAnsi="Times New Roman"/>
          <w:sz w:val="16"/>
          <w:szCs w:val="16"/>
        </w:rPr>
        <w:t>.</w:t>
      </w:r>
    </w:p>
  </w:footnote>
  <w:footnote w:id="25">
    <w:p w:rsidR="008F38B0" w:rsidRPr="001E7AD8" w:rsidRDefault="008F38B0">
      <w:pPr>
        <w:pStyle w:val="FootnoteText"/>
        <w:rPr>
          <w:sz w:val="16"/>
          <w:szCs w:val="16"/>
        </w:rPr>
      </w:pPr>
      <w:r w:rsidRPr="005363C9">
        <w:rPr>
          <w:rStyle w:val="FootnoteReference"/>
          <w:rFonts w:ascii="Times New Roman" w:hAnsi="Times New Roman"/>
          <w:sz w:val="16"/>
          <w:szCs w:val="16"/>
        </w:rPr>
        <w:footnoteRef/>
      </w:r>
      <w:r w:rsidRPr="005363C9">
        <w:rPr>
          <w:rFonts w:ascii="Times New Roman" w:hAnsi="Times New Roman"/>
          <w:sz w:val="16"/>
          <w:szCs w:val="16"/>
        </w:rPr>
        <w:t xml:space="preserve"> Community Adaptation Plan, 2016</w:t>
      </w:r>
      <w:r>
        <w:rPr>
          <w:rFonts w:ascii="Times New Roman" w:hAnsi="Times New Roman"/>
          <w:sz w:val="16"/>
          <w:szCs w:val="16"/>
        </w:rPr>
        <w:t>.</w:t>
      </w:r>
    </w:p>
  </w:footnote>
  <w:footnote w:id="26">
    <w:p w:rsidR="008F38B0" w:rsidRPr="005363C9" w:rsidRDefault="008F38B0">
      <w:pPr>
        <w:pStyle w:val="FootnoteText"/>
        <w:rPr>
          <w:rFonts w:ascii="Times New Roman" w:hAnsi="Times New Roman"/>
          <w:sz w:val="16"/>
          <w:szCs w:val="16"/>
        </w:rPr>
      </w:pPr>
      <w:r w:rsidRPr="005363C9">
        <w:rPr>
          <w:rStyle w:val="FootnoteReference"/>
          <w:rFonts w:ascii="Times New Roman" w:hAnsi="Times New Roman"/>
          <w:sz w:val="16"/>
          <w:szCs w:val="16"/>
        </w:rPr>
        <w:footnoteRef/>
      </w:r>
      <w:r w:rsidRPr="005363C9">
        <w:rPr>
          <w:rFonts w:ascii="Times New Roman" w:hAnsi="Times New Roman"/>
          <w:sz w:val="16"/>
          <w:szCs w:val="16"/>
        </w:rPr>
        <w:t xml:space="preserve"> Solar Platforms Project Evaluation, 2015</w:t>
      </w:r>
      <w:r>
        <w:rPr>
          <w:rFonts w:ascii="Times New Roman" w:hAnsi="Times New Roman"/>
          <w:sz w:val="16"/>
          <w:szCs w:val="16"/>
        </w:rPr>
        <w:t>.</w:t>
      </w:r>
    </w:p>
  </w:footnote>
  <w:footnote w:id="27">
    <w:p w:rsidR="008F38B0" w:rsidRPr="006E077F" w:rsidRDefault="008F38B0">
      <w:pPr>
        <w:pStyle w:val="FootnoteText"/>
      </w:pPr>
      <w:r w:rsidRPr="00115EE8">
        <w:rPr>
          <w:rStyle w:val="FootnoteReference"/>
          <w:rFonts w:ascii="Times New Roman" w:hAnsi="Times New Roman"/>
          <w:sz w:val="16"/>
        </w:rPr>
        <w:footnoteRef/>
      </w:r>
      <w:r w:rsidRPr="00115EE8">
        <w:rPr>
          <w:rFonts w:ascii="Times New Roman" w:hAnsi="Times New Roman"/>
        </w:rPr>
        <w:t xml:space="preserve"> </w:t>
      </w:r>
      <w:r w:rsidRPr="008F38B0">
        <w:rPr>
          <w:rFonts w:ascii="Times New Roman" w:hAnsi="Times New Roman"/>
          <w:i/>
          <w:sz w:val="16"/>
          <w:szCs w:val="16"/>
        </w:rPr>
        <w:t>Ibid</w:t>
      </w:r>
      <w:r w:rsidRPr="008F38B0">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F38B0" w:rsidRPr="0045239C" w:rsidTr="003226D0">
      <w:trPr>
        <w:trHeight w:hRule="exact" w:val="864"/>
      </w:trPr>
      <w:tc>
        <w:tcPr>
          <w:tcW w:w="4838" w:type="dxa"/>
          <w:tcBorders>
            <w:bottom w:val="single" w:sz="4" w:space="0" w:color="auto"/>
          </w:tcBorders>
          <w:vAlign w:val="bottom"/>
        </w:tcPr>
        <w:p w:rsidR="008F38B0" w:rsidRPr="0045239C" w:rsidRDefault="008F38B0" w:rsidP="00F828B1">
          <w:pPr>
            <w:widowControl w:val="0"/>
            <w:tabs>
              <w:tab w:val="center" w:pos="4320"/>
              <w:tab w:val="right" w:pos="8640"/>
            </w:tabs>
            <w:spacing w:after="80"/>
            <w:rPr>
              <w:b/>
              <w:sz w:val="17"/>
              <w:szCs w:val="17"/>
            </w:rPr>
          </w:pPr>
          <w:r w:rsidRPr="00C4709E">
            <w:rPr>
              <w:b/>
              <w:sz w:val="17"/>
              <w:szCs w:val="17"/>
              <w:highlight w:val="magenta"/>
            </w:rPr>
            <w:t>DP/DCP/MRT/</w:t>
          </w:r>
        </w:p>
      </w:tc>
      <w:tc>
        <w:tcPr>
          <w:tcW w:w="5047" w:type="dxa"/>
          <w:tcBorders>
            <w:bottom w:val="single" w:sz="4" w:space="0" w:color="auto"/>
          </w:tcBorders>
          <w:vAlign w:val="bottom"/>
        </w:tcPr>
        <w:p w:rsidR="008F38B0" w:rsidRPr="0045239C" w:rsidRDefault="008F38B0" w:rsidP="006C6433">
          <w:pPr>
            <w:widowControl w:val="0"/>
            <w:tabs>
              <w:tab w:val="center" w:pos="4320"/>
              <w:tab w:val="right" w:pos="8640"/>
            </w:tabs>
            <w:rPr>
              <w:sz w:val="17"/>
              <w:szCs w:val="17"/>
            </w:rPr>
          </w:pPr>
        </w:p>
      </w:tc>
    </w:tr>
  </w:tbl>
  <w:p w:rsidR="008F38B0" w:rsidRDefault="008F3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03"/>
    </w:tblGrid>
    <w:tr w:rsidR="008F38B0" w:rsidRPr="0045239C" w:rsidTr="00E5673E">
      <w:trPr>
        <w:trHeight w:hRule="exact" w:val="864"/>
      </w:trPr>
      <w:tc>
        <w:tcPr>
          <w:tcW w:w="4838" w:type="dxa"/>
          <w:tcBorders>
            <w:bottom w:val="single" w:sz="4" w:space="0" w:color="auto"/>
          </w:tcBorders>
          <w:vAlign w:val="bottom"/>
        </w:tcPr>
        <w:p w:rsidR="008F38B0" w:rsidRPr="0045239C" w:rsidRDefault="008F38B0" w:rsidP="008F065C">
          <w:pPr>
            <w:widowControl w:val="0"/>
            <w:tabs>
              <w:tab w:val="center" w:pos="4320"/>
              <w:tab w:val="right" w:pos="8640"/>
            </w:tabs>
            <w:spacing w:after="80"/>
            <w:rPr>
              <w:b/>
              <w:sz w:val="17"/>
              <w:szCs w:val="17"/>
            </w:rPr>
          </w:pPr>
        </w:p>
      </w:tc>
      <w:tc>
        <w:tcPr>
          <w:tcW w:w="8203" w:type="dxa"/>
          <w:tcBorders>
            <w:bottom w:val="single" w:sz="4" w:space="0" w:color="auto"/>
          </w:tcBorders>
          <w:vAlign w:val="bottom"/>
        </w:tcPr>
        <w:p w:rsidR="008F38B0" w:rsidRPr="0045239C" w:rsidRDefault="008F38B0" w:rsidP="008A025B">
          <w:pPr>
            <w:widowControl w:val="0"/>
            <w:tabs>
              <w:tab w:val="center" w:pos="4320"/>
              <w:tab w:val="right" w:pos="8640"/>
            </w:tabs>
            <w:jc w:val="right"/>
            <w:rPr>
              <w:sz w:val="17"/>
              <w:szCs w:val="17"/>
            </w:rPr>
          </w:pPr>
          <w:r w:rsidRPr="0045239C">
            <w:rPr>
              <w:b/>
              <w:sz w:val="17"/>
              <w:szCs w:val="17"/>
            </w:rPr>
            <w:t>D</w:t>
          </w:r>
          <w:r>
            <w:rPr>
              <w:b/>
              <w:sz w:val="17"/>
              <w:szCs w:val="17"/>
            </w:rPr>
            <w:t>P/DCP/GB/</w:t>
          </w:r>
        </w:p>
      </w:tc>
    </w:tr>
  </w:tbl>
  <w:p w:rsidR="008F38B0" w:rsidRPr="008F065C" w:rsidRDefault="008F38B0" w:rsidP="008F0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1"/>
    </w:tblGrid>
    <w:tr w:rsidR="008F38B0" w:rsidRPr="00507165" w:rsidTr="008C719C">
      <w:trPr>
        <w:trHeight w:hRule="exact" w:val="864"/>
      </w:trPr>
      <w:tc>
        <w:tcPr>
          <w:tcW w:w="1267" w:type="dxa"/>
          <w:tcBorders>
            <w:bottom w:val="single" w:sz="4" w:space="0" w:color="auto"/>
          </w:tcBorders>
          <w:shd w:val="clear" w:color="auto" w:fill="auto"/>
          <w:vAlign w:val="bottom"/>
        </w:tcPr>
        <w:p w:rsidR="008F38B0" w:rsidRPr="00507165" w:rsidRDefault="008F38B0" w:rsidP="00507165">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rsidR="008F38B0" w:rsidRPr="00507165" w:rsidRDefault="008F38B0" w:rsidP="005071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507165">
            <w:rPr>
              <w:spacing w:val="2"/>
              <w:w w:val="96"/>
              <w:kern w:val="14"/>
              <w:sz w:val="28"/>
              <w:lang w:val="en-GB"/>
            </w:rPr>
            <w:t>United Nations</w:t>
          </w:r>
        </w:p>
      </w:tc>
      <w:tc>
        <w:tcPr>
          <w:tcW w:w="245" w:type="dxa"/>
          <w:tcBorders>
            <w:bottom w:val="single" w:sz="4" w:space="0" w:color="auto"/>
          </w:tcBorders>
          <w:shd w:val="clear" w:color="auto" w:fill="auto"/>
          <w:vAlign w:val="bottom"/>
        </w:tcPr>
        <w:p w:rsidR="008F38B0" w:rsidRPr="00507165" w:rsidRDefault="008F38B0" w:rsidP="00507165">
          <w:pPr>
            <w:tabs>
              <w:tab w:val="center" w:pos="4320"/>
              <w:tab w:val="right" w:pos="8640"/>
            </w:tabs>
            <w:spacing w:after="120"/>
            <w:rPr>
              <w:noProof/>
              <w:sz w:val="17"/>
            </w:rPr>
          </w:pPr>
        </w:p>
      </w:tc>
      <w:tc>
        <w:tcPr>
          <w:tcW w:w="6516" w:type="dxa"/>
          <w:gridSpan w:val="3"/>
          <w:tcBorders>
            <w:bottom w:val="single" w:sz="4" w:space="0" w:color="auto"/>
          </w:tcBorders>
          <w:shd w:val="clear" w:color="auto" w:fill="auto"/>
          <w:vAlign w:val="bottom"/>
        </w:tcPr>
        <w:p w:rsidR="008F38B0" w:rsidRPr="00507165" w:rsidRDefault="008F38B0" w:rsidP="00507165">
          <w:pPr>
            <w:suppressAutoHyphens/>
            <w:spacing w:after="80"/>
            <w:jc w:val="right"/>
            <w:rPr>
              <w:spacing w:val="4"/>
              <w:w w:val="103"/>
              <w:kern w:val="14"/>
              <w:position w:val="-4"/>
              <w:lang w:val="en-GB"/>
            </w:rPr>
          </w:pPr>
          <w:r w:rsidRPr="00507165">
            <w:rPr>
              <w:spacing w:val="4"/>
              <w:w w:val="103"/>
              <w:kern w:val="14"/>
              <w:position w:val="-4"/>
              <w:sz w:val="40"/>
              <w:lang w:val="en-GB"/>
            </w:rPr>
            <w:t>DP</w:t>
          </w:r>
          <w:r w:rsidRPr="00507165">
            <w:rPr>
              <w:spacing w:val="4"/>
              <w:w w:val="103"/>
              <w:kern w:val="14"/>
              <w:position w:val="-4"/>
              <w:lang w:val="en-GB"/>
            </w:rPr>
            <w:t>/DCP/</w:t>
          </w:r>
          <w:r>
            <w:rPr>
              <w:spacing w:val="4"/>
              <w:w w:val="103"/>
              <w:kern w:val="14"/>
              <w:position w:val="-4"/>
              <w:lang w:val="en-GB"/>
            </w:rPr>
            <w:t>MRT</w:t>
          </w:r>
          <w:r w:rsidRPr="00507165">
            <w:rPr>
              <w:spacing w:val="4"/>
              <w:w w:val="103"/>
              <w:kern w:val="14"/>
              <w:position w:val="-4"/>
              <w:lang w:val="en-GB"/>
            </w:rPr>
            <w:t>/3</w:t>
          </w:r>
        </w:p>
      </w:tc>
    </w:tr>
    <w:tr w:rsidR="008F38B0" w:rsidRPr="00507165" w:rsidTr="008C719C">
      <w:trPr>
        <w:trHeight w:hRule="exact" w:val="2880"/>
      </w:trPr>
      <w:tc>
        <w:tcPr>
          <w:tcW w:w="1267" w:type="dxa"/>
          <w:tcBorders>
            <w:top w:val="single" w:sz="4" w:space="0" w:color="auto"/>
            <w:bottom w:val="single" w:sz="12" w:space="0" w:color="auto"/>
          </w:tcBorders>
          <w:shd w:val="clear" w:color="auto" w:fill="auto"/>
        </w:tcPr>
        <w:p w:rsidR="008F38B0" w:rsidRPr="00507165" w:rsidRDefault="008F38B0" w:rsidP="00507165">
          <w:pPr>
            <w:tabs>
              <w:tab w:val="center" w:pos="4320"/>
              <w:tab w:val="right" w:pos="8640"/>
            </w:tabs>
            <w:spacing w:before="109"/>
            <w:rPr>
              <w:noProof/>
              <w:sz w:val="17"/>
            </w:rPr>
          </w:pPr>
          <w:r w:rsidRPr="00507165">
            <w:rPr>
              <w:noProof/>
              <w:sz w:val="17"/>
            </w:rPr>
            <w:t xml:space="preserve"> </w:t>
          </w:r>
          <w:r w:rsidRPr="00507165">
            <w:rPr>
              <w:noProof/>
              <w:sz w:val="17"/>
            </w:rPr>
            <w:drawing>
              <wp:inline distT="0" distB="0" distL="0" distR="0" wp14:anchorId="16BA8006" wp14:editId="0BCE3455">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rsidR="008F38B0" w:rsidRPr="00507165" w:rsidRDefault="008F38B0" w:rsidP="00507165">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rsidR="008F38B0" w:rsidRPr="00507165" w:rsidRDefault="008F38B0" w:rsidP="005071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507165">
            <w:rPr>
              <w:b/>
              <w:sz w:val="34"/>
            </w:rPr>
            <w:t>Executive Board of the</w:t>
          </w:r>
          <w:r w:rsidRPr="00507165">
            <w:rPr>
              <w:b/>
              <w:sz w:val="34"/>
            </w:rPr>
            <w:br/>
            <w:t>United Nations Development</w:t>
          </w:r>
          <w:r w:rsidRPr="00507165">
            <w:rPr>
              <w:b/>
              <w:sz w:val="34"/>
            </w:rPr>
            <w:br/>
            <w:t xml:space="preserve">Programme, the United Nations Population Fund and the </w:t>
          </w:r>
          <w:r w:rsidRPr="00507165">
            <w:rPr>
              <w:b/>
              <w:sz w:val="34"/>
            </w:rPr>
            <w:br/>
            <w:t xml:space="preserve">United Nations Office for </w:t>
          </w:r>
          <w:r w:rsidRPr="00507165">
            <w:rPr>
              <w:b/>
              <w:sz w:val="34"/>
            </w:rPr>
            <w:br/>
            <w:t>Project Services</w:t>
          </w:r>
        </w:p>
        <w:p w:rsidR="008F38B0" w:rsidRPr="00507165" w:rsidRDefault="008F38B0" w:rsidP="00507165">
          <w:pPr>
            <w:rPr>
              <w:sz w:val="34"/>
              <w:lang w:val="en-GB"/>
            </w:rPr>
          </w:pPr>
        </w:p>
        <w:p w:rsidR="008F38B0" w:rsidRPr="00507165" w:rsidRDefault="008F38B0" w:rsidP="00507165">
          <w:pPr>
            <w:ind w:firstLine="720"/>
            <w:rPr>
              <w:sz w:val="34"/>
              <w:lang w:val="en-GB"/>
            </w:rPr>
          </w:pPr>
        </w:p>
      </w:tc>
      <w:tc>
        <w:tcPr>
          <w:tcW w:w="245" w:type="dxa"/>
          <w:tcBorders>
            <w:top w:val="single" w:sz="4" w:space="0" w:color="auto"/>
            <w:bottom w:val="single" w:sz="12" w:space="0" w:color="auto"/>
          </w:tcBorders>
          <w:shd w:val="clear" w:color="auto" w:fill="auto"/>
        </w:tcPr>
        <w:p w:rsidR="008F38B0" w:rsidRPr="00507165" w:rsidRDefault="008F38B0" w:rsidP="00507165">
          <w:pPr>
            <w:tabs>
              <w:tab w:val="center" w:pos="4320"/>
              <w:tab w:val="right" w:pos="8640"/>
            </w:tabs>
            <w:spacing w:before="109"/>
            <w:rPr>
              <w:noProof/>
              <w:sz w:val="17"/>
            </w:rPr>
          </w:pPr>
        </w:p>
      </w:tc>
      <w:tc>
        <w:tcPr>
          <w:tcW w:w="3161" w:type="dxa"/>
          <w:tcBorders>
            <w:top w:val="single" w:sz="4" w:space="0" w:color="auto"/>
            <w:bottom w:val="single" w:sz="12" w:space="0" w:color="auto"/>
          </w:tcBorders>
          <w:shd w:val="clear" w:color="auto" w:fill="auto"/>
        </w:tcPr>
        <w:p w:rsidR="008F38B0" w:rsidRPr="00507165" w:rsidRDefault="008F38B0" w:rsidP="00507165">
          <w:pPr>
            <w:suppressAutoHyphens/>
            <w:spacing w:before="240" w:line="240" w:lineRule="exact"/>
            <w:rPr>
              <w:spacing w:val="4"/>
              <w:w w:val="103"/>
              <w:kern w:val="14"/>
              <w:lang w:val="en-GB"/>
            </w:rPr>
          </w:pPr>
          <w:r w:rsidRPr="00507165">
            <w:rPr>
              <w:spacing w:val="4"/>
              <w:w w:val="103"/>
              <w:kern w:val="14"/>
              <w:lang w:val="en-GB"/>
            </w:rPr>
            <w:t>Distr.: General</w:t>
          </w:r>
        </w:p>
        <w:p w:rsidR="008F38B0" w:rsidRPr="00507165" w:rsidRDefault="008F38B0" w:rsidP="00507165">
          <w:pPr>
            <w:suppressAutoHyphens/>
            <w:spacing w:line="240" w:lineRule="exact"/>
            <w:rPr>
              <w:spacing w:val="4"/>
              <w:w w:val="103"/>
              <w:kern w:val="14"/>
              <w:lang w:val="en-GB"/>
            </w:rPr>
          </w:pPr>
          <w:r>
            <w:rPr>
              <w:spacing w:val="4"/>
              <w:w w:val="103"/>
              <w:kern w:val="14"/>
              <w:lang w:val="en-GB"/>
            </w:rPr>
            <w:t>30 October</w:t>
          </w:r>
          <w:r w:rsidRPr="00507165">
            <w:rPr>
              <w:spacing w:val="4"/>
              <w:w w:val="103"/>
              <w:kern w:val="14"/>
              <w:lang w:val="en-GB"/>
            </w:rPr>
            <w:t xml:space="preserve"> 2017</w:t>
          </w:r>
        </w:p>
        <w:p w:rsidR="008F38B0" w:rsidRPr="00507165" w:rsidRDefault="008F38B0" w:rsidP="00507165">
          <w:pPr>
            <w:suppressAutoHyphens/>
            <w:spacing w:line="240" w:lineRule="exact"/>
            <w:rPr>
              <w:spacing w:val="4"/>
              <w:w w:val="103"/>
              <w:kern w:val="14"/>
              <w:lang w:val="en-GB"/>
            </w:rPr>
          </w:pPr>
        </w:p>
        <w:p w:rsidR="008F38B0" w:rsidRPr="00507165" w:rsidRDefault="008F38B0" w:rsidP="00507165">
          <w:pPr>
            <w:suppressAutoHyphens/>
            <w:spacing w:line="240" w:lineRule="exact"/>
            <w:rPr>
              <w:spacing w:val="4"/>
              <w:w w:val="103"/>
              <w:kern w:val="14"/>
              <w:lang w:val="en-GB"/>
            </w:rPr>
          </w:pPr>
          <w:r w:rsidRPr="00507165">
            <w:rPr>
              <w:spacing w:val="4"/>
              <w:w w:val="103"/>
              <w:kern w:val="14"/>
              <w:lang w:val="en-GB"/>
            </w:rPr>
            <w:t>Original: English</w:t>
          </w:r>
        </w:p>
      </w:tc>
    </w:tr>
  </w:tbl>
  <w:p w:rsidR="008F38B0" w:rsidRPr="00507165" w:rsidRDefault="008F38B0">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0431D" w:rsidRPr="0045239C" w:rsidTr="003226D0">
      <w:trPr>
        <w:trHeight w:hRule="exact" w:val="864"/>
      </w:trPr>
      <w:tc>
        <w:tcPr>
          <w:tcW w:w="4838" w:type="dxa"/>
          <w:tcBorders>
            <w:bottom w:val="single" w:sz="4" w:space="0" w:color="auto"/>
          </w:tcBorders>
          <w:vAlign w:val="bottom"/>
        </w:tcPr>
        <w:p w:rsidR="00F0431D" w:rsidRPr="0045239C" w:rsidRDefault="00F0431D" w:rsidP="00F828B1">
          <w:pPr>
            <w:widowControl w:val="0"/>
            <w:tabs>
              <w:tab w:val="center" w:pos="4320"/>
              <w:tab w:val="right" w:pos="8640"/>
            </w:tabs>
            <w:spacing w:after="80"/>
            <w:rPr>
              <w:b/>
              <w:sz w:val="17"/>
              <w:szCs w:val="17"/>
            </w:rPr>
          </w:pPr>
          <w:r w:rsidRPr="00F0431D">
            <w:rPr>
              <w:b/>
              <w:sz w:val="17"/>
              <w:szCs w:val="17"/>
            </w:rPr>
            <w:t>DP/DCP/MRT/</w:t>
          </w:r>
          <w:r>
            <w:rPr>
              <w:b/>
              <w:sz w:val="17"/>
              <w:szCs w:val="17"/>
            </w:rPr>
            <w:t>3</w:t>
          </w:r>
        </w:p>
      </w:tc>
      <w:tc>
        <w:tcPr>
          <w:tcW w:w="5047" w:type="dxa"/>
          <w:tcBorders>
            <w:bottom w:val="single" w:sz="4" w:space="0" w:color="auto"/>
          </w:tcBorders>
          <w:vAlign w:val="bottom"/>
        </w:tcPr>
        <w:p w:rsidR="00F0431D" w:rsidRPr="0045239C" w:rsidRDefault="00F0431D" w:rsidP="006C6433">
          <w:pPr>
            <w:widowControl w:val="0"/>
            <w:tabs>
              <w:tab w:val="center" w:pos="4320"/>
              <w:tab w:val="right" w:pos="8640"/>
            </w:tabs>
            <w:rPr>
              <w:sz w:val="17"/>
              <w:szCs w:val="17"/>
            </w:rPr>
          </w:pPr>
        </w:p>
      </w:tc>
    </w:tr>
  </w:tbl>
  <w:p w:rsidR="00F0431D" w:rsidRDefault="00F043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F38B0" w:rsidRPr="0045239C" w:rsidTr="00E5673E">
      <w:trPr>
        <w:trHeight w:hRule="exact" w:val="864"/>
      </w:trPr>
      <w:tc>
        <w:tcPr>
          <w:tcW w:w="4838" w:type="dxa"/>
          <w:tcBorders>
            <w:bottom w:val="single" w:sz="4" w:space="0" w:color="auto"/>
          </w:tcBorders>
          <w:vAlign w:val="bottom"/>
        </w:tcPr>
        <w:p w:rsidR="008F38B0" w:rsidRPr="0045239C" w:rsidRDefault="008F38B0" w:rsidP="00E5673E">
          <w:pPr>
            <w:widowControl w:val="0"/>
            <w:tabs>
              <w:tab w:val="center" w:pos="4320"/>
              <w:tab w:val="right" w:pos="8640"/>
            </w:tabs>
            <w:spacing w:after="80"/>
            <w:rPr>
              <w:b/>
              <w:sz w:val="17"/>
              <w:szCs w:val="17"/>
            </w:rPr>
          </w:pPr>
        </w:p>
      </w:tc>
      <w:tc>
        <w:tcPr>
          <w:tcW w:w="5047" w:type="dxa"/>
          <w:tcBorders>
            <w:bottom w:val="single" w:sz="4" w:space="0" w:color="auto"/>
          </w:tcBorders>
          <w:vAlign w:val="bottom"/>
        </w:tcPr>
        <w:p w:rsidR="008F38B0" w:rsidRPr="0045239C" w:rsidRDefault="008F38B0" w:rsidP="00F828B1">
          <w:pPr>
            <w:widowControl w:val="0"/>
            <w:tabs>
              <w:tab w:val="center" w:pos="4320"/>
              <w:tab w:val="right" w:pos="8640"/>
            </w:tabs>
            <w:jc w:val="right"/>
            <w:rPr>
              <w:sz w:val="17"/>
              <w:szCs w:val="17"/>
            </w:rPr>
          </w:pPr>
          <w:r w:rsidRPr="0045239C">
            <w:rPr>
              <w:b/>
              <w:sz w:val="17"/>
              <w:szCs w:val="17"/>
            </w:rPr>
            <w:t>D</w:t>
          </w:r>
          <w:r>
            <w:rPr>
              <w:b/>
              <w:sz w:val="17"/>
              <w:szCs w:val="17"/>
            </w:rPr>
            <w:t>P/DCP/MRT/3</w:t>
          </w:r>
        </w:p>
      </w:tc>
    </w:tr>
  </w:tbl>
  <w:p w:rsidR="008F38B0" w:rsidRPr="008F065C" w:rsidRDefault="008F38B0" w:rsidP="008F06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F38B0" w:rsidRPr="00507165" w:rsidTr="008C719C">
      <w:trPr>
        <w:trHeight w:hRule="exact" w:val="864"/>
      </w:trPr>
      <w:tc>
        <w:tcPr>
          <w:tcW w:w="4838" w:type="dxa"/>
          <w:tcBorders>
            <w:bottom w:val="single" w:sz="4" w:space="0" w:color="auto"/>
          </w:tcBorders>
          <w:vAlign w:val="bottom"/>
        </w:tcPr>
        <w:p w:rsidR="008F38B0" w:rsidRPr="00507165" w:rsidRDefault="008F38B0" w:rsidP="00507165">
          <w:pPr>
            <w:widowControl w:val="0"/>
            <w:tabs>
              <w:tab w:val="center" w:pos="4320"/>
              <w:tab w:val="right" w:pos="8640"/>
            </w:tabs>
            <w:spacing w:after="80"/>
            <w:ind w:left="-1838" w:firstLine="1838"/>
            <w:rPr>
              <w:b/>
              <w:sz w:val="17"/>
              <w:szCs w:val="17"/>
            </w:rPr>
          </w:pPr>
          <w:r w:rsidRPr="00507165">
            <w:rPr>
              <w:b/>
              <w:sz w:val="17"/>
              <w:szCs w:val="17"/>
            </w:rPr>
            <w:t>DP/DCP</w:t>
          </w:r>
          <w:r>
            <w:rPr>
              <w:b/>
              <w:sz w:val="17"/>
              <w:szCs w:val="17"/>
            </w:rPr>
            <w:t>/MRT</w:t>
          </w:r>
          <w:r w:rsidRPr="00507165">
            <w:rPr>
              <w:b/>
              <w:sz w:val="17"/>
              <w:szCs w:val="17"/>
            </w:rPr>
            <w:t>/3</w:t>
          </w:r>
        </w:p>
      </w:tc>
      <w:tc>
        <w:tcPr>
          <w:tcW w:w="5047" w:type="dxa"/>
          <w:tcBorders>
            <w:bottom w:val="single" w:sz="4" w:space="0" w:color="auto"/>
          </w:tcBorders>
          <w:vAlign w:val="bottom"/>
        </w:tcPr>
        <w:p w:rsidR="008F38B0" w:rsidRPr="00507165" w:rsidRDefault="008F38B0" w:rsidP="00507165">
          <w:pPr>
            <w:widowControl w:val="0"/>
            <w:tabs>
              <w:tab w:val="center" w:pos="4320"/>
              <w:tab w:val="right" w:pos="8640"/>
            </w:tabs>
            <w:rPr>
              <w:sz w:val="17"/>
              <w:szCs w:val="17"/>
            </w:rPr>
          </w:pPr>
        </w:p>
      </w:tc>
    </w:tr>
  </w:tbl>
  <w:p w:rsidR="008F38B0" w:rsidRPr="00507165" w:rsidRDefault="008F38B0">
    <w:pPr>
      <w:pStyle w:val="Header"/>
      <w:rPr>
        <w:sz w:val="2"/>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8F38B0" w:rsidRPr="00C60F40" w:rsidTr="001B2537">
      <w:trPr>
        <w:trHeight w:hRule="exact" w:val="864"/>
      </w:trPr>
      <w:tc>
        <w:tcPr>
          <w:tcW w:w="4838" w:type="dxa"/>
          <w:tcBorders>
            <w:bottom w:val="single" w:sz="4" w:space="0" w:color="auto"/>
          </w:tcBorders>
          <w:vAlign w:val="bottom"/>
        </w:tcPr>
        <w:p w:rsidR="008F38B0" w:rsidRPr="00C60F40" w:rsidRDefault="008F38B0" w:rsidP="00C60F40">
          <w:pPr>
            <w:widowControl w:val="0"/>
            <w:tabs>
              <w:tab w:val="center" w:pos="4320"/>
              <w:tab w:val="right" w:pos="8640"/>
            </w:tabs>
            <w:spacing w:after="80"/>
            <w:ind w:left="-1838" w:firstLine="1838"/>
            <w:rPr>
              <w:b/>
              <w:sz w:val="17"/>
              <w:szCs w:val="17"/>
            </w:rPr>
          </w:pPr>
          <w:r w:rsidRPr="00C60F40">
            <w:rPr>
              <w:b/>
              <w:sz w:val="17"/>
              <w:szCs w:val="17"/>
            </w:rPr>
            <w:t>DP/DCP/</w:t>
          </w:r>
          <w:r>
            <w:rPr>
              <w:b/>
              <w:sz w:val="17"/>
              <w:szCs w:val="17"/>
            </w:rPr>
            <w:t>MRT</w:t>
          </w:r>
          <w:r w:rsidRPr="00C60F40">
            <w:rPr>
              <w:b/>
              <w:sz w:val="17"/>
              <w:szCs w:val="17"/>
            </w:rPr>
            <w:t>/3</w:t>
          </w:r>
        </w:p>
      </w:tc>
      <w:tc>
        <w:tcPr>
          <w:tcW w:w="8662" w:type="dxa"/>
          <w:tcBorders>
            <w:bottom w:val="single" w:sz="4" w:space="0" w:color="auto"/>
          </w:tcBorders>
          <w:vAlign w:val="bottom"/>
        </w:tcPr>
        <w:p w:rsidR="008F38B0" w:rsidRPr="00C60F40" w:rsidRDefault="008F38B0" w:rsidP="00C60F40">
          <w:pPr>
            <w:widowControl w:val="0"/>
            <w:tabs>
              <w:tab w:val="center" w:pos="4320"/>
              <w:tab w:val="right" w:pos="8640"/>
            </w:tabs>
            <w:rPr>
              <w:sz w:val="17"/>
              <w:szCs w:val="17"/>
            </w:rPr>
          </w:pPr>
        </w:p>
      </w:tc>
    </w:tr>
  </w:tbl>
  <w:p w:rsidR="008F38B0" w:rsidRPr="00BE2DD3" w:rsidRDefault="008F38B0" w:rsidP="00C60F40">
    <w:pPr>
      <w:pStyle w:val="Header"/>
      <w:ind w:firstLine="709"/>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8F38B0" w:rsidRPr="0045239C" w:rsidTr="00507165">
      <w:trPr>
        <w:trHeight w:hRule="exact" w:val="864"/>
      </w:trPr>
      <w:tc>
        <w:tcPr>
          <w:tcW w:w="4838" w:type="dxa"/>
          <w:tcBorders>
            <w:bottom w:val="single" w:sz="4" w:space="0" w:color="auto"/>
          </w:tcBorders>
          <w:vAlign w:val="bottom"/>
        </w:tcPr>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F38B0" w:rsidRPr="0045239C" w:rsidTr="003226D0">
            <w:trPr>
              <w:trHeight w:hRule="exact" w:val="864"/>
            </w:trPr>
            <w:tc>
              <w:tcPr>
                <w:tcW w:w="4838" w:type="dxa"/>
                <w:tcBorders>
                  <w:bottom w:val="single" w:sz="4" w:space="0" w:color="auto"/>
                </w:tcBorders>
                <w:vAlign w:val="bottom"/>
              </w:tcPr>
              <w:p w:rsidR="008F38B0" w:rsidRPr="0045239C" w:rsidRDefault="008F38B0" w:rsidP="00C6210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rsidR="008F38B0" w:rsidRPr="0045239C" w:rsidRDefault="008F38B0" w:rsidP="00C62101">
                <w:pPr>
                  <w:widowControl w:val="0"/>
                  <w:tabs>
                    <w:tab w:val="center" w:pos="4320"/>
                    <w:tab w:val="right" w:pos="8640"/>
                  </w:tabs>
                  <w:rPr>
                    <w:sz w:val="17"/>
                    <w:szCs w:val="17"/>
                  </w:rPr>
                </w:pPr>
              </w:p>
            </w:tc>
          </w:tr>
        </w:tbl>
        <w:p w:rsidR="008F38B0" w:rsidRPr="009031E5" w:rsidRDefault="008F38B0" w:rsidP="00C62101">
          <w:pPr>
            <w:pStyle w:val="Header"/>
          </w:pPr>
        </w:p>
        <w:p w:rsidR="008F38B0" w:rsidRPr="0045239C" w:rsidRDefault="008F38B0" w:rsidP="00C62101">
          <w:pPr>
            <w:widowControl w:val="0"/>
            <w:tabs>
              <w:tab w:val="center" w:pos="4320"/>
              <w:tab w:val="right" w:pos="8640"/>
            </w:tabs>
            <w:spacing w:after="80"/>
            <w:rPr>
              <w:b/>
              <w:sz w:val="17"/>
              <w:szCs w:val="17"/>
            </w:rPr>
          </w:pPr>
        </w:p>
      </w:tc>
      <w:tc>
        <w:tcPr>
          <w:tcW w:w="8662" w:type="dxa"/>
          <w:tcBorders>
            <w:bottom w:val="single" w:sz="4" w:space="0" w:color="auto"/>
          </w:tcBorders>
          <w:vAlign w:val="bottom"/>
        </w:tcPr>
        <w:p w:rsidR="008F38B0" w:rsidRPr="0045239C" w:rsidRDefault="008F38B0" w:rsidP="00F026D2">
          <w:pPr>
            <w:widowControl w:val="0"/>
            <w:tabs>
              <w:tab w:val="center" w:pos="4320"/>
              <w:tab w:val="right" w:pos="8640"/>
            </w:tabs>
            <w:jc w:val="right"/>
            <w:rPr>
              <w:sz w:val="17"/>
              <w:szCs w:val="17"/>
            </w:rPr>
          </w:pPr>
          <w:r w:rsidRPr="0045239C">
            <w:rPr>
              <w:b/>
              <w:sz w:val="17"/>
              <w:szCs w:val="17"/>
            </w:rPr>
            <w:t>D</w:t>
          </w:r>
          <w:r>
            <w:rPr>
              <w:b/>
              <w:sz w:val="17"/>
              <w:szCs w:val="17"/>
            </w:rPr>
            <w:t>P/DCP/MRT/3</w:t>
          </w:r>
        </w:p>
      </w:tc>
    </w:tr>
  </w:tbl>
  <w:p w:rsidR="008F38B0" w:rsidRPr="00C62101" w:rsidRDefault="008F38B0" w:rsidP="00C62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F23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7180A"/>
    <w:multiLevelType w:val="hybridMultilevel"/>
    <w:tmpl w:val="EB1895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A11B29"/>
    <w:multiLevelType w:val="hybridMultilevel"/>
    <w:tmpl w:val="2C842D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12CAF"/>
    <w:multiLevelType w:val="hybridMultilevel"/>
    <w:tmpl w:val="F0EC41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D3D56"/>
    <w:multiLevelType w:val="hybridMultilevel"/>
    <w:tmpl w:val="D1E6F738"/>
    <w:lvl w:ilvl="0" w:tplc="72DE09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B3033"/>
    <w:multiLevelType w:val="hybridMultilevel"/>
    <w:tmpl w:val="972C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BF11C4"/>
    <w:multiLevelType w:val="hybridMultilevel"/>
    <w:tmpl w:val="80B6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0156D9"/>
    <w:multiLevelType w:val="hybridMultilevel"/>
    <w:tmpl w:val="F962AB8E"/>
    <w:lvl w:ilvl="0" w:tplc="04090015">
      <w:start w:val="1"/>
      <w:numFmt w:val="upperLetter"/>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93E034F"/>
    <w:multiLevelType w:val="hybridMultilevel"/>
    <w:tmpl w:val="163E921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498E1089"/>
    <w:multiLevelType w:val="hybridMultilevel"/>
    <w:tmpl w:val="0028757C"/>
    <w:lvl w:ilvl="0" w:tplc="0809001B">
      <w:start w:val="1"/>
      <w:numFmt w:val="lowerRoman"/>
      <w:lvlText w:val="%1."/>
      <w:lvlJc w:val="righ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2" w15:restartNumberingAfterBreak="0">
    <w:nsid w:val="51142138"/>
    <w:multiLevelType w:val="hybridMultilevel"/>
    <w:tmpl w:val="5A8AD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55245"/>
    <w:multiLevelType w:val="hybridMultilevel"/>
    <w:tmpl w:val="199AAC86"/>
    <w:lvl w:ilvl="0" w:tplc="3014CF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545177"/>
    <w:multiLevelType w:val="hybridMultilevel"/>
    <w:tmpl w:val="EE5C01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5D0D0B47"/>
    <w:multiLevelType w:val="hybridMultilevel"/>
    <w:tmpl w:val="770C9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5D5273"/>
    <w:multiLevelType w:val="hybridMultilevel"/>
    <w:tmpl w:val="D1E6F738"/>
    <w:lvl w:ilvl="0" w:tplc="72DE0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A45D9"/>
    <w:multiLevelType w:val="hybridMultilevel"/>
    <w:tmpl w:val="C5586C20"/>
    <w:lvl w:ilvl="0" w:tplc="D8F614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75F0A"/>
    <w:multiLevelType w:val="hybridMultilevel"/>
    <w:tmpl w:val="5A8AD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BB4743"/>
    <w:multiLevelType w:val="hybridMultilevel"/>
    <w:tmpl w:val="C2E6728C"/>
    <w:lvl w:ilvl="0" w:tplc="7552358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167800"/>
    <w:multiLevelType w:val="hybridMultilevel"/>
    <w:tmpl w:val="0D2232C2"/>
    <w:lvl w:ilvl="0" w:tplc="B75A972C">
      <w:start w:val="1"/>
      <w:numFmt w:val="decimal"/>
      <w:lvlText w:val="%1."/>
      <w:lvlJc w:val="left"/>
      <w:pPr>
        <w:ind w:left="720" w:hanging="360"/>
      </w:pPr>
      <w:rPr>
        <w:rFonts w:ascii="Times New Roman" w:eastAsia="Times New Roman" w:hAnsi="Times New Roman" w:cs="Times New Roman"/>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0"/>
  </w:num>
  <w:num w:numId="5">
    <w:abstractNumId w:val="11"/>
  </w:num>
  <w:num w:numId="6">
    <w:abstractNumId w:val="3"/>
  </w:num>
  <w:num w:numId="7">
    <w:abstractNumId w:val="21"/>
  </w:num>
  <w:num w:numId="8">
    <w:abstractNumId w:val="14"/>
  </w:num>
  <w:num w:numId="9">
    <w:abstractNumId w:val="2"/>
  </w:num>
  <w:num w:numId="10">
    <w:abstractNumId w:val="17"/>
  </w:num>
  <w:num w:numId="11">
    <w:abstractNumId w:val="12"/>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8"/>
  </w:num>
  <w:num w:numId="16">
    <w:abstractNumId w:val="5"/>
  </w:num>
  <w:num w:numId="17">
    <w:abstractNumId w:val="6"/>
  </w:num>
  <w:num w:numId="18">
    <w:abstractNumId w:val="19"/>
  </w:num>
  <w:num w:numId="19">
    <w:abstractNumId w:val="8"/>
  </w:num>
  <w:num w:numId="20">
    <w:abstractNumId w:val="16"/>
  </w:num>
  <w:num w:numId="21">
    <w:abstractNumId w:val="13"/>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09"/>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223D"/>
    <w:rsid w:val="000026C0"/>
    <w:rsid w:val="000027D2"/>
    <w:rsid w:val="0000286D"/>
    <w:rsid w:val="0000428A"/>
    <w:rsid w:val="00004D9E"/>
    <w:rsid w:val="000057A1"/>
    <w:rsid w:val="00005E26"/>
    <w:rsid w:val="0000651F"/>
    <w:rsid w:val="00006527"/>
    <w:rsid w:val="00006D15"/>
    <w:rsid w:val="00007153"/>
    <w:rsid w:val="000073D1"/>
    <w:rsid w:val="00007CFB"/>
    <w:rsid w:val="00010226"/>
    <w:rsid w:val="000112CE"/>
    <w:rsid w:val="00012927"/>
    <w:rsid w:val="00012EC7"/>
    <w:rsid w:val="00012FA4"/>
    <w:rsid w:val="000130D7"/>
    <w:rsid w:val="00013310"/>
    <w:rsid w:val="00013508"/>
    <w:rsid w:val="00013615"/>
    <w:rsid w:val="00013B97"/>
    <w:rsid w:val="000153B0"/>
    <w:rsid w:val="000153BA"/>
    <w:rsid w:val="00015DF5"/>
    <w:rsid w:val="00015FDE"/>
    <w:rsid w:val="00016217"/>
    <w:rsid w:val="00016861"/>
    <w:rsid w:val="00017305"/>
    <w:rsid w:val="0001744B"/>
    <w:rsid w:val="0002002B"/>
    <w:rsid w:val="000200CF"/>
    <w:rsid w:val="000202C1"/>
    <w:rsid w:val="000205F1"/>
    <w:rsid w:val="000207F1"/>
    <w:rsid w:val="000208E5"/>
    <w:rsid w:val="000209D2"/>
    <w:rsid w:val="00021E46"/>
    <w:rsid w:val="00022047"/>
    <w:rsid w:val="0002221B"/>
    <w:rsid w:val="00022A02"/>
    <w:rsid w:val="00022ADA"/>
    <w:rsid w:val="00022B28"/>
    <w:rsid w:val="0002380F"/>
    <w:rsid w:val="00024674"/>
    <w:rsid w:val="00025219"/>
    <w:rsid w:val="00026AFD"/>
    <w:rsid w:val="00026B9B"/>
    <w:rsid w:val="000274B9"/>
    <w:rsid w:val="0002758B"/>
    <w:rsid w:val="000276A0"/>
    <w:rsid w:val="00027CF1"/>
    <w:rsid w:val="00027F2C"/>
    <w:rsid w:val="00030DD7"/>
    <w:rsid w:val="0003194B"/>
    <w:rsid w:val="00031E88"/>
    <w:rsid w:val="00031E8F"/>
    <w:rsid w:val="000324F1"/>
    <w:rsid w:val="00032748"/>
    <w:rsid w:val="000329BE"/>
    <w:rsid w:val="000330DB"/>
    <w:rsid w:val="00033E23"/>
    <w:rsid w:val="00033F47"/>
    <w:rsid w:val="0003429F"/>
    <w:rsid w:val="00034817"/>
    <w:rsid w:val="00034A0C"/>
    <w:rsid w:val="00034B50"/>
    <w:rsid w:val="0003562A"/>
    <w:rsid w:val="00035E79"/>
    <w:rsid w:val="00036095"/>
    <w:rsid w:val="00036AF4"/>
    <w:rsid w:val="000370E1"/>
    <w:rsid w:val="00037A92"/>
    <w:rsid w:val="00040044"/>
    <w:rsid w:val="00041C10"/>
    <w:rsid w:val="00043615"/>
    <w:rsid w:val="00043804"/>
    <w:rsid w:val="0004415E"/>
    <w:rsid w:val="000441A1"/>
    <w:rsid w:val="0004431D"/>
    <w:rsid w:val="0004489E"/>
    <w:rsid w:val="00044A8B"/>
    <w:rsid w:val="000472C6"/>
    <w:rsid w:val="00050869"/>
    <w:rsid w:val="00051033"/>
    <w:rsid w:val="00051AE4"/>
    <w:rsid w:val="0005226E"/>
    <w:rsid w:val="0005332F"/>
    <w:rsid w:val="000549CC"/>
    <w:rsid w:val="00054F7C"/>
    <w:rsid w:val="0005548B"/>
    <w:rsid w:val="000558D9"/>
    <w:rsid w:val="00055B8D"/>
    <w:rsid w:val="00055E17"/>
    <w:rsid w:val="000561C1"/>
    <w:rsid w:val="00056204"/>
    <w:rsid w:val="00056962"/>
    <w:rsid w:val="00056C05"/>
    <w:rsid w:val="00056C3E"/>
    <w:rsid w:val="000570D1"/>
    <w:rsid w:val="000571A9"/>
    <w:rsid w:val="000575E8"/>
    <w:rsid w:val="00060290"/>
    <w:rsid w:val="00061096"/>
    <w:rsid w:val="00061502"/>
    <w:rsid w:val="00061808"/>
    <w:rsid w:val="00061CA7"/>
    <w:rsid w:val="000623C3"/>
    <w:rsid w:val="00062BCE"/>
    <w:rsid w:val="00062C3F"/>
    <w:rsid w:val="000634F6"/>
    <w:rsid w:val="00063E24"/>
    <w:rsid w:val="00064188"/>
    <w:rsid w:val="000656A7"/>
    <w:rsid w:val="00066A6B"/>
    <w:rsid w:val="000676B4"/>
    <w:rsid w:val="000678E5"/>
    <w:rsid w:val="000704D9"/>
    <w:rsid w:val="00070A8A"/>
    <w:rsid w:val="00071C02"/>
    <w:rsid w:val="00072229"/>
    <w:rsid w:val="00072250"/>
    <w:rsid w:val="000724DC"/>
    <w:rsid w:val="00073C22"/>
    <w:rsid w:val="00073CF1"/>
    <w:rsid w:val="000743A3"/>
    <w:rsid w:val="0007440E"/>
    <w:rsid w:val="00074BD0"/>
    <w:rsid w:val="00074D9A"/>
    <w:rsid w:val="00074DB9"/>
    <w:rsid w:val="00074E41"/>
    <w:rsid w:val="00074EA5"/>
    <w:rsid w:val="000753C4"/>
    <w:rsid w:val="00075655"/>
    <w:rsid w:val="00075DF0"/>
    <w:rsid w:val="000762CA"/>
    <w:rsid w:val="000765A8"/>
    <w:rsid w:val="000772B0"/>
    <w:rsid w:val="000801C3"/>
    <w:rsid w:val="000803A4"/>
    <w:rsid w:val="000813A4"/>
    <w:rsid w:val="0008147E"/>
    <w:rsid w:val="000814EE"/>
    <w:rsid w:val="00082E7E"/>
    <w:rsid w:val="0008339E"/>
    <w:rsid w:val="00083BED"/>
    <w:rsid w:val="000841A0"/>
    <w:rsid w:val="0008503A"/>
    <w:rsid w:val="000854E9"/>
    <w:rsid w:val="00085E89"/>
    <w:rsid w:val="00086BC6"/>
    <w:rsid w:val="00087080"/>
    <w:rsid w:val="000870DF"/>
    <w:rsid w:val="00090A94"/>
    <w:rsid w:val="00090AD1"/>
    <w:rsid w:val="00090F4F"/>
    <w:rsid w:val="00090F61"/>
    <w:rsid w:val="00091299"/>
    <w:rsid w:val="000919D6"/>
    <w:rsid w:val="00091B80"/>
    <w:rsid w:val="00092841"/>
    <w:rsid w:val="00092879"/>
    <w:rsid w:val="00093B39"/>
    <w:rsid w:val="00093D05"/>
    <w:rsid w:val="00093E90"/>
    <w:rsid w:val="000943E1"/>
    <w:rsid w:val="00094E87"/>
    <w:rsid w:val="00095317"/>
    <w:rsid w:val="00095A04"/>
    <w:rsid w:val="00095BDE"/>
    <w:rsid w:val="00096097"/>
    <w:rsid w:val="000961DC"/>
    <w:rsid w:val="00096288"/>
    <w:rsid w:val="0009645F"/>
    <w:rsid w:val="00096611"/>
    <w:rsid w:val="00096667"/>
    <w:rsid w:val="00097FB2"/>
    <w:rsid w:val="000A0B46"/>
    <w:rsid w:val="000A14CA"/>
    <w:rsid w:val="000A151A"/>
    <w:rsid w:val="000A151D"/>
    <w:rsid w:val="000A24C5"/>
    <w:rsid w:val="000A2962"/>
    <w:rsid w:val="000A2BFA"/>
    <w:rsid w:val="000A3F7F"/>
    <w:rsid w:val="000A4E9F"/>
    <w:rsid w:val="000A531C"/>
    <w:rsid w:val="000A5828"/>
    <w:rsid w:val="000A5E8A"/>
    <w:rsid w:val="000A6267"/>
    <w:rsid w:val="000A66D3"/>
    <w:rsid w:val="000A763B"/>
    <w:rsid w:val="000B023C"/>
    <w:rsid w:val="000B2733"/>
    <w:rsid w:val="000B353F"/>
    <w:rsid w:val="000B38A4"/>
    <w:rsid w:val="000B3A13"/>
    <w:rsid w:val="000B4345"/>
    <w:rsid w:val="000B46F9"/>
    <w:rsid w:val="000B4BB2"/>
    <w:rsid w:val="000B5BFB"/>
    <w:rsid w:val="000B5E40"/>
    <w:rsid w:val="000B5E44"/>
    <w:rsid w:val="000B6965"/>
    <w:rsid w:val="000B6A92"/>
    <w:rsid w:val="000B6D10"/>
    <w:rsid w:val="000B71D5"/>
    <w:rsid w:val="000B7A61"/>
    <w:rsid w:val="000B7B21"/>
    <w:rsid w:val="000C1B6E"/>
    <w:rsid w:val="000C3748"/>
    <w:rsid w:val="000C3BFF"/>
    <w:rsid w:val="000C3DD6"/>
    <w:rsid w:val="000C5C0E"/>
    <w:rsid w:val="000C6E16"/>
    <w:rsid w:val="000C6E79"/>
    <w:rsid w:val="000C7180"/>
    <w:rsid w:val="000C74EC"/>
    <w:rsid w:val="000C76B0"/>
    <w:rsid w:val="000C7BBE"/>
    <w:rsid w:val="000D041B"/>
    <w:rsid w:val="000D1E08"/>
    <w:rsid w:val="000D2475"/>
    <w:rsid w:val="000D2781"/>
    <w:rsid w:val="000D3322"/>
    <w:rsid w:val="000D3AFD"/>
    <w:rsid w:val="000D3F33"/>
    <w:rsid w:val="000D42BB"/>
    <w:rsid w:val="000D442C"/>
    <w:rsid w:val="000D5013"/>
    <w:rsid w:val="000D53A2"/>
    <w:rsid w:val="000D54CD"/>
    <w:rsid w:val="000D5BFF"/>
    <w:rsid w:val="000D639F"/>
    <w:rsid w:val="000D63C1"/>
    <w:rsid w:val="000D6512"/>
    <w:rsid w:val="000D6543"/>
    <w:rsid w:val="000D6B77"/>
    <w:rsid w:val="000D7B9B"/>
    <w:rsid w:val="000D7C42"/>
    <w:rsid w:val="000D7ED4"/>
    <w:rsid w:val="000E0AE0"/>
    <w:rsid w:val="000E0C93"/>
    <w:rsid w:val="000E0F4F"/>
    <w:rsid w:val="000E2CC4"/>
    <w:rsid w:val="000E304E"/>
    <w:rsid w:val="000E38AF"/>
    <w:rsid w:val="000E3926"/>
    <w:rsid w:val="000E3CC4"/>
    <w:rsid w:val="000E49C3"/>
    <w:rsid w:val="000E4AB5"/>
    <w:rsid w:val="000E5B58"/>
    <w:rsid w:val="000E5B9A"/>
    <w:rsid w:val="000E612D"/>
    <w:rsid w:val="000E6899"/>
    <w:rsid w:val="000E69B7"/>
    <w:rsid w:val="000E745A"/>
    <w:rsid w:val="000E7CD3"/>
    <w:rsid w:val="000E7DB3"/>
    <w:rsid w:val="000E7E9E"/>
    <w:rsid w:val="000F0044"/>
    <w:rsid w:val="000F0411"/>
    <w:rsid w:val="000F085D"/>
    <w:rsid w:val="000F0C4C"/>
    <w:rsid w:val="000F1153"/>
    <w:rsid w:val="000F171B"/>
    <w:rsid w:val="000F1944"/>
    <w:rsid w:val="000F27BE"/>
    <w:rsid w:val="000F2D14"/>
    <w:rsid w:val="000F3467"/>
    <w:rsid w:val="000F5532"/>
    <w:rsid w:val="000F5A26"/>
    <w:rsid w:val="000F600D"/>
    <w:rsid w:val="000F64CA"/>
    <w:rsid w:val="000F66A3"/>
    <w:rsid w:val="000F6768"/>
    <w:rsid w:val="000F6814"/>
    <w:rsid w:val="000F703B"/>
    <w:rsid w:val="000F70FF"/>
    <w:rsid w:val="000F7414"/>
    <w:rsid w:val="000F78F8"/>
    <w:rsid w:val="00100526"/>
    <w:rsid w:val="0010068D"/>
    <w:rsid w:val="00100768"/>
    <w:rsid w:val="0010091D"/>
    <w:rsid w:val="00100CD2"/>
    <w:rsid w:val="001024A1"/>
    <w:rsid w:val="00102F08"/>
    <w:rsid w:val="00103264"/>
    <w:rsid w:val="0010327D"/>
    <w:rsid w:val="001036F4"/>
    <w:rsid w:val="00103BAD"/>
    <w:rsid w:val="00103C44"/>
    <w:rsid w:val="00103F8C"/>
    <w:rsid w:val="00106541"/>
    <w:rsid w:val="00106EF8"/>
    <w:rsid w:val="00107362"/>
    <w:rsid w:val="001101A2"/>
    <w:rsid w:val="001106B7"/>
    <w:rsid w:val="00110A09"/>
    <w:rsid w:val="00111445"/>
    <w:rsid w:val="00111489"/>
    <w:rsid w:val="00111797"/>
    <w:rsid w:val="00111B19"/>
    <w:rsid w:val="00111F8B"/>
    <w:rsid w:val="00112741"/>
    <w:rsid w:val="001137AD"/>
    <w:rsid w:val="0011429C"/>
    <w:rsid w:val="001146A8"/>
    <w:rsid w:val="00114A64"/>
    <w:rsid w:val="00115788"/>
    <w:rsid w:val="0011579D"/>
    <w:rsid w:val="00115A27"/>
    <w:rsid w:val="00115EE8"/>
    <w:rsid w:val="00116C1A"/>
    <w:rsid w:val="00117AD2"/>
    <w:rsid w:val="00117F1F"/>
    <w:rsid w:val="00120054"/>
    <w:rsid w:val="00120534"/>
    <w:rsid w:val="001217CF"/>
    <w:rsid w:val="0012229E"/>
    <w:rsid w:val="00123849"/>
    <w:rsid w:val="0012386C"/>
    <w:rsid w:val="00123958"/>
    <w:rsid w:val="00123B1C"/>
    <w:rsid w:val="00124468"/>
    <w:rsid w:val="001248C5"/>
    <w:rsid w:val="00125010"/>
    <w:rsid w:val="001257A0"/>
    <w:rsid w:val="00125B82"/>
    <w:rsid w:val="001267D8"/>
    <w:rsid w:val="00126AB8"/>
    <w:rsid w:val="00126AD0"/>
    <w:rsid w:val="0013057E"/>
    <w:rsid w:val="001305E6"/>
    <w:rsid w:val="00130D22"/>
    <w:rsid w:val="00131290"/>
    <w:rsid w:val="0013158D"/>
    <w:rsid w:val="00131EC8"/>
    <w:rsid w:val="00132F1E"/>
    <w:rsid w:val="0013352A"/>
    <w:rsid w:val="0013442C"/>
    <w:rsid w:val="00134909"/>
    <w:rsid w:val="001359B5"/>
    <w:rsid w:val="00135D03"/>
    <w:rsid w:val="0013679D"/>
    <w:rsid w:val="0013761A"/>
    <w:rsid w:val="001378A5"/>
    <w:rsid w:val="00137D62"/>
    <w:rsid w:val="001401E7"/>
    <w:rsid w:val="0014066C"/>
    <w:rsid w:val="0014182B"/>
    <w:rsid w:val="00142151"/>
    <w:rsid w:val="00142320"/>
    <w:rsid w:val="0014266D"/>
    <w:rsid w:val="00143103"/>
    <w:rsid w:val="001434A9"/>
    <w:rsid w:val="00143710"/>
    <w:rsid w:val="001437F6"/>
    <w:rsid w:val="00143A0B"/>
    <w:rsid w:val="0014423A"/>
    <w:rsid w:val="001447A0"/>
    <w:rsid w:val="001447B4"/>
    <w:rsid w:val="00145323"/>
    <w:rsid w:val="00146614"/>
    <w:rsid w:val="00146F56"/>
    <w:rsid w:val="001471A7"/>
    <w:rsid w:val="001473C9"/>
    <w:rsid w:val="00147465"/>
    <w:rsid w:val="0015044F"/>
    <w:rsid w:val="001506F6"/>
    <w:rsid w:val="00150B04"/>
    <w:rsid w:val="001511FD"/>
    <w:rsid w:val="00151873"/>
    <w:rsid w:val="001528D0"/>
    <w:rsid w:val="00153634"/>
    <w:rsid w:val="0015375A"/>
    <w:rsid w:val="00153C45"/>
    <w:rsid w:val="00153FB8"/>
    <w:rsid w:val="001547D3"/>
    <w:rsid w:val="00155120"/>
    <w:rsid w:val="001559BD"/>
    <w:rsid w:val="00157F79"/>
    <w:rsid w:val="0016077D"/>
    <w:rsid w:val="00160E46"/>
    <w:rsid w:val="00160E9D"/>
    <w:rsid w:val="0016160C"/>
    <w:rsid w:val="001618A8"/>
    <w:rsid w:val="001626EF"/>
    <w:rsid w:val="00163E84"/>
    <w:rsid w:val="0016536E"/>
    <w:rsid w:val="00165848"/>
    <w:rsid w:val="00166045"/>
    <w:rsid w:val="0016687D"/>
    <w:rsid w:val="001668AA"/>
    <w:rsid w:val="001675B1"/>
    <w:rsid w:val="0016789D"/>
    <w:rsid w:val="00167941"/>
    <w:rsid w:val="00167A80"/>
    <w:rsid w:val="00167C87"/>
    <w:rsid w:val="00167FC2"/>
    <w:rsid w:val="001701B0"/>
    <w:rsid w:val="00170C01"/>
    <w:rsid w:val="00170F0F"/>
    <w:rsid w:val="0017292E"/>
    <w:rsid w:val="001730FF"/>
    <w:rsid w:val="00173314"/>
    <w:rsid w:val="00173C40"/>
    <w:rsid w:val="001745BB"/>
    <w:rsid w:val="00174CF4"/>
    <w:rsid w:val="0017564F"/>
    <w:rsid w:val="00175ABC"/>
    <w:rsid w:val="0017790E"/>
    <w:rsid w:val="00177E7E"/>
    <w:rsid w:val="001800CF"/>
    <w:rsid w:val="001814B2"/>
    <w:rsid w:val="00182356"/>
    <w:rsid w:val="00182BDB"/>
    <w:rsid w:val="00183238"/>
    <w:rsid w:val="001839BC"/>
    <w:rsid w:val="001842B8"/>
    <w:rsid w:val="00185775"/>
    <w:rsid w:val="00185C8F"/>
    <w:rsid w:val="0018608A"/>
    <w:rsid w:val="001866D9"/>
    <w:rsid w:val="00186F6C"/>
    <w:rsid w:val="0018759B"/>
    <w:rsid w:val="001876C5"/>
    <w:rsid w:val="00187D68"/>
    <w:rsid w:val="00190380"/>
    <w:rsid w:val="00190515"/>
    <w:rsid w:val="00190557"/>
    <w:rsid w:val="001906B5"/>
    <w:rsid w:val="00190DE0"/>
    <w:rsid w:val="001912E4"/>
    <w:rsid w:val="001918C4"/>
    <w:rsid w:val="00191E01"/>
    <w:rsid w:val="00192AC2"/>
    <w:rsid w:val="00193691"/>
    <w:rsid w:val="00194163"/>
    <w:rsid w:val="00194181"/>
    <w:rsid w:val="00194CAC"/>
    <w:rsid w:val="00194FEB"/>
    <w:rsid w:val="00196179"/>
    <w:rsid w:val="0019622D"/>
    <w:rsid w:val="00196B42"/>
    <w:rsid w:val="001970A4"/>
    <w:rsid w:val="001971A7"/>
    <w:rsid w:val="00197AD1"/>
    <w:rsid w:val="001A1F7F"/>
    <w:rsid w:val="001A256E"/>
    <w:rsid w:val="001A35D1"/>
    <w:rsid w:val="001A37BE"/>
    <w:rsid w:val="001A46B8"/>
    <w:rsid w:val="001A5276"/>
    <w:rsid w:val="001A549A"/>
    <w:rsid w:val="001A54AF"/>
    <w:rsid w:val="001A57D7"/>
    <w:rsid w:val="001A5DE0"/>
    <w:rsid w:val="001A5F2B"/>
    <w:rsid w:val="001A788E"/>
    <w:rsid w:val="001A7D9C"/>
    <w:rsid w:val="001B0020"/>
    <w:rsid w:val="001B05B1"/>
    <w:rsid w:val="001B0C8F"/>
    <w:rsid w:val="001B0EFA"/>
    <w:rsid w:val="001B0FB6"/>
    <w:rsid w:val="001B2537"/>
    <w:rsid w:val="001B26CD"/>
    <w:rsid w:val="001B2700"/>
    <w:rsid w:val="001B3AB2"/>
    <w:rsid w:val="001B3F87"/>
    <w:rsid w:val="001B4026"/>
    <w:rsid w:val="001B49E9"/>
    <w:rsid w:val="001B4A02"/>
    <w:rsid w:val="001B4E96"/>
    <w:rsid w:val="001B5392"/>
    <w:rsid w:val="001B598C"/>
    <w:rsid w:val="001B71CA"/>
    <w:rsid w:val="001B757D"/>
    <w:rsid w:val="001B76A6"/>
    <w:rsid w:val="001B7BEE"/>
    <w:rsid w:val="001B7E81"/>
    <w:rsid w:val="001C01D5"/>
    <w:rsid w:val="001C03CB"/>
    <w:rsid w:val="001C0450"/>
    <w:rsid w:val="001C07F8"/>
    <w:rsid w:val="001C0975"/>
    <w:rsid w:val="001C1A59"/>
    <w:rsid w:val="001C218C"/>
    <w:rsid w:val="001C2244"/>
    <w:rsid w:val="001C4E1F"/>
    <w:rsid w:val="001C53EB"/>
    <w:rsid w:val="001C5477"/>
    <w:rsid w:val="001C5908"/>
    <w:rsid w:val="001C5C71"/>
    <w:rsid w:val="001C6C08"/>
    <w:rsid w:val="001C6CFB"/>
    <w:rsid w:val="001C788E"/>
    <w:rsid w:val="001D0315"/>
    <w:rsid w:val="001D0A1F"/>
    <w:rsid w:val="001D0E67"/>
    <w:rsid w:val="001D2056"/>
    <w:rsid w:val="001D2C6F"/>
    <w:rsid w:val="001D2E9E"/>
    <w:rsid w:val="001D3970"/>
    <w:rsid w:val="001D3F13"/>
    <w:rsid w:val="001D42D1"/>
    <w:rsid w:val="001D4D7A"/>
    <w:rsid w:val="001D64E5"/>
    <w:rsid w:val="001D6760"/>
    <w:rsid w:val="001D6A60"/>
    <w:rsid w:val="001D6EB8"/>
    <w:rsid w:val="001D76D3"/>
    <w:rsid w:val="001D7FF0"/>
    <w:rsid w:val="001E05D8"/>
    <w:rsid w:val="001E05EC"/>
    <w:rsid w:val="001E0FBF"/>
    <w:rsid w:val="001E11B7"/>
    <w:rsid w:val="001E1809"/>
    <w:rsid w:val="001E19A7"/>
    <w:rsid w:val="001E1C96"/>
    <w:rsid w:val="001E2198"/>
    <w:rsid w:val="001E2B6A"/>
    <w:rsid w:val="001E425A"/>
    <w:rsid w:val="001E4809"/>
    <w:rsid w:val="001E4CE4"/>
    <w:rsid w:val="001E4F4F"/>
    <w:rsid w:val="001E58DD"/>
    <w:rsid w:val="001E5FB1"/>
    <w:rsid w:val="001E7195"/>
    <w:rsid w:val="001E7AD8"/>
    <w:rsid w:val="001F161F"/>
    <w:rsid w:val="001F27F4"/>
    <w:rsid w:val="001F3265"/>
    <w:rsid w:val="001F371D"/>
    <w:rsid w:val="001F3DC0"/>
    <w:rsid w:val="001F4C5A"/>
    <w:rsid w:val="001F4D9C"/>
    <w:rsid w:val="001F4DE9"/>
    <w:rsid w:val="001F4E29"/>
    <w:rsid w:val="001F6772"/>
    <w:rsid w:val="001F73BA"/>
    <w:rsid w:val="001F7421"/>
    <w:rsid w:val="001F7617"/>
    <w:rsid w:val="001F7A68"/>
    <w:rsid w:val="001F7F21"/>
    <w:rsid w:val="00200195"/>
    <w:rsid w:val="00200B5F"/>
    <w:rsid w:val="00200CF5"/>
    <w:rsid w:val="00200FD2"/>
    <w:rsid w:val="002010F6"/>
    <w:rsid w:val="00201985"/>
    <w:rsid w:val="00201E97"/>
    <w:rsid w:val="00201EEF"/>
    <w:rsid w:val="00202404"/>
    <w:rsid w:val="00202613"/>
    <w:rsid w:val="00202C92"/>
    <w:rsid w:val="0020382E"/>
    <w:rsid w:val="00203A12"/>
    <w:rsid w:val="00204100"/>
    <w:rsid w:val="002047C8"/>
    <w:rsid w:val="00204980"/>
    <w:rsid w:val="00204B5B"/>
    <w:rsid w:val="002052B3"/>
    <w:rsid w:val="00205690"/>
    <w:rsid w:val="002058F9"/>
    <w:rsid w:val="00206BCF"/>
    <w:rsid w:val="00207307"/>
    <w:rsid w:val="00207614"/>
    <w:rsid w:val="002104EE"/>
    <w:rsid w:val="00211ABB"/>
    <w:rsid w:val="002121C5"/>
    <w:rsid w:val="00212A5C"/>
    <w:rsid w:val="00212B1F"/>
    <w:rsid w:val="00212FB4"/>
    <w:rsid w:val="0021301A"/>
    <w:rsid w:val="00213045"/>
    <w:rsid w:val="0021382B"/>
    <w:rsid w:val="00213D7C"/>
    <w:rsid w:val="002141DE"/>
    <w:rsid w:val="00214513"/>
    <w:rsid w:val="0021496F"/>
    <w:rsid w:val="002151E2"/>
    <w:rsid w:val="002155B7"/>
    <w:rsid w:val="0021674E"/>
    <w:rsid w:val="002168F0"/>
    <w:rsid w:val="00216E82"/>
    <w:rsid w:val="00216EB6"/>
    <w:rsid w:val="0021708A"/>
    <w:rsid w:val="0021766A"/>
    <w:rsid w:val="0022012F"/>
    <w:rsid w:val="00220982"/>
    <w:rsid w:val="00221732"/>
    <w:rsid w:val="00221B52"/>
    <w:rsid w:val="002225D3"/>
    <w:rsid w:val="00222A35"/>
    <w:rsid w:val="00222BA7"/>
    <w:rsid w:val="0022301D"/>
    <w:rsid w:val="002235EC"/>
    <w:rsid w:val="00224605"/>
    <w:rsid w:val="0022464C"/>
    <w:rsid w:val="00224A2B"/>
    <w:rsid w:val="00224B2C"/>
    <w:rsid w:val="00225664"/>
    <w:rsid w:val="00225BD9"/>
    <w:rsid w:val="00227383"/>
    <w:rsid w:val="00227867"/>
    <w:rsid w:val="00227E55"/>
    <w:rsid w:val="00227FDF"/>
    <w:rsid w:val="00230885"/>
    <w:rsid w:val="00231179"/>
    <w:rsid w:val="0023127A"/>
    <w:rsid w:val="0023290B"/>
    <w:rsid w:val="00232AA0"/>
    <w:rsid w:val="00232E33"/>
    <w:rsid w:val="00233472"/>
    <w:rsid w:val="0023348F"/>
    <w:rsid w:val="0023466F"/>
    <w:rsid w:val="00234948"/>
    <w:rsid w:val="00234CDF"/>
    <w:rsid w:val="00235A97"/>
    <w:rsid w:val="00236033"/>
    <w:rsid w:val="002369CE"/>
    <w:rsid w:val="00236A85"/>
    <w:rsid w:val="00236B91"/>
    <w:rsid w:val="002378FE"/>
    <w:rsid w:val="00240221"/>
    <w:rsid w:val="00240A29"/>
    <w:rsid w:val="0024139A"/>
    <w:rsid w:val="0024159B"/>
    <w:rsid w:val="00241B94"/>
    <w:rsid w:val="002424C0"/>
    <w:rsid w:val="00242CAA"/>
    <w:rsid w:val="00243110"/>
    <w:rsid w:val="00243868"/>
    <w:rsid w:val="00243969"/>
    <w:rsid w:val="00244FB3"/>
    <w:rsid w:val="00244FB4"/>
    <w:rsid w:val="00245124"/>
    <w:rsid w:val="002457B7"/>
    <w:rsid w:val="00245D74"/>
    <w:rsid w:val="002468E2"/>
    <w:rsid w:val="00246DDF"/>
    <w:rsid w:val="002476F2"/>
    <w:rsid w:val="00247A53"/>
    <w:rsid w:val="0025047C"/>
    <w:rsid w:val="0025049E"/>
    <w:rsid w:val="00251E52"/>
    <w:rsid w:val="00252305"/>
    <w:rsid w:val="002529CF"/>
    <w:rsid w:val="00252E5F"/>
    <w:rsid w:val="0025465D"/>
    <w:rsid w:val="0025536E"/>
    <w:rsid w:val="00256180"/>
    <w:rsid w:val="0025626E"/>
    <w:rsid w:val="002564D4"/>
    <w:rsid w:val="002573CC"/>
    <w:rsid w:val="00257571"/>
    <w:rsid w:val="00257C9E"/>
    <w:rsid w:val="00260FAA"/>
    <w:rsid w:val="00261075"/>
    <w:rsid w:val="00262338"/>
    <w:rsid w:val="00262454"/>
    <w:rsid w:val="002630D6"/>
    <w:rsid w:val="00263938"/>
    <w:rsid w:val="00263B70"/>
    <w:rsid w:val="00264522"/>
    <w:rsid w:val="002646D7"/>
    <w:rsid w:val="00265DF2"/>
    <w:rsid w:val="00266C5F"/>
    <w:rsid w:val="002671D7"/>
    <w:rsid w:val="002700B3"/>
    <w:rsid w:val="0027096B"/>
    <w:rsid w:val="00271CAA"/>
    <w:rsid w:val="0027239C"/>
    <w:rsid w:val="0027259C"/>
    <w:rsid w:val="00272629"/>
    <w:rsid w:val="00272C29"/>
    <w:rsid w:val="00273543"/>
    <w:rsid w:val="00274114"/>
    <w:rsid w:val="002741CC"/>
    <w:rsid w:val="00274A2D"/>
    <w:rsid w:val="00274C82"/>
    <w:rsid w:val="0027518B"/>
    <w:rsid w:val="00275795"/>
    <w:rsid w:val="0027654D"/>
    <w:rsid w:val="00276E73"/>
    <w:rsid w:val="00280403"/>
    <w:rsid w:val="00280579"/>
    <w:rsid w:val="002810DF"/>
    <w:rsid w:val="002812AB"/>
    <w:rsid w:val="002816D8"/>
    <w:rsid w:val="00281A10"/>
    <w:rsid w:val="002826CC"/>
    <w:rsid w:val="00282A8C"/>
    <w:rsid w:val="00282ED0"/>
    <w:rsid w:val="00283B4D"/>
    <w:rsid w:val="00283BB3"/>
    <w:rsid w:val="00284A21"/>
    <w:rsid w:val="00284CFD"/>
    <w:rsid w:val="00285000"/>
    <w:rsid w:val="002854EE"/>
    <w:rsid w:val="0028565C"/>
    <w:rsid w:val="00285BCC"/>
    <w:rsid w:val="00285C97"/>
    <w:rsid w:val="0028692B"/>
    <w:rsid w:val="00286B11"/>
    <w:rsid w:val="0028728E"/>
    <w:rsid w:val="002878C3"/>
    <w:rsid w:val="0029006B"/>
    <w:rsid w:val="00290EB3"/>
    <w:rsid w:val="0029153F"/>
    <w:rsid w:val="00291CEA"/>
    <w:rsid w:val="00292712"/>
    <w:rsid w:val="00292846"/>
    <w:rsid w:val="00292A90"/>
    <w:rsid w:val="00292B78"/>
    <w:rsid w:val="00292C87"/>
    <w:rsid w:val="00292F15"/>
    <w:rsid w:val="0029336B"/>
    <w:rsid w:val="002934BC"/>
    <w:rsid w:val="0029379D"/>
    <w:rsid w:val="00293F3F"/>
    <w:rsid w:val="00294479"/>
    <w:rsid w:val="00294FF5"/>
    <w:rsid w:val="00295278"/>
    <w:rsid w:val="00295865"/>
    <w:rsid w:val="00295D55"/>
    <w:rsid w:val="00297E6B"/>
    <w:rsid w:val="002A09A5"/>
    <w:rsid w:val="002A0C26"/>
    <w:rsid w:val="002A1DEC"/>
    <w:rsid w:val="002A2F08"/>
    <w:rsid w:val="002A3407"/>
    <w:rsid w:val="002A3641"/>
    <w:rsid w:val="002A403A"/>
    <w:rsid w:val="002A48ED"/>
    <w:rsid w:val="002A495F"/>
    <w:rsid w:val="002A514A"/>
    <w:rsid w:val="002A5190"/>
    <w:rsid w:val="002A560B"/>
    <w:rsid w:val="002A6370"/>
    <w:rsid w:val="002A63C7"/>
    <w:rsid w:val="002A67CC"/>
    <w:rsid w:val="002A6B77"/>
    <w:rsid w:val="002A706F"/>
    <w:rsid w:val="002A70EA"/>
    <w:rsid w:val="002A7363"/>
    <w:rsid w:val="002A74C0"/>
    <w:rsid w:val="002A75C3"/>
    <w:rsid w:val="002A78D6"/>
    <w:rsid w:val="002A7F43"/>
    <w:rsid w:val="002B044B"/>
    <w:rsid w:val="002B0A3E"/>
    <w:rsid w:val="002B12A0"/>
    <w:rsid w:val="002B14A1"/>
    <w:rsid w:val="002B183F"/>
    <w:rsid w:val="002B1BE4"/>
    <w:rsid w:val="002B35A5"/>
    <w:rsid w:val="002B365E"/>
    <w:rsid w:val="002B3CEB"/>
    <w:rsid w:val="002B489A"/>
    <w:rsid w:val="002B577B"/>
    <w:rsid w:val="002B5A73"/>
    <w:rsid w:val="002B6341"/>
    <w:rsid w:val="002B6748"/>
    <w:rsid w:val="002B7BF1"/>
    <w:rsid w:val="002B7DA8"/>
    <w:rsid w:val="002B7E83"/>
    <w:rsid w:val="002C0526"/>
    <w:rsid w:val="002C127A"/>
    <w:rsid w:val="002C12D8"/>
    <w:rsid w:val="002C236B"/>
    <w:rsid w:val="002C27A8"/>
    <w:rsid w:val="002C333E"/>
    <w:rsid w:val="002C36C8"/>
    <w:rsid w:val="002C36CD"/>
    <w:rsid w:val="002C4891"/>
    <w:rsid w:val="002C5098"/>
    <w:rsid w:val="002C51A0"/>
    <w:rsid w:val="002C58D7"/>
    <w:rsid w:val="002C60CC"/>
    <w:rsid w:val="002C6608"/>
    <w:rsid w:val="002C6995"/>
    <w:rsid w:val="002C7041"/>
    <w:rsid w:val="002D03A0"/>
    <w:rsid w:val="002D0584"/>
    <w:rsid w:val="002D086B"/>
    <w:rsid w:val="002D0876"/>
    <w:rsid w:val="002D1366"/>
    <w:rsid w:val="002D2945"/>
    <w:rsid w:val="002D2E2A"/>
    <w:rsid w:val="002D33A9"/>
    <w:rsid w:val="002D3E7C"/>
    <w:rsid w:val="002D44B0"/>
    <w:rsid w:val="002D5295"/>
    <w:rsid w:val="002D52BF"/>
    <w:rsid w:val="002D535A"/>
    <w:rsid w:val="002D6085"/>
    <w:rsid w:val="002D68FA"/>
    <w:rsid w:val="002D6E35"/>
    <w:rsid w:val="002D7340"/>
    <w:rsid w:val="002D7ECA"/>
    <w:rsid w:val="002E002C"/>
    <w:rsid w:val="002E0141"/>
    <w:rsid w:val="002E048A"/>
    <w:rsid w:val="002E0B5D"/>
    <w:rsid w:val="002E0B66"/>
    <w:rsid w:val="002E109D"/>
    <w:rsid w:val="002E1495"/>
    <w:rsid w:val="002E2900"/>
    <w:rsid w:val="002E334C"/>
    <w:rsid w:val="002E3ABF"/>
    <w:rsid w:val="002E3C0D"/>
    <w:rsid w:val="002E4253"/>
    <w:rsid w:val="002E43EC"/>
    <w:rsid w:val="002E47AF"/>
    <w:rsid w:val="002E52C7"/>
    <w:rsid w:val="002E5B3C"/>
    <w:rsid w:val="002E5E28"/>
    <w:rsid w:val="002E68C2"/>
    <w:rsid w:val="002E738D"/>
    <w:rsid w:val="002E7A79"/>
    <w:rsid w:val="002F0099"/>
    <w:rsid w:val="002F03EE"/>
    <w:rsid w:val="002F0817"/>
    <w:rsid w:val="002F08D9"/>
    <w:rsid w:val="002F09A5"/>
    <w:rsid w:val="002F1078"/>
    <w:rsid w:val="002F1511"/>
    <w:rsid w:val="002F181D"/>
    <w:rsid w:val="002F1ABB"/>
    <w:rsid w:val="002F22C2"/>
    <w:rsid w:val="002F2453"/>
    <w:rsid w:val="002F2C43"/>
    <w:rsid w:val="002F2C6E"/>
    <w:rsid w:val="002F2DB5"/>
    <w:rsid w:val="002F3189"/>
    <w:rsid w:val="002F32A3"/>
    <w:rsid w:val="002F3C88"/>
    <w:rsid w:val="002F3CCA"/>
    <w:rsid w:val="002F3E2C"/>
    <w:rsid w:val="002F4067"/>
    <w:rsid w:val="002F411D"/>
    <w:rsid w:val="002F52A4"/>
    <w:rsid w:val="002F5397"/>
    <w:rsid w:val="002F6772"/>
    <w:rsid w:val="002F67CD"/>
    <w:rsid w:val="002F7339"/>
    <w:rsid w:val="002F7461"/>
    <w:rsid w:val="002F76FF"/>
    <w:rsid w:val="002F7AD8"/>
    <w:rsid w:val="00300902"/>
    <w:rsid w:val="00301A40"/>
    <w:rsid w:val="00302287"/>
    <w:rsid w:val="00302346"/>
    <w:rsid w:val="003025E2"/>
    <w:rsid w:val="00302973"/>
    <w:rsid w:val="00303990"/>
    <w:rsid w:val="00303F40"/>
    <w:rsid w:val="00304BEF"/>
    <w:rsid w:val="00306355"/>
    <w:rsid w:val="00306AA6"/>
    <w:rsid w:val="00306D24"/>
    <w:rsid w:val="00306D5A"/>
    <w:rsid w:val="00307212"/>
    <w:rsid w:val="0030722C"/>
    <w:rsid w:val="00307712"/>
    <w:rsid w:val="0031127B"/>
    <w:rsid w:val="0031173A"/>
    <w:rsid w:val="00311BAF"/>
    <w:rsid w:val="00311E39"/>
    <w:rsid w:val="00313204"/>
    <w:rsid w:val="00313F70"/>
    <w:rsid w:val="0031404A"/>
    <w:rsid w:val="00314B7C"/>
    <w:rsid w:val="00314E49"/>
    <w:rsid w:val="00315164"/>
    <w:rsid w:val="00315445"/>
    <w:rsid w:val="003155C1"/>
    <w:rsid w:val="003169DD"/>
    <w:rsid w:val="00317183"/>
    <w:rsid w:val="003208EF"/>
    <w:rsid w:val="00320F5D"/>
    <w:rsid w:val="00321799"/>
    <w:rsid w:val="00322337"/>
    <w:rsid w:val="003226D0"/>
    <w:rsid w:val="003231BF"/>
    <w:rsid w:val="00324814"/>
    <w:rsid w:val="00324846"/>
    <w:rsid w:val="00324ABD"/>
    <w:rsid w:val="00324D9B"/>
    <w:rsid w:val="0032528F"/>
    <w:rsid w:val="003256AA"/>
    <w:rsid w:val="00325FA8"/>
    <w:rsid w:val="003263A8"/>
    <w:rsid w:val="003272A6"/>
    <w:rsid w:val="003273CB"/>
    <w:rsid w:val="0033062E"/>
    <w:rsid w:val="00330F94"/>
    <w:rsid w:val="0033125E"/>
    <w:rsid w:val="00332AE0"/>
    <w:rsid w:val="00332F0A"/>
    <w:rsid w:val="003332AC"/>
    <w:rsid w:val="00333D40"/>
    <w:rsid w:val="00334190"/>
    <w:rsid w:val="0033483D"/>
    <w:rsid w:val="00334F96"/>
    <w:rsid w:val="0033704F"/>
    <w:rsid w:val="0033718C"/>
    <w:rsid w:val="00337267"/>
    <w:rsid w:val="0033781A"/>
    <w:rsid w:val="00337AD9"/>
    <w:rsid w:val="003402CB"/>
    <w:rsid w:val="003402D7"/>
    <w:rsid w:val="0034086F"/>
    <w:rsid w:val="00340E02"/>
    <w:rsid w:val="00342004"/>
    <w:rsid w:val="003424BB"/>
    <w:rsid w:val="00342877"/>
    <w:rsid w:val="00342E64"/>
    <w:rsid w:val="00343E6E"/>
    <w:rsid w:val="00343EE7"/>
    <w:rsid w:val="0034409C"/>
    <w:rsid w:val="00344905"/>
    <w:rsid w:val="003450C8"/>
    <w:rsid w:val="0034541F"/>
    <w:rsid w:val="00345F39"/>
    <w:rsid w:val="00346006"/>
    <w:rsid w:val="003468FC"/>
    <w:rsid w:val="00346CE6"/>
    <w:rsid w:val="00346D6D"/>
    <w:rsid w:val="00346F08"/>
    <w:rsid w:val="00350540"/>
    <w:rsid w:val="00350B7B"/>
    <w:rsid w:val="00351B9A"/>
    <w:rsid w:val="00351D44"/>
    <w:rsid w:val="00351E5C"/>
    <w:rsid w:val="0035242D"/>
    <w:rsid w:val="0035279E"/>
    <w:rsid w:val="003527DA"/>
    <w:rsid w:val="003539A7"/>
    <w:rsid w:val="003545A8"/>
    <w:rsid w:val="00355247"/>
    <w:rsid w:val="0035580F"/>
    <w:rsid w:val="00355C1D"/>
    <w:rsid w:val="003561C2"/>
    <w:rsid w:val="003567FB"/>
    <w:rsid w:val="00356F05"/>
    <w:rsid w:val="0035778D"/>
    <w:rsid w:val="00357A0F"/>
    <w:rsid w:val="00357CB4"/>
    <w:rsid w:val="003600A1"/>
    <w:rsid w:val="00360188"/>
    <w:rsid w:val="003604EE"/>
    <w:rsid w:val="00360683"/>
    <w:rsid w:val="00361EC5"/>
    <w:rsid w:val="00362362"/>
    <w:rsid w:val="0036286B"/>
    <w:rsid w:val="00362C7F"/>
    <w:rsid w:val="00362FEC"/>
    <w:rsid w:val="00363371"/>
    <w:rsid w:val="003638FE"/>
    <w:rsid w:val="00364989"/>
    <w:rsid w:val="00364B0E"/>
    <w:rsid w:val="00364FC3"/>
    <w:rsid w:val="003650CB"/>
    <w:rsid w:val="003657FB"/>
    <w:rsid w:val="003661DD"/>
    <w:rsid w:val="003664C0"/>
    <w:rsid w:val="00366646"/>
    <w:rsid w:val="00366B1F"/>
    <w:rsid w:val="0036710C"/>
    <w:rsid w:val="0036782D"/>
    <w:rsid w:val="00370721"/>
    <w:rsid w:val="0037091B"/>
    <w:rsid w:val="003717F3"/>
    <w:rsid w:val="00371881"/>
    <w:rsid w:val="003719AC"/>
    <w:rsid w:val="00371E74"/>
    <w:rsid w:val="00372299"/>
    <w:rsid w:val="00372345"/>
    <w:rsid w:val="00372C4E"/>
    <w:rsid w:val="00372DA1"/>
    <w:rsid w:val="003739CB"/>
    <w:rsid w:val="00373D08"/>
    <w:rsid w:val="00373E67"/>
    <w:rsid w:val="00373F7E"/>
    <w:rsid w:val="0037534C"/>
    <w:rsid w:val="00375B73"/>
    <w:rsid w:val="003761F2"/>
    <w:rsid w:val="00376A05"/>
    <w:rsid w:val="003774FE"/>
    <w:rsid w:val="003779EF"/>
    <w:rsid w:val="00380AD6"/>
    <w:rsid w:val="003821B1"/>
    <w:rsid w:val="00383B0D"/>
    <w:rsid w:val="00384429"/>
    <w:rsid w:val="0038474A"/>
    <w:rsid w:val="003848A8"/>
    <w:rsid w:val="003850C9"/>
    <w:rsid w:val="003854BE"/>
    <w:rsid w:val="00385747"/>
    <w:rsid w:val="00385CEE"/>
    <w:rsid w:val="0038730E"/>
    <w:rsid w:val="00387A0A"/>
    <w:rsid w:val="00390795"/>
    <w:rsid w:val="00390CFF"/>
    <w:rsid w:val="00390E30"/>
    <w:rsid w:val="00390F89"/>
    <w:rsid w:val="00390FDE"/>
    <w:rsid w:val="00391065"/>
    <w:rsid w:val="003919AC"/>
    <w:rsid w:val="003920F7"/>
    <w:rsid w:val="00393769"/>
    <w:rsid w:val="003937A4"/>
    <w:rsid w:val="00393ABE"/>
    <w:rsid w:val="00393B34"/>
    <w:rsid w:val="00393CB1"/>
    <w:rsid w:val="00393E16"/>
    <w:rsid w:val="003940C8"/>
    <w:rsid w:val="003941E9"/>
    <w:rsid w:val="00394400"/>
    <w:rsid w:val="0039458D"/>
    <w:rsid w:val="00394D61"/>
    <w:rsid w:val="003951CF"/>
    <w:rsid w:val="003953C2"/>
    <w:rsid w:val="00395E12"/>
    <w:rsid w:val="003973FB"/>
    <w:rsid w:val="00397A4E"/>
    <w:rsid w:val="00397CAE"/>
    <w:rsid w:val="003A0130"/>
    <w:rsid w:val="003A0800"/>
    <w:rsid w:val="003A1F5A"/>
    <w:rsid w:val="003A22CE"/>
    <w:rsid w:val="003A25BE"/>
    <w:rsid w:val="003A2ECE"/>
    <w:rsid w:val="003A33EF"/>
    <w:rsid w:val="003A393F"/>
    <w:rsid w:val="003A4198"/>
    <w:rsid w:val="003A4252"/>
    <w:rsid w:val="003A4405"/>
    <w:rsid w:val="003A45EE"/>
    <w:rsid w:val="003A539A"/>
    <w:rsid w:val="003A58BF"/>
    <w:rsid w:val="003A62A4"/>
    <w:rsid w:val="003A6620"/>
    <w:rsid w:val="003A7083"/>
    <w:rsid w:val="003A7D86"/>
    <w:rsid w:val="003B030E"/>
    <w:rsid w:val="003B0AA1"/>
    <w:rsid w:val="003B0B5F"/>
    <w:rsid w:val="003B1CA5"/>
    <w:rsid w:val="003B243D"/>
    <w:rsid w:val="003B2F37"/>
    <w:rsid w:val="003B304F"/>
    <w:rsid w:val="003B3271"/>
    <w:rsid w:val="003B3B07"/>
    <w:rsid w:val="003B4D49"/>
    <w:rsid w:val="003B566B"/>
    <w:rsid w:val="003B5D18"/>
    <w:rsid w:val="003B6029"/>
    <w:rsid w:val="003B619D"/>
    <w:rsid w:val="003B671F"/>
    <w:rsid w:val="003B769D"/>
    <w:rsid w:val="003B78B4"/>
    <w:rsid w:val="003B795D"/>
    <w:rsid w:val="003B7B20"/>
    <w:rsid w:val="003C018E"/>
    <w:rsid w:val="003C0C00"/>
    <w:rsid w:val="003C1092"/>
    <w:rsid w:val="003C17B2"/>
    <w:rsid w:val="003C1EBE"/>
    <w:rsid w:val="003C26A6"/>
    <w:rsid w:val="003C36B7"/>
    <w:rsid w:val="003C3856"/>
    <w:rsid w:val="003C4899"/>
    <w:rsid w:val="003C5C11"/>
    <w:rsid w:val="003C5D70"/>
    <w:rsid w:val="003C633D"/>
    <w:rsid w:val="003C6A5A"/>
    <w:rsid w:val="003C6AAD"/>
    <w:rsid w:val="003D03DE"/>
    <w:rsid w:val="003D04AC"/>
    <w:rsid w:val="003D1481"/>
    <w:rsid w:val="003D1943"/>
    <w:rsid w:val="003D1D4D"/>
    <w:rsid w:val="003D23AA"/>
    <w:rsid w:val="003D296A"/>
    <w:rsid w:val="003D320C"/>
    <w:rsid w:val="003D37DD"/>
    <w:rsid w:val="003D3AFC"/>
    <w:rsid w:val="003D47C6"/>
    <w:rsid w:val="003D6058"/>
    <w:rsid w:val="003D6098"/>
    <w:rsid w:val="003D6BFE"/>
    <w:rsid w:val="003D7119"/>
    <w:rsid w:val="003D77BB"/>
    <w:rsid w:val="003D7E38"/>
    <w:rsid w:val="003D7EA0"/>
    <w:rsid w:val="003D7EAC"/>
    <w:rsid w:val="003E0823"/>
    <w:rsid w:val="003E09AA"/>
    <w:rsid w:val="003E0FAF"/>
    <w:rsid w:val="003E1133"/>
    <w:rsid w:val="003E1726"/>
    <w:rsid w:val="003E1D81"/>
    <w:rsid w:val="003E2581"/>
    <w:rsid w:val="003E25C7"/>
    <w:rsid w:val="003E2B5A"/>
    <w:rsid w:val="003E3505"/>
    <w:rsid w:val="003E379A"/>
    <w:rsid w:val="003E3E7C"/>
    <w:rsid w:val="003E4579"/>
    <w:rsid w:val="003E48DA"/>
    <w:rsid w:val="003E4D0D"/>
    <w:rsid w:val="003E4F83"/>
    <w:rsid w:val="003E50E6"/>
    <w:rsid w:val="003E52B0"/>
    <w:rsid w:val="003E5A53"/>
    <w:rsid w:val="003E61FF"/>
    <w:rsid w:val="003E64DC"/>
    <w:rsid w:val="003E70B9"/>
    <w:rsid w:val="003E7A43"/>
    <w:rsid w:val="003F00AC"/>
    <w:rsid w:val="003F032B"/>
    <w:rsid w:val="003F0B58"/>
    <w:rsid w:val="003F0D40"/>
    <w:rsid w:val="003F0DE5"/>
    <w:rsid w:val="003F18A4"/>
    <w:rsid w:val="003F1B3C"/>
    <w:rsid w:val="003F1D92"/>
    <w:rsid w:val="003F2236"/>
    <w:rsid w:val="003F27B7"/>
    <w:rsid w:val="003F29B0"/>
    <w:rsid w:val="003F37FE"/>
    <w:rsid w:val="003F4051"/>
    <w:rsid w:val="003F40DA"/>
    <w:rsid w:val="003F45FE"/>
    <w:rsid w:val="003F51F5"/>
    <w:rsid w:val="003F524E"/>
    <w:rsid w:val="003F5812"/>
    <w:rsid w:val="003F63D6"/>
    <w:rsid w:val="003F64CD"/>
    <w:rsid w:val="003F677F"/>
    <w:rsid w:val="003F6B58"/>
    <w:rsid w:val="003F75A1"/>
    <w:rsid w:val="003F75AC"/>
    <w:rsid w:val="003F7F6A"/>
    <w:rsid w:val="004001BD"/>
    <w:rsid w:val="00400BE2"/>
    <w:rsid w:val="00400E4A"/>
    <w:rsid w:val="00401E9A"/>
    <w:rsid w:val="00401F4E"/>
    <w:rsid w:val="004026EA"/>
    <w:rsid w:val="00402E9A"/>
    <w:rsid w:val="00402ECB"/>
    <w:rsid w:val="00402FD2"/>
    <w:rsid w:val="00403D78"/>
    <w:rsid w:val="00403FA8"/>
    <w:rsid w:val="00404213"/>
    <w:rsid w:val="00404435"/>
    <w:rsid w:val="004048AC"/>
    <w:rsid w:val="00404B8E"/>
    <w:rsid w:val="004052F0"/>
    <w:rsid w:val="004068C2"/>
    <w:rsid w:val="004068F5"/>
    <w:rsid w:val="00406E58"/>
    <w:rsid w:val="00407457"/>
    <w:rsid w:val="00407B1C"/>
    <w:rsid w:val="00407C7E"/>
    <w:rsid w:val="00410814"/>
    <w:rsid w:val="004114FB"/>
    <w:rsid w:val="00412634"/>
    <w:rsid w:val="00412AFD"/>
    <w:rsid w:val="00412CCE"/>
    <w:rsid w:val="00412D44"/>
    <w:rsid w:val="00413EE4"/>
    <w:rsid w:val="00414000"/>
    <w:rsid w:val="0041414E"/>
    <w:rsid w:val="00414545"/>
    <w:rsid w:val="00414566"/>
    <w:rsid w:val="00414639"/>
    <w:rsid w:val="00414881"/>
    <w:rsid w:val="004159E6"/>
    <w:rsid w:val="00415E7F"/>
    <w:rsid w:val="00416138"/>
    <w:rsid w:val="0041736B"/>
    <w:rsid w:val="00417D10"/>
    <w:rsid w:val="00420288"/>
    <w:rsid w:val="0042046C"/>
    <w:rsid w:val="00420823"/>
    <w:rsid w:val="00420CC1"/>
    <w:rsid w:val="00421285"/>
    <w:rsid w:val="00421904"/>
    <w:rsid w:val="00421ADB"/>
    <w:rsid w:val="00421C78"/>
    <w:rsid w:val="0042237C"/>
    <w:rsid w:val="004224CE"/>
    <w:rsid w:val="00422C21"/>
    <w:rsid w:val="00423786"/>
    <w:rsid w:val="004238D5"/>
    <w:rsid w:val="00423AC4"/>
    <w:rsid w:val="00423C8C"/>
    <w:rsid w:val="00424226"/>
    <w:rsid w:val="0042484F"/>
    <w:rsid w:val="00424F0F"/>
    <w:rsid w:val="004253DF"/>
    <w:rsid w:val="004254DB"/>
    <w:rsid w:val="00425732"/>
    <w:rsid w:val="00425B61"/>
    <w:rsid w:val="004264DD"/>
    <w:rsid w:val="00426A87"/>
    <w:rsid w:val="00426EAA"/>
    <w:rsid w:val="00427EEA"/>
    <w:rsid w:val="0043017D"/>
    <w:rsid w:val="00430705"/>
    <w:rsid w:val="00430A53"/>
    <w:rsid w:val="00430FC6"/>
    <w:rsid w:val="0043165B"/>
    <w:rsid w:val="00431836"/>
    <w:rsid w:val="00431AD1"/>
    <w:rsid w:val="00431E26"/>
    <w:rsid w:val="0043278E"/>
    <w:rsid w:val="00433CD4"/>
    <w:rsid w:val="0043524E"/>
    <w:rsid w:val="00435264"/>
    <w:rsid w:val="00435E7C"/>
    <w:rsid w:val="004360AC"/>
    <w:rsid w:val="004360F4"/>
    <w:rsid w:val="004368BF"/>
    <w:rsid w:val="00436B83"/>
    <w:rsid w:val="00437CAC"/>
    <w:rsid w:val="00437EDD"/>
    <w:rsid w:val="00437FB4"/>
    <w:rsid w:val="00440713"/>
    <w:rsid w:val="0044078D"/>
    <w:rsid w:val="00441061"/>
    <w:rsid w:val="0044207F"/>
    <w:rsid w:val="00443240"/>
    <w:rsid w:val="00443332"/>
    <w:rsid w:val="00444024"/>
    <w:rsid w:val="00444100"/>
    <w:rsid w:val="0044416D"/>
    <w:rsid w:val="00445ABB"/>
    <w:rsid w:val="00446EBF"/>
    <w:rsid w:val="00447C11"/>
    <w:rsid w:val="00447E7B"/>
    <w:rsid w:val="0045015E"/>
    <w:rsid w:val="00450C70"/>
    <w:rsid w:val="00450D61"/>
    <w:rsid w:val="0045124D"/>
    <w:rsid w:val="00451503"/>
    <w:rsid w:val="004518EE"/>
    <w:rsid w:val="004524E2"/>
    <w:rsid w:val="00452EE5"/>
    <w:rsid w:val="00453344"/>
    <w:rsid w:val="0045424D"/>
    <w:rsid w:val="00454389"/>
    <w:rsid w:val="00454E6C"/>
    <w:rsid w:val="00454E76"/>
    <w:rsid w:val="004551B0"/>
    <w:rsid w:val="00455753"/>
    <w:rsid w:val="00455D53"/>
    <w:rsid w:val="00457080"/>
    <w:rsid w:val="00460891"/>
    <w:rsid w:val="00460DBB"/>
    <w:rsid w:val="00460DBE"/>
    <w:rsid w:val="00461146"/>
    <w:rsid w:val="0046148F"/>
    <w:rsid w:val="00462831"/>
    <w:rsid w:val="004636B0"/>
    <w:rsid w:val="00463BC4"/>
    <w:rsid w:val="00464FB2"/>
    <w:rsid w:val="00465756"/>
    <w:rsid w:val="00465956"/>
    <w:rsid w:val="00466B8C"/>
    <w:rsid w:val="00466F95"/>
    <w:rsid w:val="0046701D"/>
    <w:rsid w:val="0046745E"/>
    <w:rsid w:val="00467E58"/>
    <w:rsid w:val="00467FF0"/>
    <w:rsid w:val="00470019"/>
    <w:rsid w:val="0047100C"/>
    <w:rsid w:val="004712F2"/>
    <w:rsid w:val="0047156D"/>
    <w:rsid w:val="004725ED"/>
    <w:rsid w:val="0047270D"/>
    <w:rsid w:val="00472BDE"/>
    <w:rsid w:val="00472C04"/>
    <w:rsid w:val="004736BE"/>
    <w:rsid w:val="00473728"/>
    <w:rsid w:val="00474E01"/>
    <w:rsid w:val="0047556D"/>
    <w:rsid w:val="00475789"/>
    <w:rsid w:val="00475B65"/>
    <w:rsid w:val="00476170"/>
    <w:rsid w:val="00476381"/>
    <w:rsid w:val="00476702"/>
    <w:rsid w:val="004767FF"/>
    <w:rsid w:val="0047744A"/>
    <w:rsid w:val="004776EC"/>
    <w:rsid w:val="00480407"/>
    <w:rsid w:val="00481020"/>
    <w:rsid w:val="00481467"/>
    <w:rsid w:val="004815C9"/>
    <w:rsid w:val="00481A2C"/>
    <w:rsid w:val="00481DA3"/>
    <w:rsid w:val="004820B0"/>
    <w:rsid w:val="0048288B"/>
    <w:rsid w:val="00482C7B"/>
    <w:rsid w:val="00482E2F"/>
    <w:rsid w:val="0048300B"/>
    <w:rsid w:val="00484052"/>
    <w:rsid w:val="00484C21"/>
    <w:rsid w:val="00484F5C"/>
    <w:rsid w:val="004859B4"/>
    <w:rsid w:val="004863E4"/>
    <w:rsid w:val="00486ACD"/>
    <w:rsid w:val="00490BD1"/>
    <w:rsid w:val="00491126"/>
    <w:rsid w:val="004911CE"/>
    <w:rsid w:val="00491547"/>
    <w:rsid w:val="00491989"/>
    <w:rsid w:val="004920B1"/>
    <w:rsid w:val="00492C23"/>
    <w:rsid w:val="00492C65"/>
    <w:rsid w:val="00492D90"/>
    <w:rsid w:val="00492E3D"/>
    <w:rsid w:val="004932B9"/>
    <w:rsid w:val="0049403F"/>
    <w:rsid w:val="00494349"/>
    <w:rsid w:val="00495C87"/>
    <w:rsid w:val="00497114"/>
    <w:rsid w:val="004976BB"/>
    <w:rsid w:val="004976F7"/>
    <w:rsid w:val="004A0EFC"/>
    <w:rsid w:val="004A0F27"/>
    <w:rsid w:val="004A0F37"/>
    <w:rsid w:val="004A0F68"/>
    <w:rsid w:val="004A205E"/>
    <w:rsid w:val="004A2226"/>
    <w:rsid w:val="004A2830"/>
    <w:rsid w:val="004A2D4F"/>
    <w:rsid w:val="004A31BE"/>
    <w:rsid w:val="004A35C8"/>
    <w:rsid w:val="004A3608"/>
    <w:rsid w:val="004A3686"/>
    <w:rsid w:val="004A37A0"/>
    <w:rsid w:val="004A4C8E"/>
    <w:rsid w:val="004A4FBD"/>
    <w:rsid w:val="004A5901"/>
    <w:rsid w:val="004A60F3"/>
    <w:rsid w:val="004A6D0E"/>
    <w:rsid w:val="004A7031"/>
    <w:rsid w:val="004A7810"/>
    <w:rsid w:val="004A7A9A"/>
    <w:rsid w:val="004A7C69"/>
    <w:rsid w:val="004A7E93"/>
    <w:rsid w:val="004B099C"/>
    <w:rsid w:val="004B0CE6"/>
    <w:rsid w:val="004B1CA6"/>
    <w:rsid w:val="004B23EF"/>
    <w:rsid w:val="004B3B59"/>
    <w:rsid w:val="004B3CFB"/>
    <w:rsid w:val="004B50C1"/>
    <w:rsid w:val="004B551B"/>
    <w:rsid w:val="004B5D6B"/>
    <w:rsid w:val="004B620A"/>
    <w:rsid w:val="004B6A04"/>
    <w:rsid w:val="004B76F8"/>
    <w:rsid w:val="004C020D"/>
    <w:rsid w:val="004C1B12"/>
    <w:rsid w:val="004C1FA6"/>
    <w:rsid w:val="004C22D8"/>
    <w:rsid w:val="004C2CF9"/>
    <w:rsid w:val="004C3418"/>
    <w:rsid w:val="004C4165"/>
    <w:rsid w:val="004C4835"/>
    <w:rsid w:val="004C5CFD"/>
    <w:rsid w:val="004C5D75"/>
    <w:rsid w:val="004C790B"/>
    <w:rsid w:val="004D037B"/>
    <w:rsid w:val="004D0D77"/>
    <w:rsid w:val="004D0E49"/>
    <w:rsid w:val="004D12C0"/>
    <w:rsid w:val="004D1443"/>
    <w:rsid w:val="004D223F"/>
    <w:rsid w:val="004D23E9"/>
    <w:rsid w:val="004D2CBD"/>
    <w:rsid w:val="004D338E"/>
    <w:rsid w:val="004D3442"/>
    <w:rsid w:val="004D3713"/>
    <w:rsid w:val="004D3D7D"/>
    <w:rsid w:val="004D3F72"/>
    <w:rsid w:val="004D473A"/>
    <w:rsid w:val="004D4829"/>
    <w:rsid w:val="004D53A2"/>
    <w:rsid w:val="004D54B8"/>
    <w:rsid w:val="004D64ED"/>
    <w:rsid w:val="004D7147"/>
    <w:rsid w:val="004D7E99"/>
    <w:rsid w:val="004E0ADF"/>
    <w:rsid w:val="004E0C47"/>
    <w:rsid w:val="004E1622"/>
    <w:rsid w:val="004E17D4"/>
    <w:rsid w:val="004E1C7A"/>
    <w:rsid w:val="004E22E7"/>
    <w:rsid w:val="004E2662"/>
    <w:rsid w:val="004E2BDB"/>
    <w:rsid w:val="004E3209"/>
    <w:rsid w:val="004E3530"/>
    <w:rsid w:val="004E3AEF"/>
    <w:rsid w:val="004E4397"/>
    <w:rsid w:val="004E570A"/>
    <w:rsid w:val="004E5B73"/>
    <w:rsid w:val="004E6217"/>
    <w:rsid w:val="004E62A4"/>
    <w:rsid w:val="004E6472"/>
    <w:rsid w:val="004E654C"/>
    <w:rsid w:val="004E6BCA"/>
    <w:rsid w:val="004E71C2"/>
    <w:rsid w:val="004E7661"/>
    <w:rsid w:val="004E77CE"/>
    <w:rsid w:val="004F10F0"/>
    <w:rsid w:val="004F15B1"/>
    <w:rsid w:val="004F335F"/>
    <w:rsid w:val="004F5876"/>
    <w:rsid w:val="004F664E"/>
    <w:rsid w:val="004F681D"/>
    <w:rsid w:val="004F6A85"/>
    <w:rsid w:val="004F772A"/>
    <w:rsid w:val="005007BD"/>
    <w:rsid w:val="00500825"/>
    <w:rsid w:val="005009B2"/>
    <w:rsid w:val="00501A3C"/>
    <w:rsid w:val="005027B4"/>
    <w:rsid w:val="00502857"/>
    <w:rsid w:val="005028E0"/>
    <w:rsid w:val="0050349B"/>
    <w:rsid w:val="0050442E"/>
    <w:rsid w:val="005044A9"/>
    <w:rsid w:val="005046A5"/>
    <w:rsid w:val="00505994"/>
    <w:rsid w:val="00505FD4"/>
    <w:rsid w:val="005062DE"/>
    <w:rsid w:val="005066D2"/>
    <w:rsid w:val="00506CF5"/>
    <w:rsid w:val="00506E25"/>
    <w:rsid w:val="00506FAD"/>
    <w:rsid w:val="00507165"/>
    <w:rsid w:val="0051039B"/>
    <w:rsid w:val="00510809"/>
    <w:rsid w:val="0051132C"/>
    <w:rsid w:val="00512330"/>
    <w:rsid w:val="005123E1"/>
    <w:rsid w:val="00513483"/>
    <w:rsid w:val="00513C30"/>
    <w:rsid w:val="00513D9E"/>
    <w:rsid w:val="00514080"/>
    <w:rsid w:val="00514962"/>
    <w:rsid w:val="00514A55"/>
    <w:rsid w:val="00514EF5"/>
    <w:rsid w:val="00514FC6"/>
    <w:rsid w:val="00515627"/>
    <w:rsid w:val="005167AB"/>
    <w:rsid w:val="00516BD9"/>
    <w:rsid w:val="00516FC6"/>
    <w:rsid w:val="0051782D"/>
    <w:rsid w:val="0052042D"/>
    <w:rsid w:val="00520ADF"/>
    <w:rsid w:val="00520F4E"/>
    <w:rsid w:val="00521E74"/>
    <w:rsid w:val="00522766"/>
    <w:rsid w:val="00522976"/>
    <w:rsid w:val="00522B77"/>
    <w:rsid w:val="00522F48"/>
    <w:rsid w:val="00522FB1"/>
    <w:rsid w:val="0052315E"/>
    <w:rsid w:val="00523326"/>
    <w:rsid w:val="00523AE3"/>
    <w:rsid w:val="00524258"/>
    <w:rsid w:val="0052435D"/>
    <w:rsid w:val="00524D18"/>
    <w:rsid w:val="00525281"/>
    <w:rsid w:val="00525F05"/>
    <w:rsid w:val="00526065"/>
    <w:rsid w:val="0052734C"/>
    <w:rsid w:val="005302B2"/>
    <w:rsid w:val="00530780"/>
    <w:rsid w:val="00530907"/>
    <w:rsid w:val="00530AF5"/>
    <w:rsid w:val="00530ED3"/>
    <w:rsid w:val="005324C9"/>
    <w:rsid w:val="0053395F"/>
    <w:rsid w:val="00533D6A"/>
    <w:rsid w:val="0053438E"/>
    <w:rsid w:val="00535057"/>
    <w:rsid w:val="0053556D"/>
    <w:rsid w:val="005355EE"/>
    <w:rsid w:val="00535B16"/>
    <w:rsid w:val="0053616F"/>
    <w:rsid w:val="005363C9"/>
    <w:rsid w:val="005366D0"/>
    <w:rsid w:val="00536935"/>
    <w:rsid w:val="00537E27"/>
    <w:rsid w:val="00540118"/>
    <w:rsid w:val="00540B4D"/>
    <w:rsid w:val="00540BC3"/>
    <w:rsid w:val="00540D35"/>
    <w:rsid w:val="00540FFA"/>
    <w:rsid w:val="00541A40"/>
    <w:rsid w:val="00541F9D"/>
    <w:rsid w:val="0054239F"/>
    <w:rsid w:val="00542930"/>
    <w:rsid w:val="005435B3"/>
    <w:rsid w:val="00543754"/>
    <w:rsid w:val="00544218"/>
    <w:rsid w:val="00544280"/>
    <w:rsid w:val="005442A3"/>
    <w:rsid w:val="00544461"/>
    <w:rsid w:val="00544836"/>
    <w:rsid w:val="005455E4"/>
    <w:rsid w:val="00545BD6"/>
    <w:rsid w:val="00546728"/>
    <w:rsid w:val="005473D9"/>
    <w:rsid w:val="005477D7"/>
    <w:rsid w:val="005507EA"/>
    <w:rsid w:val="00550849"/>
    <w:rsid w:val="00550B71"/>
    <w:rsid w:val="00551EC7"/>
    <w:rsid w:val="005525EF"/>
    <w:rsid w:val="0055275F"/>
    <w:rsid w:val="0055278D"/>
    <w:rsid w:val="00552EAE"/>
    <w:rsid w:val="0055462B"/>
    <w:rsid w:val="00554BF3"/>
    <w:rsid w:val="00555CDB"/>
    <w:rsid w:val="00556461"/>
    <w:rsid w:val="005564C5"/>
    <w:rsid w:val="0055655F"/>
    <w:rsid w:val="0055657D"/>
    <w:rsid w:val="0055678A"/>
    <w:rsid w:val="00556814"/>
    <w:rsid w:val="00557278"/>
    <w:rsid w:val="00557B86"/>
    <w:rsid w:val="00560338"/>
    <w:rsid w:val="005608B5"/>
    <w:rsid w:val="00560D0D"/>
    <w:rsid w:val="00561E9C"/>
    <w:rsid w:val="0056319B"/>
    <w:rsid w:val="00563C0F"/>
    <w:rsid w:val="005642D4"/>
    <w:rsid w:val="0056462A"/>
    <w:rsid w:val="00564969"/>
    <w:rsid w:val="005649C4"/>
    <w:rsid w:val="00565FB1"/>
    <w:rsid w:val="0056604B"/>
    <w:rsid w:val="005662FB"/>
    <w:rsid w:val="005668D3"/>
    <w:rsid w:val="0056765D"/>
    <w:rsid w:val="00567781"/>
    <w:rsid w:val="00567AC8"/>
    <w:rsid w:val="00567D9E"/>
    <w:rsid w:val="00567ECC"/>
    <w:rsid w:val="00570AE6"/>
    <w:rsid w:val="00570B29"/>
    <w:rsid w:val="00570C9E"/>
    <w:rsid w:val="0057129D"/>
    <w:rsid w:val="005713B1"/>
    <w:rsid w:val="0057156B"/>
    <w:rsid w:val="0057315C"/>
    <w:rsid w:val="0057323F"/>
    <w:rsid w:val="00573FCF"/>
    <w:rsid w:val="0057580F"/>
    <w:rsid w:val="00576758"/>
    <w:rsid w:val="00576EAC"/>
    <w:rsid w:val="00577065"/>
    <w:rsid w:val="00577416"/>
    <w:rsid w:val="00577EB7"/>
    <w:rsid w:val="0058204A"/>
    <w:rsid w:val="00582CB7"/>
    <w:rsid w:val="00582D66"/>
    <w:rsid w:val="00583090"/>
    <w:rsid w:val="005835F4"/>
    <w:rsid w:val="00583A09"/>
    <w:rsid w:val="00583C8B"/>
    <w:rsid w:val="00583EFE"/>
    <w:rsid w:val="005841A3"/>
    <w:rsid w:val="005841DE"/>
    <w:rsid w:val="00584B61"/>
    <w:rsid w:val="00585016"/>
    <w:rsid w:val="00585499"/>
    <w:rsid w:val="00586993"/>
    <w:rsid w:val="0058754C"/>
    <w:rsid w:val="00590382"/>
    <w:rsid w:val="005905D4"/>
    <w:rsid w:val="00590BAB"/>
    <w:rsid w:val="00590EAE"/>
    <w:rsid w:val="0059112A"/>
    <w:rsid w:val="00591542"/>
    <w:rsid w:val="00593216"/>
    <w:rsid w:val="005935A3"/>
    <w:rsid w:val="00594317"/>
    <w:rsid w:val="005943D5"/>
    <w:rsid w:val="00594548"/>
    <w:rsid w:val="00594750"/>
    <w:rsid w:val="00594BC3"/>
    <w:rsid w:val="00594E82"/>
    <w:rsid w:val="00596CA7"/>
    <w:rsid w:val="00596DB5"/>
    <w:rsid w:val="00596DC8"/>
    <w:rsid w:val="00596E16"/>
    <w:rsid w:val="00597FAC"/>
    <w:rsid w:val="005A043D"/>
    <w:rsid w:val="005A0A30"/>
    <w:rsid w:val="005A0B40"/>
    <w:rsid w:val="005A0D9B"/>
    <w:rsid w:val="005A16A3"/>
    <w:rsid w:val="005A253A"/>
    <w:rsid w:val="005A3285"/>
    <w:rsid w:val="005A351B"/>
    <w:rsid w:val="005A3A58"/>
    <w:rsid w:val="005A564F"/>
    <w:rsid w:val="005A5ECB"/>
    <w:rsid w:val="005A6461"/>
    <w:rsid w:val="005A68AF"/>
    <w:rsid w:val="005A6ECF"/>
    <w:rsid w:val="005A7321"/>
    <w:rsid w:val="005B0489"/>
    <w:rsid w:val="005B0734"/>
    <w:rsid w:val="005B0ECB"/>
    <w:rsid w:val="005B1217"/>
    <w:rsid w:val="005B1332"/>
    <w:rsid w:val="005B1624"/>
    <w:rsid w:val="005B177F"/>
    <w:rsid w:val="005B1A0A"/>
    <w:rsid w:val="005B1C6B"/>
    <w:rsid w:val="005B1D87"/>
    <w:rsid w:val="005B23AD"/>
    <w:rsid w:val="005B294E"/>
    <w:rsid w:val="005B341E"/>
    <w:rsid w:val="005B3C55"/>
    <w:rsid w:val="005B436E"/>
    <w:rsid w:val="005B4421"/>
    <w:rsid w:val="005B54F4"/>
    <w:rsid w:val="005B6720"/>
    <w:rsid w:val="005B6A98"/>
    <w:rsid w:val="005B6D25"/>
    <w:rsid w:val="005B72EB"/>
    <w:rsid w:val="005B7929"/>
    <w:rsid w:val="005B7B51"/>
    <w:rsid w:val="005B7C43"/>
    <w:rsid w:val="005C0B9B"/>
    <w:rsid w:val="005C0EA0"/>
    <w:rsid w:val="005C1477"/>
    <w:rsid w:val="005C18F8"/>
    <w:rsid w:val="005C25D1"/>
    <w:rsid w:val="005C3FFB"/>
    <w:rsid w:val="005C42D9"/>
    <w:rsid w:val="005C464B"/>
    <w:rsid w:val="005C53D8"/>
    <w:rsid w:val="005C5F0B"/>
    <w:rsid w:val="005C608C"/>
    <w:rsid w:val="005C63D5"/>
    <w:rsid w:val="005C682B"/>
    <w:rsid w:val="005C6972"/>
    <w:rsid w:val="005C6C32"/>
    <w:rsid w:val="005C6F14"/>
    <w:rsid w:val="005C74A0"/>
    <w:rsid w:val="005D052C"/>
    <w:rsid w:val="005D0571"/>
    <w:rsid w:val="005D0642"/>
    <w:rsid w:val="005D088B"/>
    <w:rsid w:val="005D0B86"/>
    <w:rsid w:val="005D0DF9"/>
    <w:rsid w:val="005D16FE"/>
    <w:rsid w:val="005D1EED"/>
    <w:rsid w:val="005D2697"/>
    <w:rsid w:val="005D2DA1"/>
    <w:rsid w:val="005D2EE1"/>
    <w:rsid w:val="005D37B2"/>
    <w:rsid w:val="005D39B5"/>
    <w:rsid w:val="005D4084"/>
    <w:rsid w:val="005D445E"/>
    <w:rsid w:val="005D4777"/>
    <w:rsid w:val="005D4C2B"/>
    <w:rsid w:val="005D4C74"/>
    <w:rsid w:val="005D4E30"/>
    <w:rsid w:val="005D6A55"/>
    <w:rsid w:val="005D6E4C"/>
    <w:rsid w:val="005D6F05"/>
    <w:rsid w:val="005D70B2"/>
    <w:rsid w:val="005E0265"/>
    <w:rsid w:val="005E2D68"/>
    <w:rsid w:val="005E329D"/>
    <w:rsid w:val="005E331E"/>
    <w:rsid w:val="005E3B2D"/>
    <w:rsid w:val="005E4741"/>
    <w:rsid w:val="005E4E53"/>
    <w:rsid w:val="005E4E5F"/>
    <w:rsid w:val="005E51E4"/>
    <w:rsid w:val="005E551C"/>
    <w:rsid w:val="005E6018"/>
    <w:rsid w:val="005E6F11"/>
    <w:rsid w:val="005E7742"/>
    <w:rsid w:val="005E7953"/>
    <w:rsid w:val="005E7E82"/>
    <w:rsid w:val="005F0013"/>
    <w:rsid w:val="005F1576"/>
    <w:rsid w:val="005F1696"/>
    <w:rsid w:val="005F21AA"/>
    <w:rsid w:val="005F27B1"/>
    <w:rsid w:val="005F2DB3"/>
    <w:rsid w:val="005F5370"/>
    <w:rsid w:val="005F576B"/>
    <w:rsid w:val="005F58EB"/>
    <w:rsid w:val="005F5944"/>
    <w:rsid w:val="005F5E16"/>
    <w:rsid w:val="005F6196"/>
    <w:rsid w:val="005F6947"/>
    <w:rsid w:val="005F6C28"/>
    <w:rsid w:val="005F6CF4"/>
    <w:rsid w:val="005F7AB6"/>
    <w:rsid w:val="005F7E3C"/>
    <w:rsid w:val="006007E2"/>
    <w:rsid w:val="0060099C"/>
    <w:rsid w:val="00600B97"/>
    <w:rsid w:val="00600FA8"/>
    <w:rsid w:val="00601ABC"/>
    <w:rsid w:val="0060218E"/>
    <w:rsid w:val="006036FF"/>
    <w:rsid w:val="006044BD"/>
    <w:rsid w:val="0060557F"/>
    <w:rsid w:val="00605BBD"/>
    <w:rsid w:val="00605FF3"/>
    <w:rsid w:val="0060622A"/>
    <w:rsid w:val="006063DA"/>
    <w:rsid w:val="00606B9B"/>
    <w:rsid w:val="00606CE3"/>
    <w:rsid w:val="0060709F"/>
    <w:rsid w:val="006074B9"/>
    <w:rsid w:val="00607E90"/>
    <w:rsid w:val="00610A48"/>
    <w:rsid w:val="00611889"/>
    <w:rsid w:val="00611DD3"/>
    <w:rsid w:val="00611EF0"/>
    <w:rsid w:val="006121B0"/>
    <w:rsid w:val="00612219"/>
    <w:rsid w:val="00612E04"/>
    <w:rsid w:val="00612FA3"/>
    <w:rsid w:val="00614350"/>
    <w:rsid w:val="006143FA"/>
    <w:rsid w:val="006154EE"/>
    <w:rsid w:val="00615814"/>
    <w:rsid w:val="00616E2B"/>
    <w:rsid w:val="006173A4"/>
    <w:rsid w:val="00617C44"/>
    <w:rsid w:val="00617D30"/>
    <w:rsid w:val="0062022A"/>
    <w:rsid w:val="006206CD"/>
    <w:rsid w:val="00621449"/>
    <w:rsid w:val="00621973"/>
    <w:rsid w:val="00621DDC"/>
    <w:rsid w:val="00621F5F"/>
    <w:rsid w:val="0062208F"/>
    <w:rsid w:val="00622293"/>
    <w:rsid w:val="006227E8"/>
    <w:rsid w:val="00622ADB"/>
    <w:rsid w:val="00622B42"/>
    <w:rsid w:val="006234A7"/>
    <w:rsid w:val="00623C80"/>
    <w:rsid w:val="00624CB7"/>
    <w:rsid w:val="00625013"/>
    <w:rsid w:val="006257F7"/>
    <w:rsid w:val="00625917"/>
    <w:rsid w:val="0062789F"/>
    <w:rsid w:val="00630057"/>
    <w:rsid w:val="00630710"/>
    <w:rsid w:val="0063096E"/>
    <w:rsid w:val="00630B17"/>
    <w:rsid w:val="0063229D"/>
    <w:rsid w:val="006330D9"/>
    <w:rsid w:val="00633349"/>
    <w:rsid w:val="00633D61"/>
    <w:rsid w:val="00633E07"/>
    <w:rsid w:val="0063402B"/>
    <w:rsid w:val="00634F8D"/>
    <w:rsid w:val="00635145"/>
    <w:rsid w:val="006351B8"/>
    <w:rsid w:val="006351C6"/>
    <w:rsid w:val="00636069"/>
    <w:rsid w:val="00636570"/>
    <w:rsid w:val="00637819"/>
    <w:rsid w:val="00637901"/>
    <w:rsid w:val="00637B6E"/>
    <w:rsid w:val="00637BEE"/>
    <w:rsid w:val="00637E1B"/>
    <w:rsid w:val="006402DF"/>
    <w:rsid w:val="0064164B"/>
    <w:rsid w:val="006418BF"/>
    <w:rsid w:val="00642931"/>
    <w:rsid w:val="00642963"/>
    <w:rsid w:val="00642D06"/>
    <w:rsid w:val="00642FDA"/>
    <w:rsid w:val="00643183"/>
    <w:rsid w:val="006432AA"/>
    <w:rsid w:val="00644468"/>
    <w:rsid w:val="00644ADE"/>
    <w:rsid w:val="00644D03"/>
    <w:rsid w:val="00644EC8"/>
    <w:rsid w:val="006457A7"/>
    <w:rsid w:val="00645AB1"/>
    <w:rsid w:val="00645F5E"/>
    <w:rsid w:val="0064671B"/>
    <w:rsid w:val="0064742B"/>
    <w:rsid w:val="00647B1E"/>
    <w:rsid w:val="00647C55"/>
    <w:rsid w:val="0065008B"/>
    <w:rsid w:val="00650649"/>
    <w:rsid w:val="00650841"/>
    <w:rsid w:val="00650E02"/>
    <w:rsid w:val="006510CC"/>
    <w:rsid w:val="0065144C"/>
    <w:rsid w:val="00653A3B"/>
    <w:rsid w:val="00653C79"/>
    <w:rsid w:val="00653FD9"/>
    <w:rsid w:val="0065451C"/>
    <w:rsid w:val="006548E1"/>
    <w:rsid w:val="0065520E"/>
    <w:rsid w:val="00655BBA"/>
    <w:rsid w:val="0065627E"/>
    <w:rsid w:val="00656328"/>
    <w:rsid w:val="00656999"/>
    <w:rsid w:val="00657060"/>
    <w:rsid w:val="00660279"/>
    <w:rsid w:val="00661394"/>
    <w:rsid w:val="006622B9"/>
    <w:rsid w:val="00662EE5"/>
    <w:rsid w:val="00662F1A"/>
    <w:rsid w:val="0066371E"/>
    <w:rsid w:val="00664BF5"/>
    <w:rsid w:val="00664F27"/>
    <w:rsid w:val="00665652"/>
    <w:rsid w:val="00666CAB"/>
    <w:rsid w:val="00666D2D"/>
    <w:rsid w:val="00667130"/>
    <w:rsid w:val="0067097C"/>
    <w:rsid w:val="00670C22"/>
    <w:rsid w:val="00670D10"/>
    <w:rsid w:val="00670DAC"/>
    <w:rsid w:val="00670E9D"/>
    <w:rsid w:val="00670FF9"/>
    <w:rsid w:val="006711AF"/>
    <w:rsid w:val="00671479"/>
    <w:rsid w:val="00671D56"/>
    <w:rsid w:val="006724AD"/>
    <w:rsid w:val="0067314A"/>
    <w:rsid w:val="0067342D"/>
    <w:rsid w:val="00673955"/>
    <w:rsid w:val="00673B2D"/>
    <w:rsid w:val="00673D1E"/>
    <w:rsid w:val="00675576"/>
    <w:rsid w:val="006756DA"/>
    <w:rsid w:val="00675724"/>
    <w:rsid w:val="006772B3"/>
    <w:rsid w:val="00677586"/>
    <w:rsid w:val="00677A8F"/>
    <w:rsid w:val="00677F8A"/>
    <w:rsid w:val="00680A22"/>
    <w:rsid w:val="00680B4F"/>
    <w:rsid w:val="00680EC0"/>
    <w:rsid w:val="006815E3"/>
    <w:rsid w:val="006821E3"/>
    <w:rsid w:val="006823F1"/>
    <w:rsid w:val="00682952"/>
    <w:rsid w:val="00683AD6"/>
    <w:rsid w:val="00683C25"/>
    <w:rsid w:val="006842AE"/>
    <w:rsid w:val="006845B3"/>
    <w:rsid w:val="006848E8"/>
    <w:rsid w:val="00684AEE"/>
    <w:rsid w:val="00686D9C"/>
    <w:rsid w:val="00687BD0"/>
    <w:rsid w:val="0069097D"/>
    <w:rsid w:val="0069099C"/>
    <w:rsid w:val="00690A0E"/>
    <w:rsid w:val="006915F1"/>
    <w:rsid w:val="00691A77"/>
    <w:rsid w:val="0069242D"/>
    <w:rsid w:val="00692FF1"/>
    <w:rsid w:val="00694155"/>
    <w:rsid w:val="0069494F"/>
    <w:rsid w:val="0069500E"/>
    <w:rsid w:val="0069545D"/>
    <w:rsid w:val="006956B2"/>
    <w:rsid w:val="006958A7"/>
    <w:rsid w:val="006959A2"/>
    <w:rsid w:val="00695AA9"/>
    <w:rsid w:val="0069687D"/>
    <w:rsid w:val="00696F51"/>
    <w:rsid w:val="006976BE"/>
    <w:rsid w:val="0069774E"/>
    <w:rsid w:val="006A01C1"/>
    <w:rsid w:val="006A01E0"/>
    <w:rsid w:val="006A04FE"/>
    <w:rsid w:val="006A17FC"/>
    <w:rsid w:val="006A1B69"/>
    <w:rsid w:val="006A2E1C"/>
    <w:rsid w:val="006A2F94"/>
    <w:rsid w:val="006A3006"/>
    <w:rsid w:val="006A4304"/>
    <w:rsid w:val="006A47C9"/>
    <w:rsid w:val="006A50DC"/>
    <w:rsid w:val="006A5341"/>
    <w:rsid w:val="006A5773"/>
    <w:rsid w:val="006A5804"/>
    <w:rsid w:val="006A58F0"/>
    <w:rsid w:val="006A5CA4"/>
    <w:rsid w:val="006A5FFF"/>
    <w:rsid w:val="006A6196"/>
    <w:rsid w:val="006A641A"/>
    <w:rsid w:val="006A7E33"/>
    <w:rsid w:val="006B0372"/>
    <w:rsid w:val="006B03AE"/>
    <w:rsid w:val="006B0764"/>
    <w:rsid w:val="006B0F78"/>
    <w:rsid w:val="006B191B"/>
    <w:rsid w:val="006B1DF6"/>
    <w:rsid w:val="006B2753"/>
    <w:rsid w:val="006B2FED"/>
    <w:rsid w:val="006B3A20"/>
    <w:rsid w:val="006B4467"/>
    <w:rsid w:val="006B46B0"/>
    <w:rsid w:val="006B5A9D"/>
    <w:rsid w:val="006B6C46"/>
    <w:rsid w:val="006B6E78"/>
    <w:rsid w:val="006B6FD2"/>
    <w:rsid w:val="006B72AD"/>
    <w:rsid w:val="006B74F6"/>
    <w:rsid w:val="006B785D"/>
    <w:rsid w:val="006B7B9D"/>
    <w:rsid w:val="006B7CBA"/>
    <w:rsid w:val="006C0039"/>
    <w:rsid w:val="006C0482"/>
    <w:rsid w:val="006C04B7"/>
    <w:rsid w:val="006C0E11"/>
    <w:rsid w:val="006C2585"/>
    <w:rsid w:val="006C2C85"/>
    <w:rsid w:val="006C37F0"/>
    <w:rsid w:val="006C4008"/>
    <w:rsid w:val="006C4F49"/>
    <w:rsid w:val="006C5931"/>
    <w:rsid w:val="006C62DB"/>
    <w:rsid w:val="006C6433"/>
    <w:rsid w:val="006C644A"/>
    <w:rsid w:val="006C651E"/>
    <w:rsid w:val="006C6C9E"/>
    <w:rsid w:val="006C73EF"/>
    <w:rsid w:val="006C75C0"/>
    <w:rsid w:val="006C772F"/>
    <w:rsid w:val="006D0495"/>
    <w:rsid w:val="006D0B28"/>
    <w:rsid w:val="006D16A6"/>
    <w:rsid w:val="006D1723"/>
    <w:rsid w:val="006D1F04"/>
    <w:rsid w:val="006D2CF2"/>
    <w:rsid w:val="006D2DED"/>
    <w:rsid w:val="006D3850"/>
    <w:rsid w:val="006D3BF4"/>
    <w:rsid w:val="006D4AF4"/>
    <w:rsid w:val="006D4F18"/>
    <w:rsid w:val="006D5D3F"/>
    <w:rsid w:val="006D60ED"/>
    <w:rsid w:val="006D6C97"/>
    <w:rsid w:val="006D787D"/>
    <w:rsid w:val="006D7BA8"/>
    <w:rsid w:val="006E077F"/>
    <w:rsid w:val="006E090A"/>
    <w:rsid w:val="006E1166"/>
    <w:rsid w:val="006E13B0"/>
    <w:rsid w:val="006E1BB3"/>
    <w:rsid w:val="006E1D73"/>
    <w:rsid w:val="006E31A5"/>
    <w:rsid w:val="006E3200"/>
    <w:rsid w:val="006E322F"/>
    <w:rsid w:val="006E3420"/>
    <w:rsid w:val="006E3B1C"/>
    <w:rsid w:val="006E596E"/>
    <w:rsid w:val="006E5D84"/>
    <w:rsid w:val="006E7129"/>
    <w:rsid w:val="006F0166"/>
    <w:rsid w:val="006F01F1"/>
    <w:rsid w:val="006F033F"/>
    <w:rsid w:val="006F0462"/>
    <w:rsid w:val="006F07AC"/>
    <w:rsid w:val="006F11E7"/>
    <w:rsid w:val="006F2334"/>
    <w:rsid w:val="006F27E7"/>
    <w:rsid w:val="006F2CF3"/>
    <w:rsid w:val="006F33B8"/>
    <w:rsid w:val="006F42CC"/>
    <w:rsid w:val="006F4695"/>
    <w:rsid w:val="006F4957"/>
    <w:rsid w:val="006F4C9C"/>
    <w:rsid w:val="006F4F61"/>
    <w:rsid w:val="006F52A6"/>
    <w:rsid w:val="006F54DC"/>
    <w:rsid w:val="006F5D2B"/>
    <w:rsid w:val="006F640F"/>
    <w:rsid w:val="006F762A"/>
    <w:rsid w:val="006F792D"/>
    <w:rsid w:val="007000F2"/>
    <w:rsid w:val="007002EA"/>
    <w:rsid w:val="00701B6B"/>
    <w:rsid w:val="00701ECD"/>
    <w:rsid w:val="00702D48"/>
    <w:rsid w:val="00702FCD"/>
    <w:rsid w:val="00703356"/>
    <w:rsid w:val="0070340C"/>
    <w:rsid w:val="0070384F"/>
    <w:rsid w:val="00703A9E"/>
    <w:rsid w:val="00703B99"/>
    <w:rsid w:val="00703CE8"/>
    <w:rsid w:val="00703D6D"/>
    <w:rsid w:val="00704152"/>
    <w:rsid w:val="007042DB"/>
    <w:rsid w:val="00704649"/>
    <w:rsid w:val="00704FB5"/>
    <w:rsid w:val="007050C7"/>
    <w:rsid w:val="007052AF"/>
    <w:rsid w:val="0070606C"/>
    <w:rsid w:val="00706230"/>
    <w:rsid w:val="0070634C"/>
    <w:rsid w:val="00706B71"/>
    <w:rsid w:val="00707408"/>
    <w:rsid w:val="00707567"/>
    <w:rsid w:val="00707592"/>
    <w:rsid w:val="00707654"/>
    <w:rsid w:val="00710055"/>
    <w:rsid w:val="0071138F"/>
    <w:rsid w:val="007118C1"/>
    <w:rsid w:val="00711996"/>
    <w:rsid w:val="00711EDB"/>
    <w:rsid w:val="0071305F"/>
    <w:rsid w:val="00713493"/>
    <w:rsid w:val="00713494"/>
    <w:rsid w:val="00713A80"/>
    <w:rsid w:val="00713C78"/>
    <w:rsid w:val="00713F3B"/>
    <w:rsid w:val="00713F43"/>
    <w:rsid w:val="00714031"/>
    <w:rsid w:val="007145EC"/>
    <w:rsid w:val="0071466E"/>
    <w:rsid w:val="00714A6C"/>
    <w:rsid w:val="00714CD3"/>
    <w:rsid w:val="00715326"/>
    <w:rsid w:val="007157FE"/>
    <w:rsid w:val="00715E43"/>
    <w:rsid w:val="007169DB"/>
    <w:rsid w:val="00716A17"/>
    <w:rsid w:val="00717A84"/>
    <w:rsid w:val="00717DD3"/>
    <w:rsid w:val="007206A8"/>
    <w:rsid w:val="0072099E"/>
    <w:rsid w:val="0072116D"/>
    <w:rsid w:val="00721E46"/>
    <w:rsid w:val="00723A62"/>
    <w:rsid w:val="00723E3B"/>
    <w:rsid w:val="00723EB4"/>
    <w:rsid w:val="007243F6"/>
    <w:rsid w:val="00724780"/>
    <w:rsid w:val="00724AEC"/>
    <w:rsid w:val="00725B78"/>
    <w:rsid w:val="00725F25"/>
    <w:rsid w:val="00726BE8"/>
    <w:rsid w:val="00727082"/>
    <w:rsid w:val="00727240"/>
    <w:rsid w:val="00730550"/>
    <w:rsid w:val="007306FC"/>
    <w:rsid w:val="00731136"/>
    <w:rsid w:val="00731A05"/>
    <w:rsid w:val="007320D4"/>
    <w:rsid w:val="0073233C"/>
    <w:rsid w:val="00732D0C"/>
    <w:rsid w:val="00733EAD"/>
    <w:rsid w:val="00733F73"/>
    <w:rsid w:val="00734630"/>
    <w:rsid w:val="007348B2"/>
    <w:rsid w:val="00734F54"/>
    <w:rsid w:val="00735EE3"/>
    <w:rsid w:val="00736149"/>
    <w:rsid w:val="00736850"/>
    <w:rsid w:val="0073782F"/>
    <w:rsid w:val="00737E5E"/>
    <w:rsid w:val="0074119F"/>
    <w:rsid w:val="00741D13"/>
    <w:rsid w:val="007425EB"/>
    <w:rsid w:val="0074266F"/>
    <w:rsid w:val="00742A91"/>
    <w:rsid w:val="00742E95"/>
    <w:rsid w:val="00743009"/>
    <w:rsid w:val="00743E60"/>
    <w:rsid w:val="00743FAE"/>
    <w:rsid w:val="00744110"/>
    <w:rsid w:val="00744595"/>
    <w:rsid w:val="00744C83"/>
    <w:rsid w:val="0074570D"/>
    <w:rsid w:val="0074633B"/>
    <w:rsid w:val="0074697A"/>
    <w:rsid w:val="0074770A"/>
    <w:rsid w:val="00747A52"/>
    <w:rsid w:val="00751816"/>
    <w:rsid w:val="00751C12"/>
    <w:rsid w:val="00752512"/>
    <w:rsid w:val="00752691"/>
    <w:rsid w:val="007528F2"/>
    <w:rsid w:val="00752B2E"/>
    <w:rsid w:val="007532F8"/>
    <w:rsid w:val="007537A8"/>
    <w:rsid w:val="007542AD"/>
    <w:rsid w:val="00754483"/>
    <w:rsid w:val="00754B08"/>
    <w:rsid w:val="007560F7"/>
    <w:rsid w:val="00756361"/>
    <w:rsid w:val="00756E3A"/>
    <w:rsid w:val="007619E0"/>
    <w:rsid w:val="00761AC4"/>
    <w:rsid w:val="00761D82"/>
    <w:rsid w:val="00761EED"/>
    <w:rsid w:val="0076211C"/>
    <w:rsid w:val="00763034"/>
    <w:rsid w:val="00763700"/>
    <w:rsid w:val="00763D1D"/>
    <w:rsid w:val="00763FCB"/>
    <w:rsid w:val="0076427C"/>
    <w:rsid w:val="0076467E"/>
    <w:rsid w:val="00764CC6"/>
    <w:rsid w:val="00765217"/>
    <w:rsid w:val="007657A7"/>
    <w:rsid w:val="007658B9"/>
    <w:rsid w:val="007659AA"/>
    <w:rsid w:val="00766D54"/>
    <w:rsid w:val="007676D6"/>
    <w:rsid w:val="00770F03"/>
    <w:rsid w:val="0077165A"/>
    <w:rsid w:val="00771CE2"/>
    <w:rsid w:val="0077240B"/>
    <w:rsid w:val="0077266C"/>
    <w:rsid w:val="007746EA"/>
    <w:rsid w:val="00774903"/>
    <w:rsid w:val="00775066"/>
    <w:rsid w:val="00776406"/>
    <w:rsid w:val="007765DE"/>
    <w:rsid w:val="00777305"/>
    <w:rsid w:val="0078003D"/>
    <w:rsid w:val="0078005A"/>
    <w:rsid w:val="00780C2C"/>
    <w:rsid w:val="00781B6F"/>
    <w:rsid w:val="00781F9C"/>
    <w:rsid w:val="00782678"/>
    <w:rsid w:val="00782DFD"/>
    <w:rsid w:val="00782EE3"/>
    <w:rsid w:val="0078308D"/>
    <w:rsid w:val="007832C4"/>
    <w:rsid w:val="00783520"/>
    <w:rsid w:val="00783B30"/>
    <w:rsid w:val="00784255"/>
    <w:rsid w:val="0078484C"/>
    <w:rsid w:val="00784ADF"/>
    <w:rsid w:val="00784C36"/>
    <w:rsid w:val="00785474"/>
    <w:rsid w:val="00785B7B"/>
    <w:rsid w:val="00785D40"/>
    <w:rsid w:val="00786DF2"/>
    <w:rsid w:val="00787178"/>
    <w:rsid w:val="00787B99"/>
    <w:rsid w:val="00790521"/>
    <w:rsid w:val="00793222"/>
    <w:rsid w:val="007933C1"/>
    <w:rsid w:val="00793647"/>
    <w:rsid w:val="0079421C"/>
    <w:rsid w:val="00794E50"/>
    <w:rsid w:val="0079526D"/>
    <w:rsid w:val="00795A2C"/>
    <w:rsid w:val="00796241"/>
    <w:rsid w:val="007962B8"/>
    <w:rsid w:val="00796476"/>
    <w:rsid w:val="00796AB2"/>
    <w:rsid w:val="00796C02"/>
    <w:rsid w:val="00796D2B"/>
    <w:rsid w:val="00796F4B"/>
    <w:rsid w:val="00797390"/>
    <w:rsid w:val="00797DA9"/>
    <w:rsid w:val="007A02E6"/>
    <w:rsid w:val="007A0358"/>
    <w:rsid w:val="007A05B6"/>
    <w:rsid w:val="007A1015"/>
    <w:rsid w:val="007A1234"/>
    <w:rsid w:val="007A12F3"/>
    <w:rsid w:val="007A19A0"/>
    <w:rsid w:val="007A1C0A"/>
    <w:rsid w:val="007A1C59"/>
    <w:rsid w:val="007A2365"/>
    <w:rsid w:val="007A3C5E"/>
    <w:rsid w:val="007A427E"/>
    <w:rsid w:val="007A4780"/>
    <w:rsid w:val="007A4CCB"/>
    <w:rsid w:val="007A4CFC"/>
    <w:rsid w:val="007A52D4"/>
    <w:rsid w:val="007A5B41"/>
    <w:rsid w:val="007A67E7"/>
    <w:rsid w:val="007A788D"/>
    <w:rsid w:val="007A7B6E"/>
    <w:rsid w:val="007B05F8"/>
    <w:rsid w:val="007B066D"/>
    <w:rsid w:val="007B08F7"/>
    <w:rsid w:val="007B2718"/>
    <w:rsid w:val="007B2C37"/>
    <w:rsid w:val="007B2D6D"/>
    <w:rsid w:val="007B4341"/>
    <w:rsid w:val="007B4CB4"/>
    <w:rsid w:val="007B4CDD"/>
    <w:rsid w:val="007B58F3"/>
    <w:rsid w:val="007B67DC"/>
    <w:rsid w:val="007B6A65"/>
    <w:rsid w:val="007B6BEB"/>
    <w:rsid w:val="007B6C5D"/>
    <w:rsid w:val="007B7F1A"/>
    <w:rsid w:val="007C002A"/>
    <w:rsid w:val="007C0244"/>
    <w:rsid w:val="007C1A84"/>
    <w:rsid w:val="007C2752"/>
    <w:rsid w:val="007C31E2"/>
    <w:rsid w:val="007C37D8"/>
    <w:rsid w:val="007C5B4F"/>
    <w:rsid w:val="007C5CE1"/>
    <w:rsid w:val="007C6C39"/>
    <w:rsid w:val="007C6E3D"/>
    <w:rsid w:val="007C6F85"/>
    <w:rsid w:val="007C707D"/>
    <w:rsid w:val="007C7C5A"/>
    <w:rsid w:val="007C7D16"/>
    <w:rsid w:val="007D0328"/>
    <w:rsid w:val="007D1033"/>
    <w:rsid w:val="007D133B"/>
    <w:rsid w:val="007D14D8"/>
    <w:rsid w:val="007D16B1"/>
    <w:rsid w:val="007D18A5"/>
    <w:rsid w:val="007D19E4"/>
    <w:rsid w:val="007D1FB1"/>
    <w:rsid w:val="007D3AD0"/>
    <w:rsid w:val="007D4D2D"/>
    <w:rsid w:val="007D508B"/>
    <w:rsid w:val="007D5435"/>
    <w:rsid w:val="007D5642"/>
    <w:rsid w:val="007D5FCC"/>
    <w:rsid w:val="007D6B9F"/>
    <w:rsid w:val="007D6C08"/>
    <w:rsid w:val="007D6FC0"/>
    <w:rsid w:val="007D7400"/>
    <w:rsid w:val="007D7761"/>
    <w:rsid w:val="007D79FF"/>
    <w:rsid w:val="007E00EE"/>
    <w:rsid w:val="007E02A7"/>
    <w:rsid w:val="007E1FFC"/>
    <w:rsid w:val="007E25C0"/>
    <w:rsid w:val="007E32D1"/>
    <w:rsid w:val="007E3554"/>
    <w:rsid w:val="007E468A"/>
    <w:rsid w:val="007E4DD9"/>
    <w:rsid w:val="007E580F"/>
    <w:rsid w:val="007E77D5"/>
    <w:rsid w:val="007E7F4C"/>
    <w:rsid w:val="007F0A6F"/>
    <w:rsid w:val="007F0FAE"/>
    <w:rsid w:val="007F2A0B"/>
    <w:rsid w:val="007F2B59"/>
    <w:rsid w:val="007F2E51"/>
    <w:rsid w:val="007F2EA7"/>
    <w:rsid w:val="007F3018"/>
    <w:rsid w:val="007F47D0"/>
    <w:rsid w:val="007F5019"/>
    <w:rsid w:val="007F596D"/>
    <w:rsid w:val="007F5DD3"/>
    <w:rsid w:val="007F6514"/>
    <w:rsid w:val="007F6972"/>
    <w:rsid w:val="007F6AEF"/>
    <w:rsid w:val="007F6F60"/>
    <w:rsid w:val="007F707A"/>
    <w:rsid w:val="00800030"/>
    <w:rsid w:val="008024B2"/>
    <w:rsid w:val="008024FB"/>
    <w:rsid w:val="00802D1B"/>
    <w:rsid w:val="008036DC"/>
    <w:rsid w:val="008049C0"/>
    <w:rsid w:val="00804BED"/>
    <w:rsid w:val="0080530A"/>
    <w:rsid w:val="0080566D"/>
    <w:rsid w:val="0080583A"/>
    <w:rsid w:val="008060C3"/>
    <w:rsid w:val="008063A1"/>
    <w:rsid w:val="00806CE7"/>
    <w:rsid w:val="00807F00"/>
    <w:rsid w:val="00810747"/>
    <w:rsid w:val="008108E6"/>
    <w:rsid w:val="00810B82"/>
    <w:rsid w:val="00811024"/>
    <w:rsid w:val="00811D0D"/>
    <w:rsid w:val="008120D0"/>
    <w:rsid w:val="00812A23"/>
    <w:rsid w:val="00812A6B"/>
    <w:rsid w:val="00812BED"/>
    <w:rsid w:val="008134BD"/>
    <w:rsid w:val="0081364F"/>
    <w:rsid w:val="00814313"/>
    <w:rsid w:val="008143CC"/>
    <w:rsid w:val="00814656"/>
    <w:rsid w:val="00814687"/>
    <w:rsid w:val="00815EE6"/>
    <w:rsid w:val="00817C69"/>
    <w:rsid w:val="00817D81"/>
    <w:rsid w:val="00820884"/>
    <w:rsid w:val="00820E45"/>
    <w:rsid w:val="00820EC1"/>
    <w:rsid w:val="008214CA"/>
    <w:rsid w:val="00821704"/>
    <w:rsid w:val="00821E2C"/>
    <w:rsid w:val="0082221D"/>
    <w:rsid w:val="0082249D"/>
    <w:rsid w:val="00822835"/>
    <w:rsid w:val="00823A3E"/>
    <w:rsid w:val="00823F79"/>
    <w:rsid w:val="00824724"/>
    <w:rsid w:val="00824755"/>
    <w:rsid w:val="0082493B"/>
    <w:rsid w:val="00826384"/>
    <w:rsid w:val="00826758"/>
    <w:rsid w:val="008268C7"/>
    <w:rsid w:val="0082690F"/>
    <w:rsid w:val="00826E89"/>
    <w:rsid w:val="00827557"/>
    <w:rsid w:val="008276C3"/>
    <w:rsid w:val="00830622"/>
    <w:rsid w:val="00831223"/>
    <w:rsid w:val="008315A0"/>
    <w:rsid w:val="00831BFF"/>
    <w:rsid w:val="00831E34"/>
    <w:rsid w:val="0083293B"/>
    <w:rsid w:val="00833703"/>
    <w:rsid w:val="00833C1F"/>
    <w:rsid w:val="00834901"/>
    <w:rsid w:val="00834F9B"/>
    <w:rsid w:val="00835214"/>
    <w:rsid w:val="0083534B"/>
    <w:rsid w:val="008353E0"/>
    <w:rsid w:val="0083558D"/>
    <w:rsid w:val="00835AEC"/>
    <w:rsid w:val="00835B37"/>
    <w:rsid w:val="00835E9B"/>
    <w:rsid w:val="00836090"/>
    <w:rsid w:val="00836490"/>
    <w:rsid w:val="008365F0"/>
    <w:rsid w:val="0083764D"/>
    <w:rsid w:val="00837CF2"/>
    <w:rsid w:val="00840E12"/>
    <w:rsid w:val="00841534"/>
    <w:rsid w:val="0084270E"/>
    <w:rsid w:val="00842AB9"/>
    <w:rsid w:val="00842B4A"/>
    <w:rsid w:val="00845367"/>
    <w:rsid w:val="00845509"/>
    <w:rsid w:val="008457C1"/>
    <w:rsid w:val="008462F1"/>
    <w:rsid w:val="00846CD1"/>
    <w:rsid w:val="00846F57"/>
    <w:rsid w:val="008473B0"/>
    <w:rsid w:val="00847D7C"/>
    <w:rsid w:val="00850795"/>
    <w:rsid w:val="00850FA0"/>
    <w:rsid w:val="00850FDE"/>
    <w:rsid w:val="00851120"/>
    <w:rsid w:val="0085286D"/>
    <w:rsid w:val="00852876"/>
    <w:rsid w:val="008531F9"/>
    <w:rsid w:val="00853256"/>
    <w:rsid w:val="00853993"/>
    <w:rsid w:val="0085404D"/>
    <w:rsid w:val="00854057"/>
    <w:rsid w:val="008543F5"/>
    <w:rsid w:val="008550B4"/>
    <w:rsid w:val="00855274"/>
    <w:rsid w:val="00855280"/>
    <w:rsid w:val="00856256"/>
    <w:rsid w:val="00857059"/>
    <w:rsid w:val="008572C4"/>
    <w:rsid w:val="0085733E"/>
    <w:rsid w:val="00857A0D"/>
    <w:rsid w:val="0086029E"/>
    <w:rsid w:val="008604A8"/>
    <w:rsid w:val="00860754"/>
    <w:rsid w:val="00860FF9"/>
    <w:rsid w:val="00861AFA"/>
    <w:rsid w:val="00861E29"/>
    <w:rsid w:val="008626A0"/>
    <w:rsid w:val="008634BE"/>
    <w:rsid w:val="008639B5"/>
    <w:rsid w:val="00863C61"/>
    <w:rsid w:val="008642BC"/>
    <w:rsid w:val="00864A2F"/>
    <w:rsid w:val="00864DA0"/>
    <w:rsid w:val="00865522"/>
    <w:rsid w:val="008659E6"/>
    <w:rsid w:val="00865ADF"/>
    <w:rsid w:val="0086644C"/>
    <w:rsid w:val="008666B5"/>
    <w:rsid w:val="00867172"/>
    <w:rsid w:val="00867677"/>
    <w:rsid w:val="00867CEB"/>
    <w:rsid w:val="008703B3"/>
    <w:rsid w:val="00870B34"/>
    <w:rsid w:val="00870CFE"/>
    <w:rsid w:val="00870E9E"/>
    <w:rsid w:val="00871E86"/>
    <w:rsid w:val="008725F4"/>
    <w:rsid w:val="008736C2"/>
    <w:rsid w:val="00873E6F"/>
    <w:rsid w:val="0087442B"/>
    <w:rsid w:val="008755E0"/>
    <w:rsid w:val="00876985"/>
    <w:rsid w:val="008769AD"/>
    <w:rsid w:val="00877A12"/>
    <w:rsid w:val="00877A29"/>
    <w:rsid w:val="00877DE2"/>
    <w:rsid w:val="008806F5"/>
    <w:rsid w:val="0088187A"/>
    <w:rsid w:val="008818FC"/>
    <w:rsid w:val="00881C14"/>
    <w:rsid w:val="00882E4B"/>
    <w:rsid w:val="0088307C"/>
    <w:rsid w:val="00883780"/>
    <w:rsid w:val="0088387A"/>
    <w:rsid w:val="00883AB7"/>
    <w:rsid w:val="00883B99"/>
    <w:rsid w:val="00883CC7"/>
    <w:rsid w:val="00885066"/>
    <w:rsid w:val="008859A3"/>
    <w:rsid w:val="0088665E"/>
    <w:rsid w:val="00886835"/>
    <w:rsid w:val="008868AE"/>
    <w:rsid w:val="00887D70"/>
    <w:rsid w:val="0089007D"/>
    <w:rsid w:val="00891638"/>
    <w:rsid w:val="008917A9"/>
    <w:rsid w:val="00891958"/>
    <w:rsid w:val="00891F01"/>
    <w:rsid w:val="008923C8"/>
    <w:rsid w:val="008926C7"/>
    <w:rsid w:val="00892C79"/>
    <w:rsid w:val="00892D3D"/>
    <w:rsid w:val="00893260"/>
    <w:rsid w:val="008932A8"/>
    <w:rsid w:val="00894A9E"/>
    <w:rsid w:val="008950F6"/>
    <w:rsid w:val="008958BF"/>
    <w:rsid w:val="00895AF6"/>
    <w:rsid w:val="00896815"/>
    <w:rsid w:val="008972FB"/>
    <w:rsid w:val="0089730A"/>
    <w:rsid w:val="00897CF4"/>
    <w:rsid w:val="008A025B"/>
    <w:rsid w:val="008A0744"/>
    <w:rsid w:val="008A074A"/>
    <w:rsid w:val="008A0A6E"/>
    <w:rsid w:val="008A0B6B"/>
    <w:rsid w:val="008A0D0F"/>
    <w:rsid w:val="008A2BA0"/>
    <w:rsid w:val="008A2D5A"/>
    <w:rsid w:val="008A2FB3"/>
    <w:rsid w:val="008A398B"/>
    <w:rsid w:val="008A3D83"/>
    <w:rsid w:val="008A3D8E"/>
    <w:rsid w:val="008A44CD"/>
    <w:rsid w:val="008A5601"/>
    <w:rsid w:val="008A59AD"/>
    <w:rsid w:val="008A5F93"/>
    <w:rsid w:val="008A68FC"/>
    <w:rsid w:val="008A6BAB"/>
    <w:rsid w:val="008A72F6"/>
    <w:rsid w:val="008B0CE5"/>
    <w:rsid w:val="008B0EEB"/>
    <w:rsid w:val="008B13E4"/>
    <w:rsid w:val="008B2DA7"/>
    <w:rsid w:val="008B2E65"/>
    <w:rsid w:val="008B3035"/>
    <w:rsid w:val="008B33DA"/>
    <w:rsid w:val="008B36F4"/>
    <w:rsid w:val="008B4154"/>
    <w:rsid w:val="008B4A9C"/>
    <w:rsid w:val="008B51FD"/>
    <w:rsid w:val="008B52C0"/>
    <w:rsid w:val="008B5930"/>
    <w:rsid w:val="008B6035"/>
    <w:rsid w:val="008B6136"/>
    <w:rsid w:val="008B634E"/>
    <w:rsid w:val="008B7D72"/>
    <w:rsid w:val="008C04A1"/>
    <w:rsid w:val="008C1939"/>
    <w:rsid w:val="008C2EAF"/>
    <w:rsid w:val="008C2F7A"/>
    <w:rsid w:val="008C3396"/>
    <w:rsid w:val="008C3F32"/>
    <w:rsid w:val="008C4C1F"/>
    <w:rsid w:val="008C54FC"/>
    <w:rsid w:val="008C5794"/>
    <w:rsid w:val="008C5948"/>
    <w:rsid w:val="008C621C"/>
    <w:rsid w:val="008C645A"/>
    <w:rsid w:val="008C6719"/>
    <w:rsid w:val="008C697C"/>
    <w:rsid w:val="008C6EA4"/>
    <w:rsid w:val="008C719C"/>
    <w:rsid w:val="008C7397"/>
    <w:rsid w:val="008C75ED"/>
    <w:rsid w:val="008C75EE"/>
    <w:rsid w:val="008C7649"/>
    <w:rsid w:val="008D002E"/>
    <w:rsid w:val="008D0721"/>
    <w:rsid w:val="008D0A49"/>
    <w:rsid w:val="008D0F7D"/>
    <w:rsid w:val="008D17BB"/>
    <w:rsid w:val="008D26F6"/>
    <w:rsid w:val="008D3117"/>
    <w:rsid w:val="008D34DE"/>
    <w:rsid w:val="008D3639"/>
    <w:rsid w:val="008D466A"/>
    <w:rsid w:val="008D6161"/>
    <w:rsid w:val="008D63A3"/>
    <w:rsid w:val="008D63AB"/>
    <w:rsid w:val="008D66E3"/>
    <w:rsid w:val="008D722E"/>
    <w:rsid w:val="008D786F"/>
    <w:rsid w:val="008D7D5B"/>
    <w:rsid w:val="008E007E"/>
    <w:rsid w:val="008E0991"/>
    <w:rsid w:val="008E1BC0"/>
    <w:rsid w:val="008E2021"/>
    <w:rsid w:val="008E2815"/>
    <w:rsid w:val="008E2BC1"/>
    <w:rsid w:val="008E338E"/>
    <w:rsid w:val="008E3960"/>
    <w:rsid w:val="008E3E84"/>
    <w:rsid w:val="008E4006"/>
    <w:rsid w:val="008E474A"/>
    <w:rsid w:val="008E57FE"/>
    <w:rsid w:val="008E5C5D"/>
    <w:rsid w:val="008E6BB5"/>
    <w:rsid w:val="008E6FBA"/>
    <w:rsid w:val="008E749A"/>
    <w:rsid w:val="008E7AFB"/>
    <w:rsid w:val="008E7C62"/>
    <w:rsid w:val="008F065C"/>
    <w:rsid w:val="008F07CE"/>
    <w:rsid w:val="008F1690"/>
    <w:rsid w:val="008F2665"/>
    <w:rsid w:val="008F2ADF"/>
    <w:rsid w:val="008F2B4D"/>
    <w:rsid w:val="008F31A7"/>
    <w:rsid w:val="008F358D"/>
    <w:rsid w:val="008F38B0"/>
    <w:rsid w:val="008F38E9"/>
    <w:rsid w:val="008F47EC"/>
    <w:rsid w:val="008F4A5D"/>
    <w:rsid w:val="008F5341"/>
    <w:rsid w:val="008F6376"/>
    <w:rsid w:val="008F6921"/>
    <w:rsid w:val="008F6D87"/>
    <w:rsid w:val="008F7FDE"/>
    <w:rsid w:val="009019FB"/>
    <w:rsid w:val="00901BA4"/>
    <w:rsid w:val="009024EA"/>
    <w:rsid w:val="009031AC"/>
    <w:rsid w:val="009031E5"/>
    <w:rsid w:val="00903C04"/>
    <w:rsid w:val="00904C12"/>
    <w:rsid w:val="00904C45"/>
    <w:rsid w:val="0090532A"/>
    <w:rsid w:val="00905849"/>
    <w:rsid w:val="009058C2"/>
    <w:rsid w:val="00905B05"/>
    <w:rsid w:val="00906845"/>
    <w:rsid w:val="00906C65"/>
    <w:rsid w:val="009074B2"/>
    <w:rsid w:val="0090753C"/>
    <w:rsid w:val="00907919"/>
    <w:rsid w:val="009079F0"/>
    <w:rsid w:val="00907AE5"/>
    <w:rsid w:val="009105EC"/>
    <w:rsid w:val="00910764"/>
    <w:rsid w:val="00910B26"/>
    <w:rsid w:val="00911915"/>
    <w:rsid w:val="00911B66"/>
    <w:rsid w:val="009128B1"/>
    <w:rsid w:val="00912BAE"/>
    <w:rsid w:val="009136E7"/>
    <w:rsid w:val="00913F0A"/>
    <w:rsid w:val="0091447B"/>
    <w:rsid w:val="00914C4F"/>
    <w:rsid w:val="009152EC"/>
    <w:rsid w:val="00915330"/>
    <w:rsid w:val="009153DB"/>
    <w:rsid w:val="00916A00"/>
    <w:rsid w:val="00916E69"/>
    <w:rsid w:val="00917230"/>
    <w:rsid w:val="00917525"/>
    <w:rsid w:val="00917751"/>
    <w:rsid w:val="0091777D"/>
    <w:rsid w:val="00917CBC"/>
    <w:rsid w:val="0092057D"/>
    <w:rsid w:val="009218DE"/>
    <w:rsid w:val="00922990"/>
    <w:rsid w:val="00922D00"/>
    <w:rsid w:val="009233E6"/>
    <w:rsid w:val="00923BD5"/>
    <w:rsid w:val="00925262"/>
    <w:rsid w:val="009266DA"/>
    <w:rsid w:val="00926A4C"/>
    <w:rsid w:val="00926F0A"/>
    <w:rsid w:val="00927386"/>
    <w:rsid w:val="00927E78"/>
    <w:rsid w:val="00930677"/>
    <w:rsid w:val="00930B1A"/>
    <w:rsid w:val="00930C22"/>
    <w:rsid w:val="00930C3A"/>
    <w:rsid w:val="00930DE8"/>
    <w:rsid w:val="0093155F"/>
    <w:rsid w:val="009318DD"/>
    <w:rsid w:val="00931907"/>
    <w:rsid w:val="00933499"/>
    <w:rsid w:val="00933596"/>
    <w:rsid w:val="009335E5"/>
    <w:rsid w:val="00933F87"/>
    <w:rsid w:val="00934074"/>
    <w:rsid w:val="00934D1C"/>
    <w:rsid w:val="00935413"/>
    <w:rsid w:val="00935F5D"/>
    <w:rsid w:val="00935F67"/>
    <w:rsid w:val="009368E0"/>
    <w:rsid w:val="009379D5"/>
    <w:rsid w:val="00940536"/>
    <w:rsid w:val="009424CB"/>
    <w:rsid w:val="0094260B"/>
    <w:rsid w:val="00942661"/>
    <w:rsid w:val="00942823"/>
    <w:rsid w:val="00942A2B"/>
    <w:rsid w:val="00942DC5"/>
    <w:rsid w:val="00943CC7"/>
    <w:rsid w:val="009443CC"/>
    <w:rsid w:val="00945307"/>
    <w:rsid w:val="0094558D"/>
    <w:rsid w:val="00945AB1"/>
    <w:rsid w:val="00945E8A"/>
    <w:rsid w:val="00946FB8"/>
    <w:rsid w:val="00946FCE"/>
    <w:rsid w:val="009501C5"/>
    <w:rsid w:val="009515BC"/>
    <w:rsid w:val="00951C80"/>
    <w:rsid w:val="0095268B"/>
    <w:rsid w:val="0095360B"/>
    <w:rsid w:val="00953ED0"/>
    <w:rsid w:val="0095452E"/>
    <w:rsid w:val="0095487D"/>
    <w:rsid w:val="0095492E"/>
    <w:rsid w:val="00955157"/>
    <w:rsid w:val="00955C27"/>
    <w:rsid w:val="00955D72"/>
    <w:rsid w:val="00955F7D"/>
    <w:rsid w:val="00956845"/>
    <w:rsid w:val="00956AB9"/>
    <w:rsid w:val="00957678"/>
    <w:rsid w:val="00960357"/>
    <w:rsid w:val="009603C6"/>
    <w:rsid w:val="009604D5"/>
    <w:rsid w:val="00960523"/>
    <w:rsid w:val="00960FE3"/>
    <w:rsid w:val="00962135"/>
    <w:rsid w:val="00962247"/>
    <w:rsid w:val="0096242F"/>
    <w:rsid w:val="00962F84"/>
    <w:rsid w:val="00962FF5"/>
    <w:rsid w:val="00963EBB"/>
    <w:rsid w:val="009641DA"/>
    <w:rsid w:val="00964A4E"/>
    <w:rsid w:val="00964D50"/>
    <w:rsid w:val="009654D8"/>
    <w:rsid w:val="00965B02"/>
    <w:rsid w:val="00965C07"/>
    <w:rsid w:val="00965EFD"/>
    <w:rsid w:val="00965F24"/>
    <w:rsid w:val="009677E3"/>
    <w:rsid w:val="0096795A"/>
    <w:rsid w:val="00967F5F"/>
    <w:rsid w:val="00970C5B"/>
    <w:rsid w:val="00971847"/>
    <w:rsid w:val="009727F6"/>
    <w:rsid w:val="00972964"/>
    <w:rsid w:val="00973DDC"/>
    <w:rsid w:val="00975310"/>
    <w:rsid w:val="00975687"/>
    <w:rsid w:val="00975CBD"/>
    <w:rsid w:val="0097711B"/>
    <w:rsid w:val="0097735A"/>
    <w:rsid w:val="0097762F"/>
    <w:rsid w:val="00977878"/>
    <w:rsid w:val="00977EFC"/>
    <w:rsid w:val="00980DCD"/>
    <w:rsid w:val="00981618"/>
    <w:rsid w:val="009816B8"/>
    <w:rsid w:val="00981B9A"/>
    <w:rsid w:val="00981D05"/>
    <w:rsid w:val="009836B2"/>
    <w:rsid w:val="00984AB0"/>
    <w:rsid w:val="009860F4"/>
    <w:rsid w:val="00986C32"/>
    <w:rsid w:val="00987398"/>
    <w:rsid w:val="0098766F"/>
    <w:rsid w:val="00987B73"/>
    <w:rsid w:val="00990218"/>
    <w:rsid w:val="00990332"/>
    <w:rsid w:val="009905F1"/>
    <w:rsid w:val="00990F94"/>
    <w:rsid w:val="00991415"/>
    <w:rsid w:val="00991D52"/>
    <w:rsid w:val="00993912"/>
    <w:rsid w:val="00993DEC"/>
    <w:rsid w:val="00993FE4"/>
    <w:rsid w:val="00994050"/>
    <w:rsid w:val="009944E0"/>
    <w:rsid w:val="00994D73"/>
    <w:rsid w:val="009962CF"/>
    <w:rsid w:val="009979A5"/>
    <w:rsid w:val="00997CAB"/>
    <w:rsid w:val="009A1EC9"/>
    <w:rsid w:val="009A22EF"/>
    <w:rsid w:val="009A2DEE"/>
    <w:rsid w:val="009A304E"/>
    <w:rsid w:val="009A3DF7"/>
    <w:rsid w:val="009A458C"/>
    <w:rsid w:val="009A5815"/>
    <w:rsid w:val="009A5A2E"/>
    <w:rsid w:val="009A5BA1"/>
    <w:rsid w:val="009A5DB1"/>
    <w:rsid w:val="009A613B"/>
    <w:rsid w:val="009A675D"/>
    <w:rsid w:val="009A6EC4"/>
    <w:rsid w:val="009A76C1"/>
    <w:rsid w:val="009A7C5A"/>
    <w:rsid w:val="009A7E51"/>
    <w:rsid w:val="009A7E84"/>
    <w:rsid w:val="009B0A55"/>
    <w:rsid w:val="009B0CBF"/>
    <w:rsid w:val="009B1548"/>
    <w:rsid w:val="009B1DAE"/>
    <w:rsid w:val="009B1E0F"/>
    <w:rsid w:val="009B21B9"/>
    <w:rsid w:val="009B237D"/>
    <w:rsid w:val="009B23C8"/>
    <w:rsid w:val="009B28A7"/>
    <w:rsid w:val="009B2AA4"/>
    <w:rsid w:val="009B311B"/>
    <w:rsid w:val="009B38F6"/>
    <w:rsid w:val="009B396F"/>
    <w:rsid w:val="009B3ECF"/>
    <w:rsid w:val="009B470D"/>
    <w:rsid w:val="009B4A12"/>
    <w:rsid w:val="009B4CD0"/>
    <w:rsid w:val="009B4F5E"/>
    <w:rsid w:val="009B5327"/>
    <w:rsid w:val="009B58B5"/>
    <w:rsid w:val="009B7D96"/>
    <w:rsid w:val="009C0E3F"/>
    <w:rsid w:val="009C1A9E"/>
    <w:rsid w:val="009C21C6"/>
    <w:rsid w:val="009C2DD2"/>
    <w:rsid w:val="009C3112"/>
    <w:rsid w:val="009C383B"/>
    <w:rsid w:val="009C3A80"/>
    <w:rsid w:val="009C42C4"/>
    <w:rsid w:val="009C437D"/>
    <w:rsid w:val="009C459B"/>
    <w:rsid w:val="009C5033"/>
    <w:rsid w:val="009C50F6"/>
    <w:rsid w:val="009C5238"/>
    <w:rsid w:val="009C547B"/>
    <w:rsid w:val="009C5D13"/>
    <w:rsid w:val="009C7668"/>
    <w:rsid w:val="009D003E"/>
    <w:rsid w:val="009D0D65"/>
    <w:rsid w:val="009D12B4"/>
    <w:rsid w:val="009D2135"/>
    <w:rsid w:val="009D2FA7"/>
    <w:rsid w:val="009D2FCB"/>
    <w:rsid w:val="009D3CDA"/>
    <w:rsid w:val="009D449B"/>
    <w:rsid w:val="009D4CAE"/>
    <w:rsid w:val="009D4DD4"/>
    <w:rsid w:val="009D5348"/>
    <w:rsid w:val="009D54D5"/>
    <w:rsid w:val="009D552D"/>
    <w:rsid w:val="009D55F9"/>
    <w:rsid w:val="009D55FB"/>
    <w:rsid w:val="009D577A"/>
    <w:rsid w:val="009D5A11"/>
    <w:rsid w:val="009D5E43"/>
    <w:rsid w:val="009D6279"/>
    <w:rsid w:val="009D7155"/>
    <w:rsid w:val="009D7319"/>
    <w:rsid w:val="009D7760"/>
    <w:rsid w:val="009D7B13"/>
    <w:rsid w:val="009E012B"/>
    <w:rsid w:val="009E0DFD"/>
    <w:rsid w:val="009E16E6"/>
    <w:rsid w:val="009E1983"/>
    <w:rsid w:val="009E2125"/>
    <w:rsid w:val="009E27CA"/>
    <w:rsid w:val="009E2953"/>
    <w:rsid w:val="009E2CFF"/>
    <w:rsid w:val="009E30CE"/>
    <w:rsid w:val="009E35E0"/>
    <w:rsid w:val="009E3AE3"/>
    <w:rsid w:val="009E5794"/>
    <w:rsid w:val="009E6C24"/>
    <w:rsid w:val="009E7077"/>
    <w:rsid w:val="009F0376"/>
    <w:rsid w:val="009F04C3"/>
    <w:rsid w:val="009F0760"/>
    <w:rsid w:val="009F1434"/>
    <w:rsid w:val="009F15BA"/>
    <w:rsid w:val="009F1708"/>
    <w:rsid w:val="009F23C5"/>
    <w:rsid w:val="009F359F"/>
    <w:rsid w:val="009F3EFC"/>
    <w:rsid w:val="009F4C07"/>
    <w:rsid w:val="009F51B6"/>
    <w:rsid w:val="009F5416"/>
    <w:rsid w:val="009F66C6"/>
    <w:rsid w:val="009F6815"/>
    <w:rsid w:val="009F7044"/>
    <w:rsid w:val="009F7314"/>
    <w:rsid w:val="009F7834"/>
    <w:rsid w:val="009F7BA6"/>
    <w:rsid w:val="00A00057"/>
    <w:rsid w:val="00A00485"/>
    <w:rsid w:val="00A007E0"/>
    <w:rsid w:val="00A00DE8"/>
    <w:rsid w:val="00A01138"/>
    <w:rsid w:val="00A01999"/>
    <w:rsid w:val="00A01A5F"/>
    <w:rsid w:val="00A02C96"/>
    <w:rsid w:val="00A02CEE"/>
    <w:rsid w:val="00A02E65"/>
    <w:rsid w:val="00A03323"/>
    <w:rsid w:val="00A0340A"/>
    <w:rsid w:val="00A03C0C"/>
    <w:rsid w:val="00A0440C"/>
    <w:rsid w:val="00A0585F"/>
    <w:rsid w:val="00A0686B"/>
    <w:rsid w:val="00A0694A"/>
    <w:rsid w:val="00A06BFD"/>
    <w:rsid w:val="00A06C1E"/>
    <w:rsid w:val="00A072C3"/>
    <w:rsid w:val="00A07928"/>
    <w:rsid w:val="00A10955"/>
    <w:rsid w:val="00A10A30"/>
    <w:rsid w:val="00A1137C"/>
    <w:rsid w:val="00A113D7"/>
    <w:rsid w:val="00A11603"/>
    <w:rsid w:val="00A11F0F"/>
    <w:rsid w:val="00A135FF"/>
    <w:rsid w:val="00A14E37"/>
    <w:rsid w:val="00A1537C"/>
    <w:rsid w:val="00A16126"/>
    <w:rsid w:val="00A16E21"/>
    <w:rsid w:val="00A17128"/>
    <w:rsid w:val="00A20220"/>
    <w:rsid w:val="00A202C3"/>
    <w:rsid w:val="00A213C9"/>
    <w:rsid w:val="00A22D0C"/>
    <w:rsid w:val="00A22F50"/>
    <w:rsid w:val="00A232BB"/>
    <w:rsid w:val="00A237B2"/>
    <w:rsid w:val="00A23EF5"/>
    <w:rsid w:val="00A24133"/>
    <w:rsid w:val="00A241C7"/>
    <w:rsid w:val="00A245EE"/>
    <w:rsid w:val="00A25124"/>
    <w:rsid w:val="00A25E6F"/>
    <w:rsid w:val="00A26261"/>
    <w:rsid w:val="00A262BF"/>
    <w:rsid w:val="00A26C78"/>
    <w:rsid w:val="00A27113"/>
    <w:rsid w:val="00A277FF"/>
    <w:rsid w:val="00A27809"/>
    <w:rsid w:val="00A27E82"/>
    <w:rsid w:val="00A30186"/>
    <w:rsid w:val="00A30AB1"/>
    <w:rsid w:val="00A30EFA"/>
    <w:rsid w:val="00A31209"/>
    <w:rsid w:val="00A312EC"/>
    <w:rsid w:val="00A317B0"/>
    <w:rsid w:val="00A31956"/>
    <w:rsid w:val="00A31D25"/>
    <w:rsid w:val="00A32780"/>
    <w:rsid w:val="00A327DA"/>
    <w:rsid w:val="00A3290F"/>
    <w:rsid w:val="00A32BEF"/>
    <w:rsid w:val="00A32D12"/>
    <w:rsid w:val="00A335D9"/>
    <w:rsid w:val="00A33746"/>
    <w:rsid w:val="00A33A8E"/>
    <w:rsid w:val="00A33D46"/>
    <w:rsid w:val="00A33DD7"/>
    <w:rsid w:val="00A34186"/>
    <w:rsid w:val="00A34591"/>
    <w:rsid w:val="00A346F9"/>
    <w:rsid w:val="00A3473D"/>
    <w:rsid w:val="00A348CD"/>
    <w:rsid w:val="00A34E44"/>
    <w:rsid w:val="00A352A2"/>
    <w:rsid w:val="00A359EB"/>
    <w:rsid w:val="00A3639D"/>
    <w:rsid w:val="00A3640F"/>
    <w:rsid w:val="00A379EA"/>
    <w:rsid w:val="00A37D57"/>
    <w:rsid w:val="00A37DE5"/>
    <w:rsid w:val="00A40317"/>
    <w:rsid w:val="00A406EB"/>
    <w:rsid w:val="00A4089B"/>
    <w:rsid w:val="00A40A73"/>
    <w:rsid w:val="00A40CE2"/>
    <w:rsid w:val="00A41B5B"/>
    <w:rsid w:val="00A41BAD"/>
    <w:rsid w:val="00A41CDD"/>
    <w:rsid w:val="00A41E3A"/>
    <w:rsid w:val="00A41F47"/>
    <w:rsid w:val="00A42E8E"/>
    <w:rsid w:val="00A433F2"/>
    <w:rsid w:val="00A43770"/>
    <w:rsid w:val="00A4398C"/>
    <w:rsid w:val="00A43C1F"/>
    <w:rsid w:val="00A43C39"/>
    <w:rsid w:val="00A4710F"/>
    <w:rsid w:val="00A47176"/>
    <w:rsid w:val="00A4734E"/>
    <w:rsid w:val="00A475C5"/>
    <w:rsid w:val="00A4768C"/>
    <w:rsid w:val="00A50651"/>
    <w:rsid w:val="00A509F6"/>
    <w:rsid w:val="00A50A68"/>
    <w:rsid w:val="00A50D3B"/>
    <w:rsid w:val="00A50DD6"/>
    <w:rsid w:val="00A51530"/>
    <w:rsid w:val="00A51624"/>
    <w:rsid w:val="00A517F8"/>
    <w:rsid w:val="00A518AA"/>
    <w:rsid w:val="00A526FD"/>
    <w:rsid w:val="00A52CA3"/>
    <w:rsid w:val="00A535CE"/>
    <w:rsid w:val="00A55855"/>
    <w:rsid w:val="00A55B60"/>
    <w:rsid w:val="00A56348"/>
    <w:rsid w:val="00A564D4"/>
    <w:rsid w:val="00A56644"/>
    <w:rsid w:val="00A5684B"/>
    <w:rsid w:val="00A5703F"/>
    <w:rsid w:val="00A57391"/>
    <w:rsid w:val="00A57728"/>
    <w:rsid w:val="00A5774A"/>
    <w:rsid w:val="00A57D39"/>
    <w:rsid w:val="00A57D76"/>
    <w:rsid w:val="00A57E53"/>
    <w:rsid w:val="00A60998"/>
    <w:rsid w:val="00A61145"/>
    <w:rsid w:val="00A611B5"/>
    <w:rsid w:val="00A6245F"/>
    <w:rsid w:val="00A63198"/>
    <w:rsid w:val="00A65316"/>
    <w:rsid w:val="00A658DE"/>
    <w:rsid w:val="00A6682F"/>
    <w:rsid w:val="00A67311"/>
    <w:rsid w:val="00A7030E"/>
    <w:rsid w:val="00A70377"/>
    <w:rsid w:val="00A70581"/>
    <w:rsid w:val="00A70F69"/>
    <w:rsid w:val="00A715BA"/>
    <w:rsid w:val="00A72611"/>
    <w:rsid w:val="00A727B0"/>
    <w:rsid w:val="00A73588"/>
    <w:rsid w:val="00A73ABB"/>
    <w:rsid w:val="00A74342"/>
    <w:rsid w:val="00A7463A"/>
    <w:rsid w:val="00A750C2"/>
    <w:rsid w:val="00A7591A"/>
    <w:rsid w:val="00A75FB6"/>
    <w:rsid w:val="00A762FE"/>
    <w:rsid w:val="00A764C0"/>
    <w:rsid w:val="00A76815"/>
    <w:rsid w:val="00A76D2C"/>
    <w:rsid w:val="00A76EAB"/>
    <w:rsid w:val="00A77746"/>
    <w:rsid w:val="00A8014A"/>
    <w:rsid w:val="00A806AA"/>
    <w:rsid w:val="00A80D71"/>
    <w:rsid w:val="00A8141D"/>
    <w:rsid w:val="00A81621"/>
    <w:rsid w:val="00A82E45"/>
    <w:rsid w:val="00A83BF6"/>
    <w:rsid w:val="00A8477A"/>
    <w:rsid w:val="00A850EF"/>
    <w:rsid w:val="00A8538C"/>
    <w:rsid w:val="00A85651"/>
    <w:rsid w:val="00A85A7F"/>
    <w:rsid w:val="00A86EFA"/>
    <w:rsid w:val="00A872E5"/>
    <w:rsid w:val="00A87411"/>
    <w:rsid w:val="00A87F31"/>
    <w:rsid w:val="00A90D27"/>
    <w:rsid w:val="00A9103B"/>
    <w:rsid w:val="00A91284"/>
    <w:rsid w:val="00A918A7"/>
    <w:rsid w:val="00A91AA4"/>
    <w:rsid w:val="00A92403"/>
    <w:rsid w:val="00A92871"/>
    <w:rsid w:val="00A92C70"/>
    <w:rsid w:val="00A931A9"/>
    <w:rsid w:val="00A94112"/>
    <w:rsid w:val="00A94DAE"/>
    <w:rsid w:val="00A9513F"/>
    <w:rsid w:val="00A955EB"/>
    <w:rsid w:val="00A9635E"/>
    <w:rsid w:val="00A96F7E"/>
    <w:rsid w:val="00A9702B"/>
    <w:rsid w:val="00A9718E"/>
    <w:rsid w:val="00AA0262"/>
    <w:rsid w:val="00AA085A"/>
    <w:rsid w:val="00AA1F49"/>
    <w:rsid w:val="00AA209E"/>
    <w:rsid w:val="00AA28FA"/>
    <w:rsid w:val="00AA3A2E"/>
    <w:rsid w:val="00AA3BB9"/>
    <w:rsid w:val="00AA4099"/>
    <w:rsid w:val="00AA4524"/>
    <w:rsid w:val="00AA46AA"/>
    <w:rsid w:val="00AA55EC"/>
    <w:rsid w:val="00AA5CA3"/>
    <w:rsid w:val="00AA5EE1"/>
    <w:rsid w:val="00AA681F"/>
    <w:rsid w:val="00AA6913"/>
    <w:rsid w:val="00AB0B23"/>
    <w:rsid w:val="00AB2190"/>
    <w:rsid w:val="00AB3020"/>
    <w:rsid w:val="00AB39EB"/>
    <w:rsid w:val="00AB3BAD"/>
    <w:rsid w:val="00AB3DA3"/>
    <w:rsid w:val="00AB3E59"/>
    <w:rsid w:val="00AB3F27"/>
    <w:rsid w:val="00AB3FD9"/>
    <w:rsid w:val="00AB43B1"/>
    <w:rsid w:val="00AB4E11"/>
    <w:rsid w:val="00AB5082"/>
    <w:rsid w:val="00AB515D"/>
    <w:rsid w:val="00AB60D0"/>
    <w:rsid w:val="00AB7954"/>
    <w:rsid w:val="00AB7DE7"/>
    <w:rsid w:val="00AC014F"/>
    <w:rsid w:val="00AC0A3B"/>
    <w:rsid w:val="00AC1BE7"/>
    <w:rsid w:val="00AC1E84"/>
    <w:rsid w:val="00AC275F"/>
    <w:rsid w:val="00AC33E4"/>
    <w:rsid w:val="00AC3978"/>
    <w:rsid w:val="00AC4F99"/>
    <w:rsid w:val="00AC50A4"/>
    <w:rsid w:val="00AC52B0"/>
    <w:rsid w:val="00AC543A"/>
    <w:rsid w:val="00AC5A95"/>
    <w:rsid w:val="00AC5DA9"/>
    <w:rsid w:val="00AC6074"/>
    <w:rsid w:val="00AC6471"/>
    <w:rsid w:val="00AC6728"/>
    <w:rsid w:val="00AC7054"/>
    <w:rsid w:val="00AC70DB"/>
    <w:rsid w:val="00AC78FA"/>
    <w:rsid w:val="00AD0047"/>
    <w:rsid w:val="00AD0675"/>
    <w:rsid w:val="00AD0F5A"/>
    <w:rsid w:val="00AD1035"/>
    <w:rsid w:val="00AD109C"/>
    <w:rsid w:val="00AD1751"/>
    <w:rsid w:val="00AD19B3"/>
    <w:rsid w:val="00AD20C0"/>
    <w:rsid w:val="00AD2468"/>
    <w:rsid w:val="00AD2580"/>
    <w:rsid w:val="00AD2B6E"/>
    <w:rsid w:val="00AD2C75"/>
    <w:rsid w:val="00AD2F09"/>
    <w:rsid w:val="00AD30B2"/>
    <w:rsid w:val="00AD3443"/>
    <w:rsid w:val="00AD357C"/>
    <w:rsid w:val="00AD3EDE"/>
    <w:rsid w:val="00AD4B3C"/>
    <w:rsid w:val="00AD4DE5"/>
    <w:rsid w:val="00AD538C"/>
    <w:rsid w:val="00AD5F5E"/>
    <w:rsid w:val="00AD64D9"/>
    <w:rsid w:val="00AD6836"/>
    <w:rsid w:val="00AD68A5"/>
    <w:rsid w:val="00AD6B0F"/>
    <w:rsid w:val="00AD77D0"/>
    <w:rsid w:val="00AE068F"/>
    <w:rsid w:val="00AE185D"/>
    <w:rsid w:val="00AE1BFE"/>
    <w:rsid w:val="00AE209E"/>
    <w:rsid w:val="00AE284F"/>
    <w:rsid w:val="00AE31F4"/>
    <w:rsid w:val="00AE3842"/>
    <w:rsid w:val="00AE3D83"/>
    <w:rsid w:val="00AE485C"/>
    <w:rsid w:val="00AE4A2B"/>
    <w:rsid w:val="00AE5973"/>
    <w:rsid w:val="00AE5C7D"/>
    <w:rsid w:val="00AE6376"/>
    <w:rsid w:val="00AE7D4F"/>
    <w:rsid w:val="00AE7FE4"/>
    <w:rsid w:val="00AF17D3"/>
    <w:rsid w:val="00AF1D77"/>
    <w:rsid w:val="00AF2551"/>
    <w:rsid w:val="00AF2839"/>
    <w:rsid w:val="00AF2D6A"/>
    <w:rsid w:val="00AF35FC"/>
    <w:rsid w:val="00AF37D5"/>
    <w:rsid w:val="00AF38BA"/>
    <w:rsid w:val="00AF3C21"/>
    <w:rsid w:val="00AF44B9"/>
    <w:rsid w:val="00AF4BB7"/>
    <w:rsid w:val="00AF4F67"/>
    <w:rsid w:val="00AF5811"/>
    <w:rsid w:val="00AF6509"/>
    <w:rsid w:val="00AF65A2"/>
    <w:rsid w:val="00B0073D"/>
    <w:rsid w:val="00B009A7"/>
    <w:rsid w:val="00B00BBE"/>
    <w:rsid w:val="00B01730"/>
    <w:rsid w:val="00B02371"/>
    <w:rsid w:val="00B02CB9"/>
    <w:rsid w:val="00B02D97"/>
    <w:rsid w:val="00B030B2"/>
    <w:rsid w:val="00B0336F"/>
    <w:rsid w:val="00B03F6F"/>
    <w:rsid w:val="00B04350"/>
    <w:rsid w:val="00B04390"/>
    <w:rsid w:val="00B0456E"/>
    <w:rsid w:val="00B0469D"/>
    <w:rsid w:val="00B04C7E"/>
    <w:rsid w:val="00B06A05"/>
    <w:rsid w:val="00B06BF6"/>
    <w:rsid w:val="00B06F7F"/>
    <w:rsid w:val="00B070E0"/>
    <w:rsid w:val="00B07513"/>
    <w:rsid w:val="00B0766E"/>
    <w:rsid w:val="00B100F0"/>
    <w:rsid w:val="00B11373"/>
    <w:rsid w:val="00B11A13"/>
    <w:rsid w:val="00B1251E"/>
    <w:rsid w:val="00B12D87"/>
    <w:rsid w:val="00B139CA"/>
    <w:rsid w:val="00B1402E"/>
    <w:rsid w:val="00B1449B"/>
    <w:rsid w:val="00B1470A"/>
    <w:rsid w:val="00B14B85"/>
    <w:rsid w:val="00B152C2"/>
    <w:rsid w:val="00B15A7A"/>
    <w:rsid w:val="00B15CCE"/>
    <w:rsid w:val="00B15F09"/>
    <w:rsid w:val="00B16C55"/>
    <w:rsid w:val="00B17205"/>
    <w:rsid w:val="00B17C67"/>
    <w:rsid w:val="00B206E8"/>
    <w:rsid w:val="00B21D50"/>
    <w:rsid w:val="00B2206C"/>
    <w:rsid w:val="00B22300"/>
    <w:rsid w:val="00B22A70"/>
    <w:rsid w:val="00B22F9B"/>
    <w:rsid w:val="00B23747"/>
    <w:rsid w:val="00B24090"/>
    <w:rsid w:val="00B2414B"/>
    <w:rsid w:val="00B25402"/>
    <w:rsid w:val="00B255E7"/>
    <w:rsid w:val="00B25734"/>
    <w:rsid w:val="00B257E3"/>
    <w:rsid w:val="00B260C7"/>
    <w:rsid w:val="00B273BD"/>
    <w:rsid w:val="00B27494"/>
    <w:rsid w:val="00B279B9"/>
    <w:rsid w:val="00B27A52"/>
    <w:rsid w:val="00B27C66"/>
    <w:rsid w:val="00B309B0"/>
    <w:rsid w:val="00B31426"/>
    <w:rsid w:val="00B31A0F"/>
    <w:rsid w:val="00B3205B"/>
    <w:rsid w:val="00B3227C"/>
    <w:rsid w:val="00B32722"/>
    <w:rsid w:val="00B328AD"/>
    <w:rsid w:val="00B32F72"/>
    <w:rsid w:val="00B330C2"/>
    <w:rsid w:val="00B33258"/>
    <w:rsid w:val="00B33991"/>
    <w:rsid w:val="00B33F56"/>
    <w:rsid w:val="00B344AF"/>
    <w:rsid w:val="00B34A4A"/>
    <w:rsid w:val="00B34F48"/>
    <w:rsid w:val="00B3508F"/>
    <w:rsid w:val="00B35567"/>
    <w:rsid w:val="00B36472"/>
    <w:rsid w:val="00B366B8"/>
    <w:rsid w:val="00B3683D"/>
    <w:rsid w:val="00B37421"/>
    <w:rsid w:val="00B40CDF"/>
    <w:rsid w:val="00B41752"/>
    <w:rsid w:val="00B4212F"/>
    <w:rsid w:val="00B4231B"/>
    <w:rsid w:val="00B443E4"/>
    <w:rsid w:val="00B449F1"/>
    <w:rsid w:val="00B464BE"/>
    <w:rsid w:val="00B46519"/>
    <w:rsid w:val="00B468E0"/>
    <w:rsid w:val="00B46A5B"/>
    <w:rsid w:val="00B46AEF"/>
    <w:rsid w:val="00B47682"/>
    <w:rsid w:val="00B476F4"/>
    <w:rsid w:val="00B519E9"/>
    <w:rsid w:val="00B51BA0"/>
    <w:rsid w:val="00B51C51"/>
    <w:rsid w:val="00B52AC0"/>
    <w:rsid w:val="00B52E68"/>
    <w:rsid w:val="00B534B6"/>
    <w:rsid w:val="00B535BD"/>
    <w:rsid w:val="00B53701"/>
    <w:rsid w:val="00B53DC4"/>
    <w:rsid w:val="00B54CAB"/>
    <w:rsid w:val="00B54D47"/>
    <w:rsid w:val="00B55702"/>
    <w:rsid w:val="00B5657D"/>
    <w:rsid w:val="00B56A26"/>
    <w:rsid w:val="00B6023E"/>
    <w:rsid w:val="00B60ED9"/>
    <w:rsid w:val="00B6110A"/>
    <w:rsid w:val="00B6176A"/>
    <w:rsid w:val="00B62EBA"/>
    <w:rsid w:val="00B6301A"/>
    <w:rsid w:val="00B6335E"/>
    <w:rsid w:val="00B634A9"/>
    <w:rsid w:val="00B6366E"/>
    <w:rsid w:val="00B63B84"/>
    <w:rsid w:val="00B63F73"/>
    <w:rsid w:val="00B64CAD"/>
    <w:rsid w:val="00B64F41"/>
    <w:rsid w:val="00B64F9E"/>
    <w:rsid w:val="00B65011"/>
    <w:rsid w:val="00B65374"/>
    <w:rsid w:val="00B65AEC"/>
    <w:rsid w:val="00B66751"/>
    <w:rsid w:val="00B675D6"/>
    <w:rsid w:val="00B67AA6"/>
    <w:rsid w:val="00B67BAB"/>
    <w:rsid w:val="00B67E07"/>
    <w:rsid w:val="00B70054"/>
    <w:rsid w:val="00B7066C"/>
    <w:rsid w:val="00B717D8"/>
    <w:rsid w:val="00B71B54"/>
    <w:rsid w:val="00B71E4E"/>
    <w:rsid w:val="00B722B6"/>
    <w:rsid w:val="00B72331"/>
    <w:rsid w:val="00B72B30"/>
    <w:rsid w:val="00B72DF3"/>
    <w:rsid w:val="00B74146"/>
    <w:rsid w:val="00B755DF"/>
    <w:rsid w:val="00B755F8"/>
    <w:rsid w:val="00B755FC"/>
    <w:rsid w:val="00B766C1"/>
    <w:rsid w:val="00B766E2"/>
    <w:rsid w:val="00B76F6C"/>
    <w:rsid w:val="00B7759B"/>
    <w:rsid w:val="00B8080B"/>
    <w:rsid w:val="00B80A97"/>
    <w:rsid w:val="00B811EF"/>
    <w:rsid w:val="00B81BF4"/>
    <w:rsid w:val="00B81CE5"/>
    <w:rsid w:val="00B82079"/>
    <w:rsid w:val="00B830FD"/>
    <w:rsid w:val="00B83638"/>
    <w:rsid w:val="00B83E48"/>
    <w:rsid w:val="00B84E25"/>
    <w:rsid w:val="00B858FD"/>
    <w:rsid w:val="00B85D93"/>
    <w:rsid w:val="00B8611F"/>
    <w:rsid w:val="00B86221"/>
    <w:rsid w:val="00B865C4"/>
    <w:rsid w:val="00B86DA2"/>
    <w:rsid w:val="00B86EF1"/>
    <w:rsid w:val="00B8750B"/>
    <w:rsid w:val="00B87583"/>
    <w:rsid w:val="00B87B3E"/>
    <w:rsid w:val="00B87D2A"/>
    <w:rsid w:val="00B90674"/>
    <w:rsid w:val="00B90711"/>
    <w:rsid w:val="00B921E5"/>
    <w:rsid w:val="00B9250E"/>
    <w:rsid w:val="00B92ABB"/>
    <w:rsid w:val="00B93FF9"/>
    <w:rsid w:val="00B94323"/>
    <w:rsid w:val="00B943C1"/>
    <w:rsid w:val="00B94E3F"/>
    <w:rsid w:val="00B951A2"/>
    <w:rsid w:val="00B9521F"/>
    <w:rsid w:val="00B961B7"/>
    <w:rsid w:val="00B963D4"/>
    <w:rsid w:val="00B9772B"/>
    <w:rsid w:val="00B97E1B"/>
    <w:rsid w:val="00BA0164"/>
    <w:rsid w:val="00BA0D31"/>
    <w:rsid w:val="00BA1F3C"/>
    <w:rsid w:val="00BA2135"/>
    <w:rsid w:val="00BA2406"/>
    <w:rsid w:val="00BA2DEF"/>
    <w:rsid w:val="00BA3704"/>
    <w:rsid w:val="00BA42FB"/>
    <w:rsid w:val="00BA516F"/>
    <w:rsid w:val="00BA5556"/>
    <w:rsid w:val="00BA5AF9"/>
    <w:rsid w:val="00BA5B8E"/>
    <w:rsid w:val="00BA5D26"/>
    <w:rsid w:val="00BA5EB0"/>
    <w:rsid w:val="00BA628C"/>
    <w:rsid w:val="00BA648D"/>
    <w:rsid w:val="00BA64BD"/>
    <w:rsid w:val="00BA6710"/>
    <w:rsid w:val="00BA6F7D"/>
    <w:rsid w:val="00BA7059"/>
    <w:rsid w:val="00BA7649"/>
    <w:rsid w:val="00BA7AD1"/>
    <w:rsid w:val="00BB0051"/>
    <w:rsid w:val="00BB02C6"/>
    <w:rsid w:val="00BB0DB6"/>
    <w:rsid w:val="00BB1082"/>
    <w:rsid w:val="00BB2127"/>
    <w:rsid w:val="00BB2387"/>
    <w:rsid w:val="00BB2442"/>
    <w:rsid w:val="00BB3342"/>
    <w:rsid w:val="00BB3805"/>
    <w:rsid w:val="00BB3EE3"/>
    <w:rsid w:val="00BB52A5"/>
    <w:rsid w:val="00BB54B6"/>
    <w:rsid w:val="00BB5809"/>
    <w:rsid w:val="00BB5AE9"/>
    <w:rsid w:val="00BB6740"/>
    <w:rsid w:val="00BB6B07"/>
    <w:rsid w:val="00BB6C80"/>
    <w:rsid w:val="00BB709A"/>
    <w:rsid w:val="00BB7D13"/>
    <w:rsid w:val="00BB7EA1"/>
    <w:rsid w:val="00BB7F81"/>
    <w:rsid w:val="00BC197F"/>
    <w:rsid w:val="00BC1ADD"/>
    <w:rsid w:val="00BC2467"/>
    <w:rsid w:val="00BC269B"/>
    <w:rsid w:val="00BC27D2"/>
    <w:rsid w:val="00BC2AB1"/>
    <w:rsid w:val="00BC35C1"/>
    <w:rsid w:val="00BC3648"/>
    <w:rsid w:val="00BC44BB"/>
    <w:rsid w:val="00BC52DA"/>
    <w:rsid w:val="00BC56D7"/>
    <w:rsid w:val="00BC5B97"/>
    <w:rsid w:val="00BC648D"/>
    <w:rsid w:val="00BC7633"/>
    <w:rsid w:val="00BC7986"/>
    <w:rsid w:val="00BC7CD5"/>
    <w:rsid w:val="00BD3416"/>
    <w:rsid w:val="00BD3439"/>
    <w:rsid w:val="00BD35E1"/>
    <w:rsid w:val="00BD387F"/>
    <w:rsid w:val="00BD4026"/>
    <w:rsid w:val="00BD4E9F"/>
    <w:rsid w:val="00BD54FC"/>
    <w:rsid w:val="00BD60DE"/>
    <w:rsid w:val="00BD63C3"/>
    <w:rsid w:val="00BD63E6"/>
    <w:rsid w:val="00BD7521"/>
    <w:rsid w:val="00BD76A4"/>
    <w:rsid w:val="00BD7939"/>
    <w:rsid w:val="00BD7BCA"/>
    <w:rsid w:val="00BD7DEE"/>
    <w:rsid w:val="00BE0EC6"/>
    <w:rsid w:val="00BE0F43"/>
    <w:rsid w:val="00BE1C8A"/>
    <w:rsid w:val="00BE20D1"/>
    <w:rsid w:val="00BE2286"/>
    <w:rsid w:val="00BE2723"/>
    <w:rsid w:val="00BE2DD3"/>
    <w:rsid w:val="00BE4857"/>
    <w:rsid w:val="00BE4ACF"/>
    <w:rsid w:val="00BE5847"/>
    <w:rsid w:val="00BE5BE0"/>
    <w:rsid w:val="00BE70E8"/>
    <w:rsid w:val="00BE78E5"/>
    <w:rsid w:val="00BF00C0"/>
    <w:rsid w:val="00BF0E76"/>
    <w:rsid w:val="00BF1A56"/>
    <w:rsid w:val="00BF1BDA"/>
    <w:rsid w:val="00BF272B"/>
    <w:rsid w:val="00BF2B3E"/>
    <w:rsid w:val="00BF2BBD"/>
    <w:rsid w:val="00BF2DAF"/>
    <w:rsid w:val="00BF37EF"/>
    <w:rsid w:val="00BF4635"/>
    <w:rsid w:val="00BF4936"/>
    <w:rsid w:val="00BF4B37"/>
    <w:rsid w:val="00BF4C59"/>
    <w:rsid w:val="00BF4E1B"/>
    <w:rsid w:val="00BF5F73"/>
    <w:rsid w:val="00BF5F98"/>
    <w:rsid w:val="00BF733B"/>
    <w:rsid w:val="00BF75CC"/>
    <w:rsid w:val="00C029D9"/>
    <w:rsid w:val="00C038E6"/>
    <w:rsid w:val="00C04516"/>
    <w:rsid w:val="00C0480F"/>
    <w:rsid w:val="00C04E4F"/>
    <w:rsid w:val="00C04F20"/>
    <w:rsid w:val="00C06916"/>
    <w:rsid w:val="00C06CE8"/>
    <w:rsid w:val="00C06CF0"/>
    <w:rsid w:val="00C1043C"/>
    <w:rsid w:val="00C1083B"/>
    <w:rsid w:val="00C115C8"/>
    <w:rsid w:val="00C12358"/>
    <w:rsid w:val="00C12A51"/>
    <w:rsid w:val="00C12D06"/>
    <w:rsid w:val="00C130B0"/>
    <w:rsid w:val="00C134DB"/>
    <w:rsid w:val="00C14079"/>
    <w:rsid w:val="00C14E2A"/>
    <w:rsid w:val="00C1535F"/>
    <w:rsid w:val="00C15495"/>
    <w:rsid w:val="00C1591E"/>
    <w:rsid w:val="00C163C5"/>
    <w:rsid w:val="00C17169"/>
    <w:rsid w:val="00C1796E"/>
    <w:rsid w:val="00C20C2D"/>
    <w:rsid w:val="00C20D36"/>
    <w:rsid w:val="00C21038"/>
    <w:rsid w:val="00C215D8"/>
    <w:rsid w:val="00C217FA"/>
    <w:rsid w:val="00C21A6B"/>
    <w:rsid w:val="00C21B09"/>
    <w:rsid w:val="00C21F67"/>
    <w:rsid w:val="00C22F01"/>
    <w:rsid w:val="00C2303E"/>
    <w:rsid w:val="00C2396B"/>
    <w:rsid w:val="00C239A0"/>
    <w:rsid w:val="00C2402C"/>
    <w:rsid w:val="00C243CB"/>
    <w:rsid w:val="00C2455F"/>
    <w:rsid w:val="00C267A4"/>
    <w:rsid w:val="00C276E3"/>
    <w:rsid w:val="00C27AD1"/>
    <w:rsid w:val="00C30129"/>
    <w:rsid w:val="00C30265"/>
    <w:rsid w:val="00C30BA6"/>
    <w:rsid w:val="00C31467"/>
    <w:rsid w:val="00C3165E"/>
    <w:rsid w:val="00C3276F"/>
    <w:rsid w:val="00C329F8"/>
    <w:rsid w:val="00C334C8"/>
    <w:rsid w:val="00C335FF"/>
    <w:rsid w:val="00C34385"/>
    <w:rsid w:val="00C34518"/>
    <w:rsid w:val="00C34698"/>
    <w:rsid w:val="00C34C75"/>
    <w:rsid w:val="00C34CCB"/>
    <w:rsid w:val="00C35909"/>
    <w:rsid w:val="00C36696"/>
    <w:rsid w:val="00C36720"/>
    <w:rsid w:val="00C37518"/>
    <w:rsid w:val="00C37AB6"/>
    <w:rsid w:val="00C37F00"/>
    <w:rsid w:val="00C4134E"/>
    <w:rsid w:val="00C41695"/>
    <w:rsid w:val="00C42A3A"/>
    <w:rsid w:val="00C43009"/>
    <w:rsid w:val="00C439A4"/>
    <w:rsid w:val="00C439BB"/>
    <w:rsid w:val="00C43ADF"/>
    <w:rsid w:val="00C43E34"/>
    <w:rsid w:val="00C44FF6"/>
    <w:rsid w:val="00C4517F"/>
    <w:rsid w:val="00C45232"/>
    <w:rsid w:val="00C457C4"/>
    <w:rsid w:val="00C4663A"/>
    <w:rsid w:val="00C46BDF"/>
    <w:rsid w:val="00C46E94"/>
    <w:rsid w:val="00C4709E"/>
    <w:rsid w:val="00C47E99"/>
    <w:rsid w:val="00C47F53"/>
    <w:rsid w:val="00C504D3"/>
    <w:rsid w:val="00C5178D"/>
    <w:rsid w:val="00C517BC"/>
    <w:rsid w:val="00C51AAA"/>
    <w:rsid w:val="00C526A1"/>
    <w:rsid w:val="00C52952"/>
    <w:rsid w:val="00C52BA5"/>
    <w:rsid w:val="00C54725"/>
    <w:rsid w:val="00C54D8C"/>
    <w:rsid w:val="00C5588D"/>
    <w:rsid w:val="00C55E42"/>
    <w:rsid w:val="00C56C0D"/>
    <w:rsid w:val="00C56D2F"/>
    <w:rsid w:val="00C57369"/>
    <w:rsid w:val="00C6059D"/>
    <w:rsid w:val="00C60960"/>
    <w:rsid w:val="00C60F40"/>
    <w:rsid w:val="00C61807"/>
    <w:rsid w:val="00C6192D"/>
    <w:rsid w:val="00C62101"/>
    <w:rsid w:val="00C621D5"/>
    <w:rsid w:val="00C628AB"/>
    <w:rsid w:val="00C6388D"/>
    <w:rsid w:val="00C63AEA"/>
    <w:rsid w:val="00C63BB6"/>
    <w:rsid w:val="00C64380"/>
    <w:rsid w:val="00C64643"/>
    <w:rsid w:val="00C65BB4"/>
    <w:rsid w:val="00C65BDB"/>
    <w:rsid w:val="00C65DDA"/>
    <w:rsid w:val="00C66AE4"/>
    <w:rsid w:val="00C66CEF"/>
    <w:rsid w:val="00C670FE"/>
    <w:rsid w:val="00C67EA4"/>
    <w:rsid w:val="00C7047B"/>
    <w:rsid w:val="00C7098B"/>
    <w:rsid w:val="00C7099D"/>
    <w:rsid w:val="00C71281"/>
    <w:rsid w:val="00C7312C"/>
    <w:rsid w:val="00C73851"/>
    <w:rsid w:val="00C74835"/>
    <w:rsid w:val="00C74863"/>
    <w:rsid w:val="00C74A5D"/>
    <w:rsid w:val="00C74B4C"/>
    <w:rsid w:val="00C7504B"/>
    <w:rsid w:val="00C75492"/>
    <w:rsid w:val="00C75603"/>
    <w:rsid w:val="00C75961"/>
    <w:rsid w:val="00C75D90"/>
    <w:rsid w:val="00C75DF3"/>
    <w:rsid w:val="00C771FA"/>
    <w:rsid w:val="00C80402"/>
    <w:rsid w:val="00C80D72"/>
    <w:rsid w:val="00C8146C"/>
    <w:rsid w:val="00C81C77"/>
    <w:rsid w:val="00C81F85"/>
    <w:rsid w:val="00C8239E"/>
    <w:rsid w:val="00C82F67"/>
    <w:rsid w:val="00C83192"/>
    <w:rsid w:val="00C83250"/>
    <w:rsid w:val="00C83BD7"/>
    <w:rsid w:val="00C83FB2"/>
    <w:rsid w:val="00C84152"/>
    <w:rsid w:val="00C846DD"/>
    <w:rsid w:val="00C84B63"/>
    <w:rsid w:val="00C8596C"/>
    <w:rsid w:val="00C85CA6"/>
    <w:rsid w:val="00C86C82"/>
    <w:rsid w:val="00C86F14"/>
    <w:rsid w:val="00C86FB0"/>
    <w:rsid w:val="00C87345"/>
    <w:rsid w:val="00C873D5"/>
    <w:rsid w:val="00C87DD3"/>
    <w:rsid w:val="00C90A77"/>
    <w:rsid w:val="00C90F37"/>
    <w:rsid w:val="00C90F58"/>
    <w:rsid w:val="00C9129F"/>
    <w:rsid w:val="00C91368"/>
    <w:rsid w:val="00C9147E"/>
    <w:rsid w:val="00C914CF"/>
    <w:rsid w:val="00C925ED"/>
    <w:rsid w:val="00C9289D"/>
    <w:rsid w:val="00C9339F"/>
    <w:rsid w:val="00C933D4"/>
    <w:rsid w:val="00C9400B"/>
    <w:rsid w:val="00C942E7"/>
    <w:rsid w:val="00C94329"/>
    <w:rsid w:val="00C94681"/>
    <w:rsid w:val="00C95903"/>
    <w:rsid w:val="00C96A10"/>
    <w:rsid w:val="00C9713D"/>
    <w:rsid w:val="00C9753B"/>
    <w:rsid w:val="00CA04C2"/>
    <w:rsid w:val="00CA0601"/>
    <w:rsid w:val="00CA0B09"/>
    <w:rsid w:val="00CA168D"/>
    <w:rsid w:val="00CA19CD"/>
    <w:rsid w:val="00CA1ABA"/>
    <w:rsid w:val="00CA1B9B"/>
    <w:rsid w:val="00CA1DFF"/>
    <w:rsid w:val="00CA2F57"/>
    <w:rsid w:val="00CA3274"/>
    <w:rsid w:val="00CA3B9B"/>
    <w:rsid w:val="00CA4A62"/>
    <w:rsid w:val="00CA4CF8"/>
    <w:rsid w:val="00CA564F"/>
    <w:rsid w:val="00CA59BF"/>
    <w:rsid w:val="00CA636B"/>
    <w:rsid w:val="00CA6C83"/>
    <w:rsid w:val="00CA71FF"/>
    <w:rsid w:val="00CA7E60"/>
    <w:rsid w:val="00CB0BC5"/>
    <w:rsid w:val="00CB0DC9"/>
    <w:rsid w:val="00CB1009"/>
    <w:rsid w:val="00CB10B5"/>
    <w:rsid w:val="00CB17D1"/>
    <w:rsid w:val="00CB2608"/>
    <w:rsid w:val="00CB2757"/>
    <w:rsid w:val="00CB2FE7"/>
    <w:rsid w:val="00CB3433"/>
    <w:rsid w:val="00CB3B07"/>
    <w:rsid w:val="00CB3B57"/>
    <w:rsid w:val="00CB40D3"/>
    <w:rsid w:val="00CB42AE"/>
    <w:rsid w:val="00CB4316"/>
    <w:rsid w:val="00CB4A18"/>
    <w:rsid w:val="00CB6768"/>
    <w:rsid w:val="00CB6B6F"/>
    <w:rsid w:val="00CB7EFF"/>
    <w:rsid w:val="00CC04DD"/>
    <w:rsid w:val="00CC0649"/>
    <w:rsid w:val="00CC07B8"/>
    <w:rsid w:val="00CC0F6C"/>
    <w:rsid w:val="00CC17DB"/>
    <w:rsid w:val="00CC1BF8"/>
    <w:rsid w:val="00CC22D4"/>
    <w:rsid w:val="00CC2825"/>
    <w:rsid w:val="00CC2F01"/>
    <w:rsid w:val="00CC514D"/>
    <w:rsid w:val="00CC61AE"/>
    <w:rsid w:val="00CC6453"/>
    <w:rsid w:val="00CC6495"/>
    <w:rsid w:val="00CC68B2"/>
    <w:rsid w:val="00CC6B1A"/>
    <w:rsid w:val="00CC7385"/>
    <w:rsid w:val="00CC74EA"/>
    <w:rsid w:val="00CC7946"/>
    <w:rsid w:val="00CD0D40"/>
    <w:rsid w:val="00CD1A80"/>
    <w:rsid w:val="00CD1CA7"/>
    <w:rsid w:val="00CD25E7"/>
    <w:rsid w:val="00CD2D8A"/>
    <w:rsid w:val="00CD31EA"/>
    <w:rsid w:val="00CD34BF"/>
    <w:rsid w:val="00CD3F0C"/>
    <w:rsid w:val="00CD421C"/>
    <w:rsid w:val="00CD4947"/>
    <w:rsid w:val="00CD5130"/>
    <w:rsid w:val="00CD52A0"/>
    <w:rsid w:val="00CD5CA2"/>
    <w:rsid w:val="00CD692F"/>
    <w:rsid w:val="00CE0392"/>
    <w:rsid w:val="00CE1574"/>
    <w:rsid w:val="00CE1A06"/>
    <w:rsid w:val="00CE1E08"/>
    <w:rsid w:val="00CE26A2"/>
    <w:rsid w:val="00CE3708"/>
    <w:rsid w:val="00CE441D"/>
    <w:rsid w:val="00CE4E97"/>
    <w:rsid w:val="00CE5481"/>
    <w:rsid w:val="00CE5866"/>
    <w:rsid w:val="00CE715A"/>
    <w:rsid w:val="00CE7EE8"/>
    <w:rsid w:val="00CF0045"/>
    <w:rsid w:val="00CF1216"/>
    <w:rsid w:val="00CF16AC"/>
    <w:rsid w:val="00CF1E5F"/>
    <w:rsid w:val="00CF2C68"/>
    <w:rsid w:val="00CF34FF"/>
    <w:rsid w:val="00CF36E8"/>
    <w:rsid w:val="00CF379F"/>
    <w:rsid w:val="00CF3DF6"/>
    <w:rsid w:val="00CF4811"/>
    <w:rsid w:val="00CF559D"/>
    <w:rsid w:val="00CF5B90"/>
    <w:rsid w:val="00CF7194"/>
    <w:rsid w:val="00CF7856"/>
    <w:rsid w:val="00CF7C90"/>
    <w:rsid w:val="00CF7EA0"/>
    <w:rsid w:val="00D0057D"/>
    <w:rsid w:val="00D00600"/>
    <w:rsid w:val="00D009EB"/>
    <w:rsid w:val="00D0108F"/>
    <w:rsid w:val="00D013DD"/>
    <w:rsid w:val="00D01A5B"/>
    <w:rsid w:val="00D01E49"/>
    <w:rsid w:val="00D02049"/>
    <w:rsid w:val="00D020A1"/>
    <w:rsid w:val="00D02258"/>
    <w:rsid w:val="00D0329F"/>
    <w:rsid w:val="00D033F1"/>
    <w:rsid w:val="00D0354A"/>
    <w:rsid w:val="00D0386D"/>
    <w:rsid w:val="00D03967"/>
    <w:rsid w:val="00D03CFE"/>
    <w:rsid w:val="00D04399"/>
    <w:rsid w:val="00D0526D"/>
    <w:rsid w:val="00D05F14"/>
    <w:rsid w:val="00D06276"/>
    <w:rsid w:val="00D06299"/>
    <w:rsid w:val="00D0681D"/>
    <w:rsid w:val="00D06DD4"/>
    <w:rsid w:val="00D07E15"/>
    <w:rsid w:val="00D10049"/>
    <w:rsid w:val="00D100A5"/>
    <w:rsid w:val="00D1045D"/>
    <w:rsid w:val="00D12EF6"/>
    <w:rsid w:val="00D133AA"/>
    <w:rsid w:val="00D13A3D"/>
    <w:rsid w:val="00D13B0B"/>
    <w:rsid w:val="00D13CCF"/>
    <w:rsid w:val="00D14748"/>
    <w:rsid w:val="00D14803"/>
    <w:rsid w:val="00D14972"/>
    <w:rsid w:val="00D14CF7"/>
    <w:rsid w:val="00D15E67"/>
    <w:rsid w:val="00D16208"/>
    <w:rsid w:val="00D16BF5"/>
    <w:rsid w:val="00D16D9A"/>
    <w:rsid w:val="00D16E6C"/>
    <w:rsid w:val="00D1727E"/>
    <w:rsid w:val="00D1777C"/>
    <w:rsid w:val="00D17A55"/>
    <w:rsid w:val="00D2019F"/>
    <w:rsid w:val="00D205A4"/>
    <w:rsid w:val="00D20ABB"/>
    <w:rsid w:val="00D2145C"/>
    <w:rsid w:val="00D2190A"/>
    <w:rsid w:val="00D21C44"/>
    <w:rsid w:val="00D223A6"/>
    <w:rsid w:val="00D22758"/>
    <w:rsid w:val="00D227C1"/>
    <w:rsid w:val="00D22EED"/>
    <w:rsid w:val="00D23204"/>
    <w:rsid w:val="00D23865"/>
    <w:rsid w:val="00D24097"/>
    <w:rsid w:val="00D248FA"/>
    <w:rsid w:val="00D24AEE"/>
    <w:rsid w:val="00D24BBE"/>
    <w:rsid w:val="00D25636"/>
    <w:rsid w:val="00D2586E"/>
    <w:rsid w:val="00D27076"/>
    <w:rsid w:val="00D2711C"/>
    <w:rsid w:val="00D2744D"/>
    <w:rsid w:val="00D300A7"/>
    <w:rsid w:val="00D300DB"/>
    <w:rsid w:val="00D3073E"/>
    <w:rsid w:val="00D31347"/>
    <w:rsid w:val="00D31676"/>
    <w:rsid w:val="00D316C8"/>
    <w:rsid w:val="00D333FE"/>
    <w:rsid w:val="00D337D5"/>
    <w:rsid w:val="00D33A6B"/>
    <w:rsid w:val="00D341D8"/>
    <w:rsid w:val="00D34817"/>
    <w:rsid w:val="00D34E1E"/>
    <w:rsid w:val="00D35641"/>
    <w:rsid w:val="00D35D0C"/>
    <w:rsid w:val="00D365BB"/>
    <w:rsid w:val="00D36F20"/>
    <w:rsid w:val="00D372DF"/>
    <w:rsid w:val="00D3795A"/>
    <w:rsid w:val="00D37A52"/>
    <w:rsid w:val="00D37AB5"/>
    <w:rsid w:val="00D407FD"/>
    <w:rsid w:val="00D40C74"/>
    <w:rsid w:val="00D41577"/>
    <w:rsid w:val="00D41ACB"/>
    <w:rsid w:val="00D42111"/>
    <w:rsid w:val="00D4287C"/>
    <w:rsid w:val="00D42947"/>
    <w:rsid w:val="00D42ADC"/>
    <w:rsid w:val="00D42B98"/>
    <w:rsid w:val="00D42D47"/>
    <w:rsid w:val="00D42E84"/>
    <w:rsid w:val="00D4316B"/>
    <w:rsid w:val="00D43282"/>
    <w:rsid w:val="00D436F6"/>
    <w:rsid w:val="00D437B2"/>
    <w:rsid w:val="00D43AD8"/>
    <w:rsid w:val="00D43EA4"/>
    <w:rsid w:val="00D44508"/>
    <w:rsid w:val="00D446D7"/>
    <w:rsid w:val="00D44BF1"/>
    <w:rsid w:val="00D45E11"/>
    <w:rsid w:val="00D46485"/>
    <w:rsid w:val="00D46BB2"/>
    <w:rsid w:val="00D47491"/>
    <w:rsid w:val="00D4777F"/>
    <w:rsid w:val="00D47810"/>
    <w:rsid w:val="00D4788C"/>
    <w:rsid w:val="00D47E33"/>
    <w:rsid w:val="00D47F37"/>
    <w:rsid w:val="00D50540"/>
    <w:rsid w:val="00D5128E"/>
    <w:rsid w:val="00D5198A"/>
    <w:rsid w:val="00D51E42"/>
    <w:rsid w:val="00D528F4"/>
    <w:rsid w:val="00D52DD3"/>
    <w:rsid w:val="00D52E63"/>
    <w:rsid w:val="00D52FD0"/>
    <w:rsid w:val="00D530F8"/>
    <w:rsid w:val="00D531DE"/>
    <w:rsid w:val="00D53370"/>
    <w:rsid w:val="00D53860"/>
    <w:rsid w:val="00D54385"/>
    <w:rsid w:val="00D54562"/>
    <w:rsid w:val="00D547EE"/>
    <w:rsid w:val="00D55757"/>
    <w:rsid w:val="00D560B2"/>
    <w:rsid w:val="00D5767A"/>
    <w:rsid w:val="00D577AC"/>
    <w:rsid w:val="00D57B3C"/>
    <w:rsid w:val="00D57BA8"/>
    <w:rsid w:val="00D616DB"/>
    <w:rsid w:val="00D61757"/>
    <w:rsid w:val="00D6259C"/>
    <w:rsid w:val="00D62C8F"/>
    <w:rsid w:val="00D63B91"/>
    <w:rsid w:val="00D64A4A"/>
    <w:rsid w:val="00D64EC0"/>
    <w:rsid w:val="00D6573C"/>
    <w:rsid w:val="00D663F9"/>
    <w:rsid w:val="00D66731"/>
    <w:rsid w:val="00D6679C"/>
    <w:rsid w:val="00D66A05"/>
    <w:rsid w:val="00D6719B"/>
    <w:rsid w:val="00D70EBC"/>
    <w:rsid w:val="00D71949"/>
    <w:rsid w:val="00D71B13"/>
    <w:rsid w:val="00D71E8B"/>
    <w:rsid w:val="00D72060"/>
    <w:rsid w:val="00D728BD"/>
    <w:rsid w:val="00D73EE6"/>
    <w:rsid w:val="00D742D2"/>
    <w:rsid w:val="00D744DC"/>
    <w:rsid w:val="00D74777"/>
    <w:rsid w:val="00D7554F"/>
    <w:rsid w:val="00D75CF7"/>
    <w:rsid w:val="00D76837"/>
    <w:rsid w:val="00D776C3"/>
    <w:rsid w:val="00D779E6"/>
    <w:rsid w:val="00D80153"/>
    <w:rsid w:val="00D809C2"/>
    <w:rsid w:val="00D80E10"/>
    <w:rsid w:val="00D80F8E"/>
    <w:rsid w:val="00D81AC7"/>
    <w:rsid w:val="00D829EF"/>
    <w:rsid w:val="00D82FE9"/>
    <w:rsid w:val="00D83331"/>
    <w:rsid w:val="00D83852"/>
    <w:rsid w:val="00D83D41"/>
    <w:rsid w:val="00D8495C"/>
    <w:rsid w:val="00D84F6E"/>
    <w:rsid w:val="00D86737"/>
    <w:rsid w:val="00D86751"/>
    <w:rsid w:val="00D8696A"/>
    <w:rsid w:val="00D90CFD"/>
    <w:rsid w:val="00D9153B"/>
    <w:rsid w:val="00D92E22"/>
    <w:rsid w:val="00D93353"/>
    <w:rsid w:val="00D94531"/>
    <w:rsid w:val="00D94CCD"/>
    <w:rsid w:val="00D94DC3"/>
    <w:rsid w:val="00D95903"/>
    <w:rsid w:val="00D9599F"/>
    <w:rsid w:val="00D95D78"/>
    <w:rsid w:val="00D965FA"/>
    <w:rsid w:val="00D96C19"/>
    <w:rsid w:val="00D96C31"/>
    <w:rsid w:val="00DA0810"/>
    <w:rsid w:val="00DA091D"/>
    <w:rsid w:val="00DA0ED2"/>
    <w:rsid w:val="00DA15EB"/>
    <w:rsid w:val="00DA1762"/>
    <w:rsid w:val="00DA1CBB"/>
    <w:rsid w:val="00DA2434"/>
    <w:rsid w:val="00DA2650"/>
    <w:rsid w:val="00DA2858"/>
    <w:rsid w:val="00DA2C6F"/>
    <w:rsid w:val="00DA322D"/>
    <w:rsid w:val="00DA3D96"/>
    <w:rsid w:val="00DA3FCE"/>
    <w:rsid w:val="00DA469C"/>
    <w:rsid w:val="00DA47E7"/>
    <w:rsid w:val="00DA4EA3"/>
    <w:rsid w:val="00DA55DE"/>
    <w:rsid w:val="00DA59FD"/>
    <w:rsid w:val="00DA60F6"/>
    <w:rsid w:val="00DA615A"/>
    <w:rsid w:val="00DA61BF"/>
    <w:rsid w:val="00DA68FB"/>
    <w:rsid w:val="00DA6BAC"/>
    <w:rsid w:val="00DA7181"/>
    <w:rsid w:val="00DA7A9E"/>
    <w:rsid w:val="00DB08D1"/>
    <w:rsid w:val="00DB0E28"/>
    <w:rsid w:val="00DB107D"/>
    <w:rsid w:val="00DB14A9"/>
    <w:rsid w:val="00DB14CC"/>
    <w:rsid w:val="00DB2037"/>
    <w:rsid w:val="00DB210F"/>
    <w:rsid w:val="00DB2B31"/>
    <w:rsid w:val="00DB2CB5"/>
    <w:rsid w:val="00DB3812"/>
    <w:rsid w:val="00DB3C76"/>
    <w:rsid w:val="00DB4203"/>
    <w:rsid w:val="00DB456D"/>
    <w:rsid w:val="00DB47FA"/>
    <w:rsid w:val="00DB54DC"/>
    <w:rsid w:val="00DB59DE"/>
    <w:rsid w:val="00DB69BE"/>
    <w:rsid w:val="00DB6A8E"/>
    <w:rsid w:val="00DB7172"/>
    <w:rsid w:val="00DB7CA1"/>
    <w:rsid w:val="00DC0728"/>
    <w:rsid w:val="00DC0E9F"/>
    <w:rsid w:val="00DC1228"/>
    <w:rsid w:val="00DC1900"/>
    <w:rsid w:val="00DC25DA"/>
    <w:rsid w:val="00DC27C2"/>
    <w:rsid w:val="00DC4F83"/>
    <w:rsid w:val="00DC509E"/>
    <w:rsid w:val="00DC5149"/>
    <w:rsid w:val="00DC5AC4"/>
    <w:rsid w:val="00DC69B7"/>
    <w:rsid w:val="00DD03CF"/>
    <w:rsid w:val="00DD04AB"/>
    <w:rsid w:val="00DD088B"/>
    <w:rsid w:val="00DD175D"/>
    <w:rsid w:val="00DD1B12"/>
    <w:rsid w:val="00DD3C08"/>
    <w:rsid w:val="00DD4D99"/>
    <w:rsid w:val="00DD567A"/>
    <w:rsid w:val="00DD57FD"/>
    <w:rsid w:val="00DD59C3"/>
    <w:rsid w:val="00DD677C"/>
    <w:rsid w:val="00DD69F3"/>
    <w:rsid w:val="00DD7AB4"/>
    <w:rsid w:val="00DE0476"/>
    <w:rsid w:val="00DE04BD"/>
    <w:rsid w:val="00DE0D67"/>
    <w:rsid w:val="00DE22CC"/>
    <w:rsid w:val="00DE2320"/>
    <w:rsid w:val="00DE2AAC"/>
    <w:rsid w:val="00DE3C46"/>
    <w:rsid w:val="00DE3E54"/>
    <w:rsid w:val="00DE4233"/>
    <w:rsid w:val="00DE433B"/>
    <w:rsid w:val="00DE4AB3"/>
    <w:rsid w:val="00DE4AE3"/>
    <w:rsid w:val="00DE5B55"/>
    <w:rsid w:val="00DE6BA2"/>
    <w:rsid w:val="00DE77F9"/>
    <w:rsid w:val="00DF06C6"/>
    <w:rsid w:val="00DF0E02"/>
    <w:rsid w:val="00DF1125"/>
    <w:rsid w:val="00DF16B0"/>
    <w:rsid w:val="00DF1705"/>
    <w:rsid w:val="00DF27AC"/>
    <w:rsid w:val="00DF2AA4"/>
    <w:rsid w:val="00DF3222"/>
    <w:rsid w:val="00DF365A"/>
    <w:rsid w:val="00DF391A"/>
    <w:rsid w:val="00DF399A"/>
    <w:rsid w:val="00DF4618"/>
    <w:rsid w:val="00DF6022"/>
    <w:rsid w:val="00DF6280"/>
    <w:rsid w:val="00DF6603"/>
    <w:rsid w:val="00DF7095"/>
    <w:rsid w:val="00DF7935"/>
    <w:rsid w:val="00DF7B14"/>
    <w:rsid w:val="00E00009"/>
    <w:rsid w:val="00E0031C"/>
    <w:rsid w:val="00E00B82"/>
    <w:rsid w:val="00E01344"/>
    <w:rsid w:val="00E01EF4"/>
    <w:rsid w:val="00E020EB"/>
    <w:rsid w:val="00E023F1"/>
    <w:rsid w:val="00E024BE"/>
    <w:rsid w:val="00E0272E"/>
    <w:rsid w:val="00E02CF2"/>
    <w:rsid w:val="00E03928"/>
    <w:rsid w:val="00E03EC0"/>
    <w:rsid w:val="00E04592"/>
    <w:rsid w:val="00E04947"/>
    <w:rsid w:val="00E0551F"/>
    <w:rsid w:val="00E060CB"/>
    <w:rsid w:val="00E0610A"/>
    <w:rsid w:val="00E06499"/>
    <w:rsid w:val="00E069F7"/>
    <w:rsid w:val="00E06C33"/>
    <w:rsid w:val="00E06C35"/>
    <w:rsid w:val="00E0710C"/>
    <w:rsid w:val="00E0710D"/>
    <w:rsid w:val="00E07497"/>
    <w:rsid w:val="00E0783C"/>
    <w:rsid w:val="00E07BCA"/>
    <w:rsid w:val="00E07C27"/>
    <w:rsid w:val="00E07DC8"/>
    <w:rsid w:val="00E07F00"/>
    <w:rsid w:val="00E07F71"/>
    <w:rsid w:val="00E10281"/>
    <w:rsid w:val="00E10C09"/>
    <w:rsid w:val="00E114D8"/>
    <w:rsid w:val="00E1347F"/>
    <w:rsid w:val="00E137E8"/>
    <w:rsid w:val="00E14309"/>
    <w:rsid w:val="00E144BF"/>
    <w:rsid w:val="00E1455E"/>
    <w:rsid w:val="00E15435"/>
    <w:rsid w:val="00E1621B"/>
    <w:rsid w:val="00E1628D"/>
    <w:rsid w:val="00E16A8A"/>
    <w:rsid w:val="00E16EFF"/>
    <w:rsid w:val="00E17520"/>
    <w:rsid w:val="00E17B2A"/>
    <w:rsid w:val="00E21114"/>
    <w:rsid w:val="00E214B9"/>
    <w:rsid w:val="00E22924"/>
    <w:rsid w:val="00E22B84"/>
    <w:rsid w:val="00E22EE7"/>
    <w:rsid w:val="00E24044"/>
    <w:rsid w:val="00E24967"/>
    <w:rsid w:val="00E24CC6"/>
    <w:rsid w:val="00E25BE3"/>
    <w:rsid w:val="00E26045"/>
    <w:rsid w:val="00E263AD"/>
    <w:rsid w:val="00E26881"/>
    <w:rsid w:val="00E26BDB"/>
    <w:rsid w:val="00E2722C"/>
    <w:rsid w:val="00E27304"/>
    <w:rsid w:val="00E27473"/>
    <w:rsid w:val="00E27710"/>
    <w:rsid w:val="00E3037B"/>
    <w:rsid w:val="00E304C3"/>
    <w:rsid w:val="00E31298"/>
    <w:rsid w:val="00E31B93"/>
    <w:rsid w:val="00E3239E"/>
    <w:rsid w:val="00E32CCD"/>
    <w:rsid w:val="00E32D4A"/>
    <w:rsid w:val="00E33458"/>
    <w:rsid w:val="00E33613"/>
    <w:rsid w:val="00E337F5"/>
    <w:rsid w:val="00E339E4"/>
    <w:rsid w:val="00E34EBC"/>
    <w:rsid w:val="00E3539E"/>
    <w:rsid w:val="00E3613D"/>
    <w:rsid w:val="00E3625A"/>
    <w:rsid w:val="00E36767"/>
    <w:rsid w:val="00E368C0"/>
    <w:rsid w:val="00E37211"/>
    <w:rsid w:val="00E37848"/>
    <w:rsid w:val="00E3791C"/>
    <w:rsid w:val="00E37FDD"/>
    <w:rsid w:val="00E4034D"/>
    <w:rsid w:val="00E404B3"/>
    <w:rsid w:val="00E40697"/>
    <w:rsid w:val="00E40E2C"/>
    <w:rsid w:val="00E415CE"/>
    <w:rsid w:val="00E415F8"/>
    <w:rsid w:val="00E41B10"/>
    <w:rsid w:val="00E41EE7"/>
    <w:rsid w:val="00E42084"/>
    <w:rsid w:val="00E422A2"/>
    <w:rsid w:val="00E4238B"/>
    <w:rsid w:val="00E42ADA"/>
    <w:rsid w:val="00E43E33"/>
    <w:rsid w:val="00E45014"/>
    <w:rsid w:val="00E459BC"/>
    <w:rsid w:val="00E45B0F"/>
    <w:rsid w:val="00E4679B"/>
    <w:rsid w:val="00E46F3B"/>
    <w:rsid w:val="00E47626"/>
    <w:rsid w:val="00E47657"/>
    <w:rsid w:val="00E47949"/>
    <w:rsid w:val="00E5040E"/>
    <w:rsid w:val="00E50799"/>
    <w:rsid w:val="00E50A51"/>
    <w:rsid w:val="00E516D4"/>
    <w:rsid w:val="00E52796"/>
    <w:rsid w:val="00E52B1E"/>
    <w:rsid w:val="00E52E76"/>
    <w:rsid w:val="00E52FD9"/>
    <w:rsid w:val="00E53593"/>
    <w:rsid w:val="00E53C48"/>
    <w:rsid w:val="00E53E56"/>
    <w:rsid w:val="00E541B5"/>
    <w:rsid w:val="00E5476F"/>
    <w:rsid w:val="00E547CE"/>
    <w:rsid w:val="00E559EA"/>
    <w:rsid w:val="00E56377"/>
    <w:rsid w:val="00E5673E"/>
    <w:rsid w:val="00E5696D"/>
    <w:rsid w:val="00E56BD3"/>
    <w:rsid w:val="00E56E45"/>
    <w:rsid w:val="00E57031"/>
    <w:rsid w:val="00E57ABC"/>
    <w:rsid w:val="00E603B5"/>
    <w:rsid w:val="00E60457"/>
    <w:rsid w:val="00E60EF1"/>
    <w:rsid w:val="00E6161C"/>
    <w:rsid w:val="00E62DEC"/>
    <w:rsid w:val="00E63233"/>
    <w:rsid w:val="00E635CF"/>
    <w:rsid w:val="00E635F1"/>
    <w:rsid w:val="00E63AB6"/>
    <w:rsid w:val="00E64180"/>
    <w:rsid w:val="00E64501"/>
    <w:rsid w:val="00E65462"/>
    <w:rsid w:val="00E6588A"/>
    <w:rsid w:val="00E65F8A"/>
    <w:rsid w:val="00E66139"/>
    <w:rsid w:val="00E66346"/>
    <w:rsid w:val="00E66388"/>
    <w:rsid w:val="00E66E90"/>
    <w:rsid w:val="00E67486"/>
    <w:rsid w:val="00E675A5"/>
    <w:rsid w:val="00E67631"/>
    <w:rsid w:val="00E70D65"/>
    <w:rsid w:val="00E713AA"/>
    <w:rsid w:val="00E71478"/>
    <w:rsid w:val="00E727CE"/>
    <w:rsid w:val="00E730EB"/>
    <w:rsid w:val="00E731F4"/>
    <w:rsid w:val="00E73724"/>
    <w:rsid w:val="00E73E7C"/>
    <w:rsid w:val="00E741F4"/>
    <w:rsid w:val="00E7427E"/>
    <w:rsid w:val="00E74802"/>
    <w:rsid w:val="00E749E1"/>
    <w:rsid w:val="00E74A36"/>
    <w:rsid w:val="00E74A8B"/>
    <w:rsid w:val="00E75099"/>
    <w:rsid w:val="00E773F7"/>
    <w:rsid w:val="00E80044"/>
    <w:rsid w:val="00E8007A"/>
    <w:rsid w:val="00E80578"/>
    <w:rsid w:val="00E80B43"/>
    <w:rsid w:val="00E80E10"/>
    <w:rsid w:val="00E81D9A"/>
    <w:rsid w:val="00E833CB"/>
    <w:rsid w:val="00E83471"/>
    <w:rsid w:val="00E83995"/>
    <w:rsid w:val="00E83CBA"/>
    <w:rsid w:val="00E83D2E"/>
    <w:rsid w:val="00E83FB2"/>
    <w:rsid w:val="00E84935"/>
    <w:rsid w:val="00E85B43"/>
    <w:rsid w:val="00E87839"/>
    <w:rsid w:val="00E90615"/>
    <w:rsid w:val="00E90A8D"/>
    <w:rsid w:val="00E90D82"/>
    <w:rsid w:val="00E90DE3"/>
    <w:rsid w:val="00E90F6C"/>
    <w:rsid w:val="00E9157F"/>
    <w:rsid w:val="00E91FE0"/>
    <w:rsid w:val="00E93ABF"/>
    <w:rsid w:val="00E94A1C"/>
    <w:rsid w:val="00E95076"/>
    <w:rsid w:val="00E95250"/>
    <w:rsid w:val="00E95AC2"/>
    <w:rsid w:val="00E96B0C"/>
    <w:rsid w:val="00E97167"/>
    <w:rsid w:val="00EA0169"/>
    <w:rsid w:val="00EA0BFA"/>
    <w:rsid w:val="00EA2CC8"/>
    <w:rsid w:val="00EA2E99"/>
    <w:rsid w:val="00EA3781"/>
    <w:rsid w:val="00EA42A1"/>
    <w:rsid w:val="00EA5023"/>
    <w:rsid w:val="00EA6246"/>
    <w:rsid w:val="00EA66F4"/>
    <w:rsid w:val="00EA6BA9"/>
    <w:rsid w:val="00EA7061"/>
    <w:rsid w:val="00EA7A1D"/>
    <w:rsid w:val="00EB051A"/>
    <w:rsid w:val="00EB0889"/>
    <w:rsid w:val="00EB0972"/>
    <w:rsid w:val="00EB0F83"/>
    <w:rsid w:val="00EB13FE"/>
    <w:rsid w:val="00EB1723"/>
    <w:rsid w:val="00EB254B"/>
    <w:rsid w:val="00EB2E23"/>
    <w:rsid w:val="00EB2EC2"/>
    <w:rsid w:val="00EB39F1"/>
    <w:rsid w:val="00EB3B1E"/>
    <w:rsid w:val="00EB3CE2"/>
    <w:rsid w:val="00EB45AA"/>
    <w:rsid w:val="00EB4E5C"/>
    <w:rsid w:val="00EB5434"/>
    <w:rsid w:val="00EB554A"/>
    <w:rsid w:val="00EB5C36"/>
    <w:rsid w:val="00EB5D6C"/>
    <w:rsid w:val="00EB739B"/>
    <w:rsid w:val="00EB76D6"/>
    <w:rsid w:val="00EB77A4"/>
    <w:rsid w:val="00EC0056"/>
    <w:rsid w:val="00EC0178"/>
    <w:rsid w:val="00EC049F"/>
    <w:rsid w:val="00EC05ED"/>
    <w:rsid w:val="00EC0B43"/>
    <w:rsid w:val="00EC1CDE"/>
    <w:rsid w:val="00EC2CEA"/>
    <w:rsid w:val="00EC3143"/>
    <w:rsid w:val="00EC3D77"/>
    <w:rsid w:val="00EC43A2"/>
    <w:rsid w:val="00EC4752"/>
    <w:rsid w:val="00EC5787"/>
    <w:rsid w:val="00EC5AAF"/>
    <w:rsid w:val="00EC6EBE"/>
    <w:rsid w:val="00EC7629"/>
    <w:rsid w:val="00ED024E"/>
    <w:rsid w:val="00ED0F59"/>
    <w:rsid w:val="00ED113F"/>
    <w:rsid w:val="00ED194C"/>
    <w:rsid w:val="00ED2C26"/>
    <w:rsid w:val="00ED463D"/>
    <w:rsid w:val="00ED551F"/>
    <w:rsid w:val="00ED5D40"/>
    <w:rsid w:val="00ED5EC2"/>
    <w:rsid w:val="00ED6DAC"/>
    <w:rsid w:val="00ED7E6F"/>
    <w:rsid w:val="00EE0DF2"/>
    <w:rsid w:val="00EE16DF"/>
    <w:rsid w:val="00EE21DD"/>
    <w:rsid w:val="00EE40A2"/>
    <w:rsid w:val="00EE5070"/>
    <w:rsid w:val="00EE56DF"/>
    <w:rsid w:val="00EE65B4"/>
    <w:rsid w:val="00EF0B31"/>
    <w:rsid w:val="00EF0DAC"/>
    <w:rsid w:val="00EF1783"/>
    <w:rsid w:val="00EF1A24"/>
    <w:rsid w:val="00EF1BF1"/>
    <w:rsid w:val="00EF233C"/>
    <w:rsid w:val="00EF26AF"/>
    <w:rsid w:val="00EF3B9A"/>
    <w:rsid w:val="00EF410C"/>
    <w:rsid w:val="00EF4C48"/>
    <w:rsid w:val="00EF5290"/>
    <w:rsid w:val="00EF53DD"/>
    <w:rsid w:val="00EF689C"/>
    <w:rsid w:val="00EF69FE"/>
    <w:rsid w:val="00EF6AA1"/>
    <w:rsid w:val="00EF6ECF"/>
    <w:rsid w:val="00EF7035"/>
    <w:rsid w:val="00EF7135"/>
    <w:rsid w:val="00EF71E1"/>
    <w:rsid w:val="00EF7387"/>
    <w:rsid w:val="00EF7635"/>
    <w:rsid w:val="00F00057"/>
    <w:rsid w:val="00F00410"/>
    <w:rsid w:val="00F00750"/>
    <w:rsid w:val="00F01A5C"/>
    <w:rsid w:val="00F024C7"/>
    <w:rsid w:val="00F0264E"/>
    <w:rsid w:val="00F026D2"/>
    <w:rsid w:val="00F02714"/>
    <w:rsid w:val="00F02777"/>
    <w:rsid w:val="00F02BD6"/>
    <w:rsid w:val="00F02D9A"/>
    <w:rsid w:val="00F02EA8"/>
    <w:rsid w:val="00F03428"/>
    <w:rsid w:val="00F03B89"/>
    <w:rsid w:val="00F0431D"/>
    <w:rsid w:val="00F05D47"/>
    <w:rsid w:val="00F05EAF"/>
    <w:rsid w:val="00F063BE"/>
    <w:rsid w:val="00F06B5B"/>
    <w:rsid w:val="00F06D2C"/>
    <w:rsid w:val="00F06D7C"/>
    <w:rsid w:val="00F1049D"/>
    <w:rsid w:val="00F11604"/>
    <w:rsid w:val="00F119F0"/>
    <w:rsid w:val="00F1299D"/>
    <w:rsid w:val="00F134A0"/>
    <w:rsid w:val="00F147FD"/>
    <w:rsid w:val="00F1502B"/>
    <w:rsid w:val="00F15FC1"/>
    <w:rsid w:val="00F160C9"/>
    <w:rsid w:val="00F1681C"/>
    <w:rsid w:val="00F16D43"/>
    <w:rsid w:val="00F17013"/>
    <w:rsid w:val="00F17762"/>
    <w:rsid w:val="00F17BA8"/>
    <w:rsid w:val="00F23C5A"/>
    <w:rsid w:val="00F23E91"/>
    <w:rsid w:val="00F23E93"/>
    <w:rsid w:val="00F24776"/>
    <w:rsid w:val="00F24EFF"/>
    <w:rsid w:val="00F25261"/>
    <w:rsid w:val="00F25447"/>
    <w:rsid w:val="00F25DE2"/>
    <w:rsid w:val="00F2619B"/>
    <w:rsid w:val="00F26495"/>
    <w:rsid w:val="00F26722"/>
    <w:rsid w:val="00F267A2"/>
    <w:rsid w:val="00F277D4"/>
    <w:rsid w:val="00F3011A"/>
    <w:rsid w:val="00F304FC"/>
    <w:rsid w:val="00F30784"/>
    <w:rsid w:val="00F30793"/>
    <w:rsid w:val="00F30EA2"/>
    <w:rsid w:val="00F31104"/>
    <w:rsid w:val="00F318E3"/>
    <w:rsid w:val="00F3336D"/>
    <w:rsid w:val="00F338AA"/>
    <w:rsid w:val="00F34164"/>
    <w:rsid w:val="00F34797"/>
    <w:rsid w:val="00F34DD6"/>
    <w:rsid w:val="00F34E93"/>
    <w:rsid w:val="00F35A0D"/>
    <w:rsid w:val="00F36A1B"/>
    <w:rsid w:val="00F36EE3"/>
    <w:rsid w:val="00F406BD"/>
    <w:rsid w:val="00F41601"/>
    <w:rsid w:val="00F42D67"/>
    <w:rsid w:val="00F442A8"/>
    <w:rsid w:val="00F4474B"/>
    <w:rsid w:val="00F44793"/>
    <w:rsid w:val="00F45221"/>
    <w:rsid w:val="00F462FA"/>
    <w:rsid w:val="00F47960"/>
    <w:rsid w:val="00F4799A"/>
    <w:rsid w:val="00F5028E"/>
    <w:rsid w:val="00F50305"/>
    <w:rsid w:val="00F50327"/>
    <w:rsid w:val="00F503DE"/>
    <w:rsid w:val="00F50822"/>
    <w:rsid w:val="00F50885"/>
    <w:rsid w:val="00F513E5"/>
    <w:rsid w:val="00F5173E"/>
    <w:rsid w:val="00F5219B"/>
    <w:rsid w:val="00F522B3"/>
    <w:rsid w:val="00F52804"/>
    <w:rsid w:val="00F5281A"/>
    <w:rsid w:val="00F53138"/>
    <w:rsid w:val="00F534C0"/>
    <w:rsid w:val="00F53712"/>
    <w:rsid w:val="00F54197"/>
    <w:rsid w:val="00F54BA8"/>
    <w:rsid w:val="00F54DF9"/>
    <w:rsid w:val="00F5523B"/>
    <w:rsid w:val="00F553CC"/>
    <w:rsid w:val="00F554A6"/>
    <w:rsid w:val="00F55838"/>
    <w:rsid w:val="00F605C5"/>
    <w:rsid w:val="00F61455"/>
    <w:rsid w:val="00F61820"/>
    <w:rsid w:val="00F623B6"/>
    <w:rsid w:val="00F6280F"/>
    <w:rsid w:val="00F62819"/>
    <w:rsid w:val="00F6394B"/>
    <w:rsid w:val="00F64076"/>
    <w:rsid w:val="00F640CE"/>
    <w:rsid w:val="00F64295"/>
    <w:rsid w:val="00F66C81"/>
    <w:rsid w:val="00F66CC6"/>
    <w:rsid w:val="00F70726"/>
    <w:rsid w:val="00F70741"/>
    <w:rsid w:val="00F708D9"/>
    <w:rsid w:val="00F71474"/>
    <w:rsid w:val="00F720FB"/>
    <w:rsid w:val="00F729D1"/>
    <w:rsid w:val="00F72E89"/>
    <w:rsid w:val="00F74BC2"/>
    <w:rsid w:val="00F74C41"/>
    <w:rsid w:val="00F76A3C"/>
    <w:rsid w:val="00F76A7F"/>
    <w:rsid w:val="00F76DA3"/>
    <w:rsid w:val="00F77A30"/>
    <w:rsid w:val="00F77A3C"/>
    <w:rsid w:val="00F80555"/>
    <w:rsid w:val="00F80602"/>
    <w:rsid w:val="00F80D26"/>
    <w:rsid w:val="00F80E42"/>
    <w:rsid w:val="00F8109B"/>
    <w:rsid w:val="00F81376"/>
    <w:rsid w:val="00F816A6"/>
    <w:rsid w:val="00F81BA1"/>
    <w:rsid w:val="00F81D3F"/>
    <w:rsid w:val="00F826EF"/>
    <w:rsid w:val="00F828B1"/>
    <w:rsid w:val="00F82BDC"/>
    <w:rsid w:val="00F82F2E"/>
    <w:rsid w:val="00F8386E"/>
    <w:rsid w:val="00F83989"/>
    <w:rsid w:val="00F8487C"/>
    <w:rsid w:val="00F84C20"/>
    <w:rsid w:val="00F85352"/>
    <w:rsid w:val="00F85F90"/>
    <w:rsid w:val="00F86AB9"/>
    <w:rsid w:val="00F872FF"/>
    <w:rsid w:val="00F877C1"/>
    <w:rsid w:val="00F9040C"/>
    <w:rsid w:val="00F913B9"/>
    <w:rsid w:val="00F92112"/>
    <w:rsid w:val="00F9230A"/>
    <w:rsid w:val="00F92366"/>
    <w:rsid w:val="00F92592"/>
    <w:rsid w:val="00F9272D"/>
    <w:rsid w:val="00F92753"/>
    <w:rsid w:val="00F92F74"/>
    <w:rsid w:val="00F93766"/>
    <w:rsid w:val="00F93F8A"/>
    <w:rsid w:val="00F954BA"/>
    <w:rsid w:val="00F9598E"/>
    <w:rsid w:val="00F9600D"/>
    <w:rsid w:val="00F96116"/>
    <w:rsid w:val="00F96B32"/>
    <w:rsid w:val="00F96E25"/>
    <w:rsid w:val="00F97169"/>
    <w:rsid w:val="00F9735A"/>
    <w:rsid w:val="00FA00EC"/>
    <w:rsid w:val="00FA0F16"/>
    <w:rsid w:val="00FA16E2"/>
    <w:rsid w:val="00FA1B4C"/>
    <w:rsid w:val="00FA1FF0"/>
    <w:rsid w:val="00FA2A03"/>
    <w:rsid w:val="00FA3701"/>
    <w:rsid w:val="00FA39DA"/>
    <w:rsid w:val="00FA3ED9"/>
    <w:rsid w:val="00FA42F4"/>
    <w:rsid w:val="00FA5564"/>
    <w:rsid w:val="00FA634F"/>
    <w:rsid w:val="00FA6C8D"/>
    <w:rsid w:val="00FA6FD1"/>
    <w:rsid w:val="00FA7193"/>
    <w:rsid w:val="00FA731E"/>
    <w:rsid w:val="00FA75AE"/>
    <w:rsid w:val="00FB0730"/>
    <w:rsid w:val="00FB0BC1"/>
    <w:rsid w:val="00FB0E81"/>
    <w:rsid w:val="00FB14A0"/>
    <w:rsid w:val="00FB1B61"/>
    <w:rsid w:val="00FB3DF4"/>
    <w:rsid w:val="00FB42E0"/>
    <w:rsid w:val="00FB498B"/>
    <w:rsid w:val="00FB4AA5"/>
    <w:rsid w:val="00FB4E4A"/>
    <w:rsid w:val="00FB58F5"/>
    <w:rsid w:val="00FB5E98"/>
    <w:rsid w:val="00FB655B"/>
    <w:rsid w:val="00FB691B"/>
    <w:rsid w:val="00FB72DF"/>
    <w:rsid w:val="00FB7568"/>
    <w:rsid w:val="00FB7F35"/>
    <w:rsid w:val="00FC0218"/>
    <w:rsid w:val="00FC11D6"/>
    <w:rsid w:val="00FC1993"/>
    <w:rsid w:val="00FC1F9C"/>
    <w:rsid w:val="00FC318D"/>
    <w:rsid w:val="00FC40B7"/>
    <w:rsid w:val="00FC46DC"/>
    <w:rsid w:val="00FC48DD"/>
    <w:rsid w:val="00FC569E"/>
    <w:rsid w:val="00FC5FC3"/>
    <w:rsid w:val="00FC62B6"/>
    <w:rsid w:val="00FC67E5"/>
    <w:rsid w:val="00FC6BFF"/>
    <w:rsid w:val="00FC6FED"/>
    <w:rsid w:val="00FD03E1"/>
    <w:rsid w:val="00FD043A"/>
    <w:rsid w:val="00FD04EB"/>
    <w:rsid w:val="00FD0677"/>
    <w:rsid w:val="00FD0729"/>
    <w:rsid w:val="00FD088C"/>
    <w:rsid w:val="00FD0E9A"/>
    <w:rsid w:val="00FD131D"/>
    <w:rsid w:val="00FD1916"/>
    <w:rsid w:val="00FD1FBD"/>
    <w:rsid w:val="00FD2542"/>
    <w:rsid w:val="00FD2B40"/>
    <w:rsid w:val="00FD3091"/>
    <w:rsid w:val="00FD3508"/>
    <w:rsid w:val="00FD50B2"/>
    <w:rsid w:val="00FD5177"/>
    <w:rsid w:val="00FD54CE"/>
    <w:rsid w:val="00FD5711"/>
    <w:rsid w:val="00FD6EB8"/>
    <w:rsid w:val="00FE04ED"/>
    <w:rsid w:val="00FE0FDD"/>
    <w:rsid w:val="00FE112E"/>
    <w:rsid w:val="00FE26CF"/>
    <w:rsid w:val="00FE35E1"/>
    <w:rsid w:val="00FE3AB2"/>
    <w:rsid w:val="00FE456B"/>
    <w:rsid w:val="00FE59E2"/>
    <w:rsid w:val="00FE6D86"/>
    <w:rsid w:val="00FE71BA"/>
    <w:rsid w:val="00FF01EC"/>
    <w:rsid w:val="00FF0DA7"/>
    <w:rsid w:val="00FF2D46"/>
    <w:rsid w:val="00FF2D5A"/>
    <w:rsid w:val="00FF2F4F"/>
    <w:rsid w:val="00FF3276"/>
    <w:rsid w:val="00FF32B9"/>
    <w:rsid w:val="00FF33A9"/>
    <w:rsid w:val="00FF37D3"/>
    <w:rsid w:val="00FF3F55"/>
    <w:rsid w:val="00FF448C"/>
    <w:rsid w:val="00FF463F"/>
    <w:rsid w:val="00FF491F"/>
    <w:rsid w:val="00FF4EBE"/>
    <w:rsid w:val="00FF504A"/>
    <w:rsid w:val="00FF52AD"/>
    <w:rsid w:val="00FF5B26"/>
    <w:rsid w:val="00FF5C04"/>
    <w:rsid w:val="00FF652A"/>
    <w:rsid w:val="00FF690D"/>
    <w:rsid w:val="00FF76EE"/>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33BF8C-CA5B-4C47-9B2C-C57E025B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54F4"/>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5F2DB3"/>
    <w:pPr>
      <w:keepNext/>
      <w:keepLines/>
      <w:spacing w:before="40"/>
      <w:outlineLvl w:val="2"/>
    </w:pPr>
    <w:rPr>
      <w:rFonts w:ascii="Calibri Light" w:eastAsia="MS Gothic" w:hAnsi="Calibri Light"/>
      <w:color w:val="1F4D78"/>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ALTS FOOTNOTE,FOOTNOTES,Footnote Text1,Fodnotetekst Tegn,footnote text Char,Fodnotetekst Tegn Char,single space Char,footnote text Char Char Char,Fodnotetekst Tegn Char1,single space Char1,ADB,Footnote Text Char1,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sz w:val="24"/>
      <w:szCs w:val="24"/>
    </w:rPr>
  </w:style>
  <w:style w:type="character" w:styleId="FootnoteReference">
    <w:name w:val="footnote reference"/>
    <w:aliases w:val="ftref,(NECG) Footnote Reference,Ref,de nota al pie,note bp,BVI fnr,16 Point,Superscript 6 Point,Footnote Reference Number,Footnote Reference_LVL6,Footnote Reference_LVL61,Footnote Reference_LVL62,Footnote Reference_LVL63"/>
    <w:uiPriority w:val="99"/>
    <w:rsid w:val="00D9153B"/>
    <w:rPr>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color w:val="336699"/>
      <w:u w:val="none"/>
      <w:effect w:val="none"/>
    </w:rPr>
  </w:style>
  <w:style w:type="paragraph" w:styleId="ListParagraph">
    <w:name w:val="List Paragraph"/>
    <w:aliases w:val="List Paragraph (numbered (a)),Numbered Paragraph,Main numbered paragraph,References,Numbered List Paragraph,123 List Paragraph,List Paragraph1,WB Para,Lapis Bulleted List,Dot pt,F5 List Paragraph,No Spacing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lang w:val="x-none" w:eastAsia="x-none"/>
    </w:rPr>
  </w:style>
  <w:style w:type="character" w:customStyle="1" w:styleId="DocumentMapChar">
    <w:name w:val="Document Map Char"/>
    <w:link w:val="DocumentMap"/>
    <w:locked/>
    <w:rsid w:val="00993912"/>
    <w:rPr>
      <w:rFonts w:ascii="Tahoma" w:hAnsi="Tahoma"/>
      <w:sz w:val="16"/>
    </w:rPr>
  </w:style>
  <w:style w:type="character" w:styleId="CommentReference">
    <w:name w:val="annotation reference"/>
    <w:uiPriority w:val="99"/>
    <w:rsid w:val="00400E4A"/>
    <w:rPr>
      <w:sz w:val="6"/>
    </w:rPr>
  </w:style>
  <w:style w:type="character" w:customStyle="1" w:styleId="FooterChar">
    <w:name w:val="Footer Char"/>
    <w:link w:val="Footer"/>
    <w:uiPriority w:val="99"/>
    <w:locked/>
    <w:rsid w:val="005841A3"/>
  </w:style>
  <w:style w:type="paragraph" w:styleId="CommentText">
    <w:name w:val="annotation text"/>
    <w:basedOn w:val="Normal"/>
    <w:link w:val="CommentTextChar"/>
    <w:uiPriority w:val="99"/>
    <w:rsid w:val="008543F5"/>
    <w:rPr>
      <w:lang w:val="x-none" w:eastAsia="x-none"/>
    </w:rPr>
  </w:style>
  <w:style w:type="character" w:customStyle="1" w:styleId="CommentTextChar">
    <w:name w:val="Comment Text Char"/>
    <w:link w:val="CommentText"/>
    <w:uiPriority w:val="99"/>
    <w:locked/>
    <w:rsid w:val="008543F5"/>
    <w:rPr>
      <w:rFonts w:cs="Times New Roman"/>
    </w:rPr>
  </w:style>
  <w:style w:type="paragraph" w:styleId="CommentSubject">
    <w:name w:val="annotation subject"/>
    <w:basedOn w:val="CommentText"/>
    <w:next w:val="CommentText"/>
    <w:link w:val="CommentSubjectChar"/>
    <w:rsid w:val="008543F5"/>
    <w:rPr>
      <w:b/>
    </w:rPr>
  </w:style>
  <w:style w:type="character" w:customStyle="1" w:styleId="CommentSubjectChar">
    <w:name w:val="Comment Subject Char"/>
    <w:link w:val="CommentSubject"/>
    <w:locked/>
    <w:rsid w:val="008543F5"/>
    <w:rPr>
      <w:b/>
    </w:rPr>
  </w:style>
  <w:style w:type="character" w:customStyle="1" w:styleId="Heading1Char">
    <w:name w:val="Heading 1 Char"/>
    <w:link w:val="Heading1"/>
    <w:locked/>
    <w:rsid w:val="001D42D1"/>
    <w:rPr>
      <w:rFonts w:ascii="Courier" w:hAnsi="Courier"/>
      <w:b/>
      <w:spacing w:val="-3"/>
      <w:sz w:val="28"/>
    </w:rPr>
  </w:style>
  <w:style w:type="character" w:customStyle="1" w:styleId="HeaderChar">
    <w:name w:val="Header Char"/>
    <w:link w:val="Header"/>
    <w:locked/>
    <w:rsid w:val="00852876"/>
    <w:rPr>
      <w:rFonts w:ascii="Courier" w:hAnsi="Courier"/>
      <w:sz w:val="22"/>
    </w:rPr>
  </w:style>
  <w:style w:type="character" w:styleId="PageNumber">
    <w:name w:val="page number"/>
    <w:semiHidden/>
    <w:rsid w:val="00D6679C"/>
    <w:rPr>
      <w:rFonts w:cs="Times New Roman"/>
    </w:rPr>
  </w:style>
  <w:style w:type="character" w:customStyle="1" w:styleId="SubtitleChar">
    <w:name w:val="Subtitle Char"/>
    <w:link w:val="Subtitle"/>
    <w:locked/>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link w:val="BodyText"/>
    <w:semiHidden/>
    <w:locked/>
    <w:rsid w:val="00D6679C"/>
    <w:rPr>
      <w:rFonts w:cs="Times New Roman"/>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link w:val="BodyText2"/>
    <w:semiHidden/>
    <w:locked/>
    <w:rsid w:val="00D6679C"/>
    <w:rPr>
      <w:rFonts w:cs="Times New Roman"/>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locked/>
    <w:rsid w:val="00D6679C"/>
    <w:rPr>
      <w:rFonts w:cs="Times New Roman"/>
      <w:sz w:val="24"/>
      <w:lang w:val="en-US" w:eastAsia="en-US"/>
    </w:rPr>
  </w:style>
  <w:style w:type="character" w:customStyle="1" w:styleId="FootnoteTextChar">
    <w:name w:val="Footnote Text Char"/>
    <w:aliases w:val="single space Char2,fn Char,ALTS FOOTNOTE Char,FOOTNOTES Char,Footnote Text1 Char,Fodnotetekst Tegn Char2,footnote text Char Char,Fodnotetekst Tegn Char Char,single space Char Char,footnote text Char Char Char Char,ADB Char,Char Char"/>
    <w:link w:val="FootnoteText"/>
    <w:uiPriority w:val="99"/>
    <w:locked/>
    <w:rsid w:val="00D6679C"/>
    <w:rPr>
      <w:rFonts w:ascii="Courier" w:hAnsi="Courier" w:cs="Times New Roman"/>
      <w:lang w:val="en-US" w:eastAsia="en-US"/>
    </w:rPr>
  </w:style>
  <w:style w:type="character" w:styleId="FollowedHyperlink">
    <w:name w:val="FollowedHyperlink"/>
    <w:rsid w:val="000130D7"/>
    <w:rPr>
      <w:color w:val="800080"/>
      <w:u w:val="single"/>
    </w:rPr>
  </w:style>
  <w:style w:type="character" w:customStyle="1" w:styleId="st1">
    <w:name w:val="st1"/>
    <w:rsid w:val="00DB2B31"/>
  </w:style>
  <w:style w:type="paragraph" w:styleId="Caption">
    <w:name w:val="caption"/>
    <w:basedOn w:val="Normal"/>
    <w:next w:val="Normal"/>
    <w:uiPriority w:val="35"/>
    <w:qFormat/>
    <w:locked/>
    <w:rsid w:val="00930677"/>
    <w:pPr>
      <w:overflowPunct w:val="0"/>
      <w:autoSpaceDE w:val="0"/>
      <w:autoSpaceDN w:val="0"/>
      <w:adjustRightInd w:val="0"/>
      <w:textAlignment w:val="baseline"/>
    </w:pPr>
    <w:rPr>
      <w:b/>
      <w:bCs/>
    </w:rPr>
  </w:style>
  <w:style w:type="character" w:customStyle="1" w:styleId="hps">
    <w:name w:val="hps"/>
    <w:basedOn w:val="DefaultParagraphFont"/>
    <w:rsid w:val="00930677"/>
  </w:style>
  <w:style w:type="paragraph" w:customStyle="1" w:styleId="Paragraphedeliste1">
    <w:name w:val="Paragraphe de liste1"/>
    <w:basedOn w:val="Normal"/>
    <w:qFormat/>
    <w:rsid w:val="00F553CC"/>
    <w:pPr>
      <w:ind w:left="720"/>
    </w:pPr>
  </w:style>
  <w:style w:type="paragraph" w:customStyle="1" w:styleId="Listecouleur-Accent11">
    <w:name w:val="Liste couleur - Accent 11"/>
    <w:basedOn w:val="Normal"/>
    <w:uiPriority w:val="34"/>
    <w:qFormat/>
    <w:rsid w:val="00BB2442"/>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F596D"/>
  </w:style>
  <w:style w:type="paragraph" w:styleId="EndnoteText">
    <w:name w:val="endnote text"/>
    <w:basedOn w:val="Normal"/>
    <w:link w:val="EndnoteTextChar"/>
    <w:uiPriority w:val="99"/>
    <w:unhideWhenUsed/>
    <w:rsid w:val="007E25C0"/>
    <w:rPr>
      <w:rFonts w:ascii="Calibri" w:eastAsia="Calibri" w:hAnsi="Calibri"/>
    </w:rPr>
  </w:style>
  <w:style w:type="character" w:customStyle="1" w:styleId="EndnoteTextChar">
    <w:name w:val="Endnote Text Char"/>
    <w:link w:val="EndnoteText"/>
    <w:uiPriority w:val="99"/>
    <w:rsid w:val="007E25C0"/>
    <w:rPr>
      <w:rFonts w:ascii="Calibri" w:eastAsia="Calibri" w:hAnsi="Calibri" w:cs="Times New Roman"/>
      <w:lang w:val="fr-FR" w:eastAsia="en-US"/>
    </w:rPr>
  </w:style>
  <w:style w:type="character" w:styleId="EndnoteReference">
    <w:name w:val="endnote reference"/>
    <w:uiPriority w:val="99"/>
    <w:unhideWhenUsed/>
    <w:rsid w:val="007E25C0"/>
    <w:rPr>
      <w:vertAlign w:val="superscript"/>
    </w:rPr>
  </w:style>
  <w:style w:type="paragraph" w:styleId="TOCHeading">
    <w:name w:val="TOC Heading"/>
    <w:basedOn w:val="Heading1"/>
    <w:next w:val="Normal"/>
    <w:uiPriority w:val="39"/>
    <w:semiHidden/>
    <w:unhideWhenUsed/>
    <w:qFormat/>
    <w:rsid w:val="00D83331"/>
    <w:pPr>
      <w:keepLines/>
      <w:widowControl/>
      <w:suppressAutoHyphens w:val="0"/>
      <w:spacing w:before="480" w:line="276" w:lineRule="auto"/>
      <w:outlineLvl w:val="9"/>
    </w:pPr>
    <w:rPr>
      <w:rFonts w:ascii="Calibri Light" w:eastAsia="MS Gothic" w:hAnsi="Calibri Light"/>
      <w:bCs/>
      <w:color w:val="2E74B5"/>
      <w:spacing w:val="0"/>
      <w:szCs w:val="28"/>
      <w:lang w:val="fr-FR" w:eastAsia="fr-FR"/>
    </w:rPr>
  </w:style>
  <w:style w:type="paragraph" w:styleId="TOC2">
    <w:name w:val="toc 2"/>
    <w:basedOn w:val="Normal"/>
    <w:next w:val="Normal"/>
    <w:autoRedefine/>
    <w:uiPriority w:val="39"/>
    <w:rsid w:val="00F605C5"/>
    <w:pPr>
      <w:tabs>
        <w:tab w:val="left" w:pos="630"/>
        <w:tab w:val="left" w:pos="1260"/>
        <w:tab w:val="right" w:leader="dot" w:pos="9840"/>
      </w:tabs>
      <w:spacing w:after="100"/>
      <w:ind w:left="709"/>
    </w:pPr>
  </w:style>
  <w:style w:type="paragraph" w:styleId="TOC1">
    <w:name w:val="toc 1"/>
    <w:basedOn w:val="Normal"/>
    <w:next w:val="Normal"/>
    <w:autoRedefine/>
    <w:uiPriority w:val="39"/>
    <w:rsid w:val="00D83331"/>
    <w:pPr>
      <w:spacing w:after="100"/>
    </w:pPr>
  </w:style>
  <w:style w:type="character" w:customStyle="1" w:styleId="st">
    <w:name w:val="st"/>
    <w:basedOn w:val="DefaultParagraphFont"/>
    <w:rsid w:val="003256AA"/>
  </w:style>
  <w:style w:type="character" w:styleId="Emphasis">
    <w:name w:val="Emphasis"/>
    <w:uiPriority w:val="20"/>
    <w:qFormat/>
    <w:locked/>
    <w:rsid w:val="003256AA"/>
    <w:rPr>
      <w:i/>
      <w:iCs/>
    </w:rPr>
  </w:style>
  <w:style w:type="character" w:customStyle="1" w:styleId="Heading3Char">
    <w:name w:val="Heading 3 Char"/>
    <w:link w:val="Heading3"/>
    <w:rsid w:val="002141DE"/>
    <w:rPr>
      <w:rFonts w:ascii="Calibri Light" w:eastAsia="MS Gothic" w:hAnsi="Calibri Light"/>
      <w:color w:val="1F4D78"/>
      <w:sz w:val="24"/>
      <w:szCs w:val="24"/>
      <w:lang w:val="en-US" w:eastAsia="en-US"/>
    </w:rPr>
  </w:style>
  <w:style w:type="character" w:customStyle="1" w:styleId="apple-converted-space">
    <w:name w:val="apple-converted-space"/>
    <w:basedOn w:val="DefaultParagraphFont"/>
    <w:rsid w:val="005D088B"/>
  </w:style>
  <w:style w:type="character" w:customStyle="1" w:styleId="ListParagraphChar">
    <w:name w:val="List Paragraph Char"/>
    <w:aliases w:val="List Paragraph (numbered (a)) Char,Numbered Paragraph Char,Main numbered paragraph Char,References Char,Numbered List Paragraph Char,123 List Paragraph Char,List Paragraph1 Char,WB Para Char,Lapis Bulleted List Char,Dot pt Char"/>
    <w:link w:val="ListParagraph"/>
    <w:uiPriority w:val="34"/>
    <w:qFormat/>
    <w:locked/>
    <w:rsid w:val="00DF06C6"/>
    <w:rPr>
      <w:lang w:val="en-US" w:eastAsia="en-US"/>
    </w:rPr>
  </w:style>
  <w:style w:type="paragraph" w:styleId="NormalWeb">
    <w:name w:val="Normal (Web)"/>
    <w:basedOn w:val="Normal"/>
    <w:uiPriority w:val="99"/>
    <w:unhideWhenUsed/>
    <w:rsid w:val="00031E88"/>
    <w:pPr>
      <w:spacing w:before="100" w:beforeAutospacing="1" w:after="100" w:afterAutospacing="1"/>
    </w:pPr>
    <w:rPr>
      <w:rFonts w:ascii="Times" w:eastAsia="Arial Unicode MS" w:hAnsi="Times"/>
      <w:lang w:val="en-SG" w:eastAsia="ru-RU"/>
    </w:rPr>
  </w:style>
  <w:style w:type="character" w:customStyle="1" w:styleId="Mention1">
    <w:name w:val="Mention1"/>
    <w:basedOn w:val="DefaultParagraphFont"/>
    <w:uiPriority w:val="99"/>
    <w:semiHidden/>
    <w:unhideWhenUsed/>
    <w:rsid w:val="00AB4E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6122490">
      <w:bodyDiv w:val="1"/>
      <w:marLeft w:val="0"/>
      <w:marRight w:val="0"/>
      <w:marTop w:val="0"/>
      <w:marBottom w:val="0"/>
      <w:divBdr>
        <w:top w:val="none" w:sz="0" w:space="0" w:color="auto"/>
        <w:left w:val="none" w:sz="0" w:space="0" w:color="auto"/>
        <w:bottom w:val="none" w:sz="0" w:space="0" w:color="auto"/>
        <w:right w:val="none" w:sz="0" w:space="0" w:color="auto"/>
      </w:divBdr>
      <w:divsChild>
        <w:div w:id="1797334933">
          <w:marLeft w:val="0"/>
          <w:marRight w:val="0"/>
          <w:marTop w:val="0"/>
          <w:marBottom w:val="0"/>
          <w:divBdr>
            <w:top w:val="none" w:sz="0" w:space="0" w:color="auto"/>
            <w:left w:val="none" w:sz="0" w:space="0" w:color="auto"/>
            <w:bottom w:val="none" w:sz="0" w:space="0" w:color="auto"/>
            <w:right w:val="none" w:sz="0" w:space="0" w:color="auto"/>
          </w:divBdr>
          <w:divsChild>
            <w:div w:id="4195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99498">
      <w:bodyDiv w:val="1"/>
      <w:marLeft w:val="0"/>
      <w:marRight w:val="0"/>
      <w:marTop w:val="0"/>
      <w:marBottom w:val="0"/>
      <w:divBdr>
        <w:top w:val="none" w:sz="0" w:space="0" w:color="auto"/>
        <w:left w:val="none" w:sz="0" w:space="0" w:color="auto"/>
        <w:bottom w:val="none" w:sz="0" w:space="0" w:color="auto"/>
        <w:right w:val="none" w:sz="0" w:space="0" w:color="auto"/>
      </w:divBdr>
    </w:div>
    <w:div w:id="276568897">
      <w:bodyDiv w:val="1"/>
      <w:marLeft w:val="0"/>
      <w:marRight w:val="0"/>
      <w:marTop w:val="0"/>
      <w:marBottom w:val="0"/>
      <w:divBdr>
        <w:top w:val="none" w:sz="0" w:space="0" w:color="auto"/>
        <w:left w:val="none" w:sz="0" w:space="0" w:color="auto"/>
        <w:bottom w:val="none" w:sz="0" w:space="0" w:color="auto"/>
        <w:right w:val="none" w:sz="0" w:space="0" w:color="auto"/>
      </w:divBdr>
    </w:div>
    <w:div w:id="277031421">
      <w:bodyDiv w:val="1"/>
      <w:marLeft w:val="0"/>
      <w:marRight w:val="0"/>
      <w:marTop w:val="0"/>
      <w:marBottom w:val="0"/>
      <w:divBdr>
        <w:top w:val="none" w:sz="0" w:space="0" w:color="auto"/>
        <w:left w:val="none" w:sz="0" w:space="0" w:color="auto"/>
        <w:bottom w:val="none" w:sz="0" w:space="0" w:color="auto"/>
        <w:right w:val="none" w:sz="0" w:space="0" w:color="auto"/>
      </w:divBdr>
      <w:divsChild>
        <w:div w:id="944533105">
          <w:marLeft w:val="907"/>
          <w:marRight w:val="0"/>
          <w:marTop w:val="130"/>
          <w:marBottom w:val="0"/>
          <w:divBdr>
            <w:top w:val="none" w:sz="0" w:space="0" w:color="auto"/>
            <w:left w:val="none" w:sz="0" w:space="0" w:color="auto"/>
            <w:bottom w:val="none" w:sz="0" w:space="0" w:color="auto"/>
            <w:right w:val="none" w:sz="0" w:space="0" w:color="auto"/>
          </w:divBdr>
        </w:div>
      </w:divsChild>
    </w:div>
    <w:div w:id="336272393">
      <w:bodyDiv w:val="1"/>
      <w:marLeft w:val="0"/>
      <w:marRight w:val="0"/>
      <w:marTop w:val="0"/>
      <w:marBottom w:val="0"/>
      <w:divBdr>
        <w:top w:val="none" w:sz="0" w:space="0" w:color="auto"/>
        <w:left w:val="none" w:sz="0" w:space="0" w:color="auto"/>
        <w:bottom w:val="none" w:sz="0" w:space="0" w:color="auto"/>
        <w:right w:val="none" w:sz="0" w:space="0" w:color="auto"/>
      </w:divBdr>
    </w:div>
    <w:div w:id="372078118">
      <w:bodyDiv w:val="1"/>
      <w:marLeft w:val="0"/>
      <w:marRight w:val="0"/>
      <w:marTop w:val="0"/>
      <w:marBottom w:val="0"/>
      <w:divBdr>
        <w:top w:val="none" w:sz="0" w:space="0" w:color="auto"/>
        <w:left w:val="none" w:sz="0" w:space="0" w:color="auto"/>
        <w:bottom w:val="none" w:sz="0" w:space="0" w:color="auto"/>
        <w:right w:val="none" w:sz="0" w:space="0" w:color="auto"/>
      </w:divBdr>
    </w:div>
    <w:div w:id="455296361">
      <w:bodyDiv w:val="1"/>
      <w:marLeft w:val="0"/>
      <w:marRight w:val="0"/>
      <w:marTop w:val="0"/>
      <w:marBottom w:val="0"/>
      <w:divBdr>
        <w:top w:val="none" w:sz="0" w:space="0" w:color="auto"/>
        <w:left w:val="none" w:sz="0" w:space="0" w:color="auto"/>
        <w:bottom w:val="none" w:sz="0" w:space="0" w:color="auto"/>
        <w:right w:val="none" w:sz="0" w:space="0" w:color="auto"/>
      </w:divBdr>
    </w:div>
    <w:div w:id="493569413">
      <w:bodyDiv w:val="1"/>
      <w:marLeft w:val="0"/>
      <w:marRight w:val="0"/>
      <w:marTop w:val="0"/>
      <w:marBottom w:val="0"/>
      <w:divBdr>
        <w:top w:val="none" w:sz="0" w:space="0" w:color="auto"/>
        <w:left w:val="none" w:sz="0" w:space="0" w:color="auto"/>
        <w:bottom w:val="none" w:sz="0" w:space="0" w:color="auto"/>
        <w:right w:val="none" w:sz="0" w:space="0" w:color="auto"/>
      </w:divBdr>
    </w:div>
    <w:div w:id="501967799">
      <w:bodyDiv w:val="1"/>
      <w:marLeft w:val="0"/>
      <w:marRight w:val="0"/>
      <w:marTop w:val="0"/>
      <w:marBottom w:val="0"/>
      <w:divBdr>
        <w:top w:val="none" w:sz="0" w:space="0" w:color="auto"/>
        <w:left w:val="none" w:sz="0" w:space="0" w:color="auto"/>
        <w:bottom w:val="none" w:sz="0" w:space="0" w:color="auto"/>
        <w:right w:val="none" w:sz="0" w:space="0" w:color="auto"/>
      </w:divBdr>
    </w:div>
    <w:div w:id="507445675">
      <w:marLeft w:val="0"/>
      <w:marRight w:val="0"/>
      <w:marTop w:val="0"/>
      <w:marBottom w:val="0"/>
      <w:divBdr>
        <w:top w:val="none" w:sz="0" w:space="0" w:color="auto"/>
        <w:left w:val="none" w:sz="0" w:space="0" w:color="auto"/>
        <w:bottom w:val="none" w:sz="0" w:space="0" w:color="auto"/>
        <w:right w:val="none" w:sz="0" w:space="0" w:color="auto"/>
      </w:divBdr>
      <w:divsChild>
        <w:div w:id="88892666">
          <w:marLeft w:val="0"/>
          <w:marRight w:val="0"/>
          <w:marTop w:val="0"/>
          <w:marBottom w:val="0"/>
          <w:divBdr>
            <w:top w:val="none" w:sz="0" w:space="0" w:color="auto"/>
            <w:left w:val="none" w:sz="0" w:space="0" w:color="auto"/>
            <w:bottom w:val="none" w:sz="0" w:space="0" w:color="auto"/>
            <w:right w:val="none" w:sz="0" w:space="0" w:color="auto"/>
          </w:divBdr>
          <w:divsChild>
            <w:div w:id="145558569">
              <w:marLeft w:val="0"/>
              <w:marRight w:val="0"/>
              <w:marTop w:val="0"/>
              <w:marBottom w:val="0"/>
              <w:divBdr>
                <w:top w:val="none" w:sz="0" w:space="0" w:color="auto"/>
                <w:left w:val="none" w:sz="0" w:space="0" w:color="auto"/>
                <w:bottom w:val="none" w:sz="0" w:space="0" w:color="auto"/>
                <w:right w:val="none" w:sz="0" w:space="0" w:color="auto"/>
              </w:divBdr>
            </w:div>
            <w:div w:id="1470126390">
              <w:marLeft w:val="0"/>
              <w:marRight w:val="0"/>
              <w:marTop w:val="45"/>
              <w:marBottom w:val="0"/>
              <w:divBdr>
                <w:top w:val="none" w:sz="0" w:space="0" w:color="auto"/>
                <w:left w:val="none" w:sz="0" w:space="0" w:color="auto"/>
                <w:bottom w:val="none" w:sz="0" w:space="0" w:color="auto"/>
                <w:right w:val="none" w:sz="0" w:space="0" w:color="auto"/>
              </w:divBdr>
              <w:divsChild>
                <w:div w:id="1443190785">
                  <w:marLeft w:val="0"/>
                  <w:marRight w:val="0"/>
                  <w:marTop w:val="0"/>
                  <w:marBottom w:val="0"/>
                  <w:divBdr>
                    <w:top w:val="none" w:sz="0" w:space="0" w:color="auto"/>
                    <w:left w:val="none" w:sz="0" w:space="0" w:color="auto"/>
                    <w:bottom w:val="none" w:sz="0" w:space="0" w:color="auto"/>
                    <w:right w:val="none" w:sz="0" w:space="0" w:color="auto"/>
                  </w:divBdr>
                  <w:divsChild>
                    <w:div w:id="1899047157">
                      <w:marLeft w:val="2070"/>
                      <w:marRight w:val="3810"/>
                      <w:marTop w:val="0"/>
                      <w:marBottom w:val="0"/>
                      <w:divBdr>
                        <w:top w:val="none" w:sz="0" w:space="0" w:color="auto"/>
                        <w:left w:val="none" w:sz="0" w:space="0" w:color="auto"/>
                        <w:bottom w:val="none" w:sz="0" w:space="0" w:color="auto"/>
                        <w:right w:val="none" w:sz="0" w:space="0" w:color="auto"/>
                      </w:divBdr>
                      <w:divsChild>
                        <w:div w:id="604851891">
                          <w:marLeft w:val="0"/>
                          <w:marRight w:val="0"/>
                          <w:marTop w:val="0"/>
                          <w:marBottom w:val="0"/>
                          <w:divBdr>
                            <w:top w:val="none" w:sz="0" w:space="0" w:color="auto"/>
                            <w:left w:val="none" w:sz="0" w:space="0" w:color="auto"/>
                            <w:bottom w:val="none" w:sz="0" w:space="0" w:color="auto"/>
                            <w:right w:val="none" w:sz="0" w:space="0" w:color="auto"/>
                          </w:divBdr>
                          <w:divsChild>
                            <w:div w:id="1746562203">
                              <w:marLeft w:val="0"/>
                              <w:marRight w:val="0"/>
                              <w:marTop w:val="0"/>
                              <w:marBottom w:val="0"/>
                              <w:divBdr>
                                <w:top w:val="none" w:sz="0" w:space="0" w:color="auto"/>
                                <w:left w:val="none" w:sz="0" w:space="0" w:color="auto"/>
                                <w:bottom w:val="none" w:sz="0" w:space="0" w:color="auto"/>
                                <w:right w:val="none" w:sz="0" w:space="0" w:color="auto"/>
                              </w:divBdr>
                              <w:divsChild>
                                <w:div w:id="943614863">
                                  <w:marLeft w:val="0"/>
                                  <w:marRight w:val="0"/>
                                  <w:marTop w:val="0"/>
                                  <w:marBottom w:val="240"/>
                                  <w:divBdr>
                                    <w:top w:val="none" w:sz="0" w:space="0" w:color="auto"/>
                                    <w:left w:val="none" w:sz="0" w:space="0" w:color="auto"/>
                                    <w:bottom w:val="none" w:sz="0" w:space="0" w:color="auto"/>
                                    <w:right w:val="none" w:sz="0" w:space="0" w:color="auto"/>
                                  </w:divBdr>
                                  <w:divsChild>
                                    <w:div w:id="586501657">
                                      <w:marLeft w:val="0"/>
                                      <w:marRight w:val="0"/>
                                      <w:marTop w:val="0"/>
                                      <w:marBottom w:val="0"/>
                                      <w:divBdr>
                                        <w:top w:val="none" w:sz="0" w:space="0" w:color="auto"/>
                                        <w:left w:val="none" w:sz="0" w:space="0" w:color="auto"/>
                                        <w:bottom w:val="none" w:sz="0" w:space="0" w:color="auto"/>
                                        <w:right w:val="none" w:sz="0" w:space="0" w:color="auto"/>
                                      </w:divBdr>
                                      <w:divsChild>
                                        <w:div w:id="497040312">
                                          <w:marLeft w:val="0"/>
                                          <w:marRight w:val="0"/>
                                          <w:marTop w:val="0"/>
                                          <w:marBottom w:val="0"/>
                                          <w:divBdr>
                                            <w:top w:val="none" w:sz="0" w:space="0" w:color="auto"/>
                                            <w:left w:val="none" w:sz="0" w:space="0" w:color="auto"/>
                                            <w:bottom w:val="none" w:sz="0" w:space="0" w:color="auto"/>
                                            <w:right w:val="none" w:sz="0" w:space="0" w:color="auto"/>
                                          </w:divBdr>
                                        </w:div>
                                        <w:div w:id="6413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9517">
                          <w:marLeft w:val="0"/>
                          <w:marRight w:val="0"/>
                          <w:marTop w:val="0"/>
                          <w:marBottom w:val="0"/>
                          <w:divBdr>
                            <w:top w:val="none" w:sz="0" w:space="0" w:color="auto"/>
                            <w:left w:val="none" w:sz="0" w:space="0" w:color="auto"/>
                            <w:bottom w:val="none" w:sz="0" w:space="0" w:color="auto"/>
                            <w:right w:val="none" w:sz="0" w:space="0" w:color="auto"/>
                          </w:divBdr>
                          <w:divsChild>
                            <w:div w:id="811824771">
                              <w:marLeft w:val="0"/>
                              <w:marRight w:val="0"/>
                              <w:marTop w:val="0"/>
                              <w:marBottom w:val="0"/>
                              <w:divBdr>
                                <w:top w:val="none" w:sz="0" w:space="0" w:color="auto"/>
                                <w:left w:val="none" w:sz="0" w:space="0" w:color="auto"/>
                                <w:bottom w:val="none" w:sz="0" w:space="0" w:color="auto"/>
                                <w:right w:val="none" w:sz="0" w:space="0" w:color="auto"/>
                              </w:divBdr>
                              <w:divsChild>
                                <w:div w:id="5629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1036">
                          <w:marLeft w:val="0"/>
                          <w:marRight w:val="0"/>
                          <w:marTop w:val="0"/>
                          <w:marBottom w:val="0"/>
                          <w:divBdr>
                            <w:top w:val="none" w:sz="0" w:space="0" w:color="auto"/>
                            <w:left w:val="none" w:sz="0" w:space="0" w:color="auto"/>
                            <w:bottom w:val="none" w:sz="0" w:space="0" w:color="auto"/>
                            <w:right w:val="none" w:sz="0" w:space="0" w:color="auto"/>
                          </w:divBdr>
                          <w:divsChild>
                            <w:div w:id="1186402470">
                              <w:marLeft w:val="0"/>
                              <w:marRight w:val="0"/>
                              <w:marTop w:val="0"/>
                              <w:marBottom w:val="0"/>
                              <w:divBdr>
                                <w:top w:val="none" w:sz="0" w:space="0" w:color="auto"/>
                                <w:left w:val="none" w:sz="0" w:space="0" w:color="auto"/>
                                <w:bottom w:val="none" w:sz="0" w:space="0" w:color="auto"/>
                                <w:right w:val="none" w:sz="0" w:space="0" w:color="auto"/>
                              </w:divBdr>
                              <w:divsChild>
                                <w:div w:id="1741369950">
                                  <w:marLeft w:val="0"/>
                                  <w:marRight w:val="0"/>
                                  <w:marTop w:val="0"/>
                                  <w:marBottom w:val="0"/>
                                  <w:divBdr>
                                    <w:top w:val="none" w:sz="0" w:space="0" w:color="auto"/>
                                    <w:left w:val="none" w:sz="0" w:space="0" w:color="auto"/>
                                    <w:bottom w:val="none" w:sz="0" w:space="0" w:color="auto"/>
                                    <w:right w:val="none" w:sz="0" w:space="0" w:color="auto"/>
                                  </w:divBdr>
                                  <w:divsChild>
                                    <w:div w:id="881092271">
                                      <w:marLeft w:val="0"/>
                                      <w:marRight w:val="0"/>
                                      <w:marTop w:val="0"/>
                                      <w:marBottom w:val="0"/>
                                      <w:divBdr>
                                        <w:top w:val="none" w:sz="0" w:space="0" w:color="auto"/>
                                        <w:left w:val="none" w:sz="0" w:space="0" w:color="auto"/>
                                        <w:bottom w:val="none" w:sz="0" w:space="0" w:color="auto"/>
                                        <w:right w:val="none" w:sz="0" w:space="0" w:color="auto"/>
                                      </w:divBdr>
                                      <w:divsChild>
                                        <w:div w:id="1796677022">
                                          <w:marLeft w:val="0"/>
                                          <w:marRight w:val="0"/>
                                          <w:marTop w:val="0"/>
                                          <w:marBottom w:val="0"/>
                                          <w:divBdr>
                                            <w:top w:val="none" w:sz="0" w:space="0" w:color="auto"/>
                                            <w:left w:val="none" w:sz="0" w:space="0" w:color="auto"/>
                                            <w:bottom w:val="none" w:sz="0" w:space="0" w:color="auto"/>
                                            <w:right w:val="none" w:sz="0" w:space="0" w:color="auto"/>
                                          </w:divBdr>
                                          <w:divsChild>
                                            <w:div w:id="1227180303">
                                              <w:marLeft w:val="0"/>
                                              <w:marRight w:val="0"/>
                                              <w:marTop w:val="0"/>
                                              <w:marBottom w:val="0"/>
                                              <w:divBdr>
                                                <w:top w:val="none" w:sz="0" w:space="0" w:color="auto"/>
                                                <w:left w:val="none" w:sz="0" w:space="0" w:color="auto"/>
                                                <w:bottom w:val="none" w:sz="0" w:space="0" w:color="auto"/>
                                                <w:right w:val="none" w:sz="0" w:space="0" w:color="auto"/>
                                              </w:divBdr>
                                              <w:divsChild>
                                                <w:div w:id="929507926">
                                                  <w:marLeft w:val="0"/>
                                                  <w:marRight w:val="0"/>
                                                  <w:marTop w:val="0"/>
                                                  <w:marBottom w:val="0"/>
                                                  <w:divBdr>
                                                    <w:top w:val="none" w:sz="0" w:space="0" w:color="auto"/>
                                                    <w:left w:val="none" w:sz="0" w:space="0" w:color="auto"/>
                                                    <w:bottom w:val="none" w:sz="0" w:space="0" w:color="auto"/>
                                                    <w:right w:val="none" w:sz="0" w:space="0" w:color="auto"/>
                                                  </w:divBdr>
                                                  <w:divsChild>
                                                    <w:div w:id="15810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0858">
                                      <w:marLeft w:val="0"/>
                                      <w:marRight w:val="0"/>
                                      <w:marTop w:val="0"/>
                                      <w:marBottom w:val="0"/>
                                      <w:divBdr>
                                        <w:top w:val="none" w:sz="0" w:space="0" w:color="auto"/>
                                        <w:left w:val="none" w:sz="0" w:space="0" w:color="auto"/>
                                        <w:bottom w:val="none" w:sz="0" w:space="0" w:color="auto"/>
                                        <w:right w:val="none" w:sz="0" w:space="0" w:color="auto"/>
                                      </w:divBdr>
                                      <w:divsChild>
                                        <w:div w:id="388579171">
                                          <w:marLeft w:val="0"/>
                                          <w:marRight w:val="0"/>
                                          <w:marTop w:val="0"/>
                                          <w:marBottom w:val="0"/>
                                          <w:divBdr>
                                            <w:top w:val="none" w:sz="0" w:space="0" w:color="auto"/>
                                            <w:left w:val="none" w:sz="0" w:space="0" w:color="auto"/>
                                            <w:bottom w:val="none" w:sz="0" w:space="0" w:color="auto"/>
                                            <w:right w:val="none" w:sz="0" w:space="0" w:color="auto"/>
                                          </w:divBdr>
                                          <w:divsChild>
                                            <w:div w:id="181357714">
                                              <w:marLeft w:val="0"/>
                                              <w:marRight w:val="0"/>
                                              <w:marTop w:val="0"/>
                                              <w:marBottom w:val="0"/>
                                              <w:divBdr>
                                                <w:top w:val="none" w:sz="0" w:space="0" w:color="auto"/>
                                                <w:left w:val="none" w:sz="0" w:space="0" w:color="auto"/>
                                                <w:bottom w:val="none" w:sz="0" w:space="0" w:color="auto"/>
                                                <w:right w:val="none" w:sz="0" w:space="0" w:color="auto"/>
                                              </w:divBdr>
                                              <w:divsChild>
                                                <w:div w:id="375011195">
                                                  <w:marLeft w:val="0"/>
                                                  <w:marRight w:val="0"/>
                                                  <w:marTop w:val="0"/>
                                                  <w:marBottom w:val="0"/>
                                                  <w:divBdr>
                                                    <w:top w:val="none" w:sz="0" w:space="0" w:color="auto"/>
                                                    <w:left w:val="none" w:sz="0" w:space="0" w:color="auto"/>
                                                    <w:bottom w:val="none" w:sz="0" w:space="0" w:color="auto"/>
                                                    <w:right w:val="none" w:sz="0" w:space="0" w:color="auto"/>
                                                  </w:divBdr>
                                                </w:div>
                                                <w:div w:id="1129593687">
                                                  <w:marLeft w:val="0"/>
                                                  <w:marRight w:val="0"/>
                                                  <w:marTop w:val="0"/>
                                                  <w:marBottom w:val="0"/>
                                                  <w:divBdr>
                                                    <w:top w:val="none" w:sz="0" w:space="0" w:color="auto"/>
                                                    <w:left w:val="none" w:sz="0" w:space="0" w:color="auto"/>
                                                    <w:bottom w:val="none" w:sz="0" w:space="0" w:color="auto"/>
                                                    <w:right w:val="none" w:sz="0" w:space="0" w:color="auto"/>
                                                  </w:divBdr>
                                                </w:div>
                                              </w:divsChild>
                                            </w:div>
                                            <w:div w:id="1808159855">
                                              <w:marLeft w:val="0"/>
                                              <w:marRight w:val="0"/>
                                              <w:marTop w:val="0"/>
                                              <w:marBottom w:val="0"/>
                                              <w:divBdr>
                                                <w:top w:val="none" w:sz="0" w:space="0" w:color="auto"/>
                                                <w:left w:val="none" w:sz="0" w:space="0" w:color="auto"/>
                                                <w:bottom w:val="none" w:sz="0" w:space="0" w:color="auto"/>
                                                <w:right w:val="none" w:sz="0" w:space="0" w:color="auto"/>
                                              </w:divBdr>
                                            </w:div>
                                            <w:div w:id="1971863845">
                                              <w:marLeft w:val="0"/>
                                              <w:marRight w:val="0"/>
                                              <w:marTop w:val="0"/>
                                              <w:marBottom w:val="0"/>
                                              <w:divBdr>
                                                <w:top w:val="none" w:sz="0" w:space="0" w:color="auto"/>
                                                <w:left w:val="none" w:sz="0" w:space="0" w:color="auto"/>
                                                <w:bottom w:val="none" w:sz="0" w:space="0" w:color="auto"/>
                                                <w:right w:val="none" w:sz="0" w:space="0" w:color="auto"/>
                                              </w:divBdr>
                                              <w:divsChild>
                                                <w:div w:id="126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9209">
                                          <w:marLeft w:val="0"/>
                                          <w:marRight w:val="0"/>
                                          <w:marTop w:val="0"/>
                                          <w:marBottom w:val="0"/>
                                          <w:divBdr>
                                            <w:top w:val="none" w:sz="0" w:space="0" w:color="auto"/>
                                            <w:left w:val="none" w:sz="0" w:space="0" w:color="auto"/>
                                            <w:bottom w:val="none" w:sz="0" w:space="0" w:color="auto"/>
                                            <w:right w:val="none" w:sz="0" w:space="0" w:color="auto"/>
                                          </w:divBdr>
                                          <w:divsChild>
                                            <w:div w:id="206727860">
                                              <w:marLeft w:val="0"/>
                                              <w:marRight w:val="0"/>
                                              <w:marTop w:val="0"/>
                                              <w:marBottom w:val="0"/>
                                              <w:divBdr>
                                                <w:top w:val="none" w:sz="0" w:space="0" w:color="auto"/>
                                                <w:left w:val="none" w:sz="0" w:space="0" w:color="auto"/>
                                                <w:bottom w:val="none" w:sz="0" w:space="0" w:color="auto"/>
                                                <w:right w:val="none" w:sz="0" w:space="0" w:color="auto"/>
                                              </w:divBdr>
                                              <w:divsChild>
                                                <w:div w:id="468060615">
                                                  <w:marLeft w:val="0"/>
                                                  <w:marRight w:val="0"/>
                                                  <w:marTop w:val="0"/>
                                                  <w:marBottom w:val="0"/>
                                                  <w:divBdr>
                                                    <w:top w:val="none" w:sz="0" w:space="0" w:color="auto"/>
                                                    <w:left w:val="none" w:sz="0" w:space="0" w:color="auto"/>
                                                    <w:bottom w:val="none" w:sz="0" w:space="0" w:color="auto"/>
                                                    <w:right w:val="none" w:sz="0" w:space="0" w:color="auto"/>
                                                  </w:divBdr>
                                                  <w:divsChild>
                                                    <w:div w:id="1569420050">
                                                      <w:marLeft w:val="0"/>
                                                      <w:marRight w:val="0"/>
                                                      <w:marTop w:val="0"/>
                                                      <w:marBottom w:val="0"/>
                                                      <w:divBdr>
                                                        <w:top w:val="none" w:sz="0" w:space="0" w:color="auto"/>
                                                        <w:left w:val="none" w:sz="0" w:space="0" w:color="auto"/>
                                                        <w:bottom w:val="none" w:sz="0" w:space="0" w:color="auto"/>
                                                        <w:right w:val="none" w:sz="0" w:space="0" w:color="auto"/>
                                                      </w:divBdr>
                                                      <w:divsChild>
                                                        <w:div w:id="1926376744">
                                                          <w:marLeft w:val="0"/>
                                                          <w:marRight w:val="0"/>
                                                          <w:marTop w:val="0"/>
                                                          <w:marBottom w:val="0"/>
                                                          <w:divBdr>
                                                            <w:top w:val="none" w:sz="0" w:space="0" w:color="auto"/>
                                                            <w:left w:val="none" w:sz="0" w:space="0" w:color="auto"/>
                                                            <w:bottom w:val="none" w:sz="0" w:space="0" w:color="auto"/>
                                                            <w:right w:val="none" w:sz="0" w:space="0" w:color="auto"/>
                                                          </w:divBdr>
                                                          <w:divsChild>
                                                            <w:div w:id="707603792">
                                                              <w:marLeft w:val="0"/>
                                                              <w:marRight w:val="0"/>
                                                              <w:marTop w:val="0"/>
                                                              <w:marBottom w:val="0"/>
                                                              <w:divBdr>
                                                                <w:top w:val="none" w:sz="0" w:space="0" w:color="auto"/>
                                                                <w:left w:val="none" w:sz="0" w:space="0" w:color="auto"/>
                                                                <w:bottom w:val="none" w:sz="0" w:space="0" w:color="auto"/>
                                                                <w:right w:val="none" w:sz="0" w:space="0" w:color="auto"/>
                                                              </w:divBdr>
                                                              <w:divsChild>
                                                                <w:div w:id="141891857">
                                                                  <w:marLeft w:val="0"/>
                                                                  <w:marRight w:val="0"/>
                                                                  <w:marTop w:val="0"/>
                                                                  <w:marBottom w:val="0"/>
                                                                  <w:divBdr>
                                                                    <w:top w:val="none" w:sz="0" w:space="0" w:color="auto"/>
                                                                    <w:left w:val="none" w:sz="0" w:space="0" w:color="auto"/>
                                                                    <w:bottom w:val="none" w:sz="0" w:space="0" w:color="auto"/>
                                                                    <w:right w:val="none" w:sz="0" w:space="0" w:color="auto"/>
                                                                  </w:divBdr>
                                                                </w:div>
                                                                <w:div w:id="812409499">
                                                                  <w:marLeft w:val="0"/>
                                                                  <w:marRight w:val="0"/>
                                                                  <w:marTop w:val="0"/>
                                                                  <w:marBottom w:val="0"/>
                                                                  <w:divBdr>
                                                                    <w:top w:val="none" w:sz="0" w:space="0" w:color="auto"/>
                                                                    <w:left w:val="none" w:sz="0" w:space="0" w:color="auto"/>
                                                                    <w:bottom w:val="none" w:sz="0" w:space="0" w:color="auto"/>
                                                                    <w:right w:val="none" w:sz="0" w:space="0" w:color="auto"/>
                                                                  </w:divBdr>
                                                                </w:div>
                                                                <w:div w:id="1817524445">
                                                                  <w:marLeft w:val="0"/>
                                                                  <w:marRight w:val="0"/>
                                                                  <w:marTop w:val="0"/>
                                                                  <w:marBottom w:val="0"/>
                                                                  <w:divBdr>
                                                                    <w:top w:val="none" w:sz="0" w:space="0" w:color="auto"/>
                                                                    <w:left w:val="none" w:sz="0" w:space="0" w:color="auto"/>
                                                                    <w:bottom w:val="none" w:sz="0" w:space="0" w:color="auto"/>
                                                                    <w:right w:val="none" w:sz="0" w:space="0" w:color="auto"/>
                                                                  </w:divBdr>
                                                                </w:div>
                                                                <w:div w:id="18724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5332">
                                                  <w:marLeft w:val="0"/>
                                                  <w:marRight w:val="0"/>
                                                  <w:marTop w:val="0"/>
                                                  <w:marBottom w:val="0"/>
                                                  <w:divBdr>
                                                    <w:top w:val="none" w:sz="0" w:space="0" w:color="auto"/>
                                                    <w:left w:val="none" w:sz="0" w:space="0" w:color="auto"/>
                                                    <w:bottom w:val="none" w:sz="0" w:space="0" w:color="auto"/>
                                                    <w:right w:val="none" w:sz="0" w:space="0" w:color="auto"/>
                                                  </w:divBdr>
                                                  <w:divsChild>
                                                    <w:div w:id="341712502">
                                                      <w:marLeft w:val="0"/>
                                                      <w:marRight w:val="0"/>
                                                      <w:marTop w:val="0"/>
                                                      <w:marBottom w:val="0"/>
                                                      <w:divBdr>
                                                        <w:top w:val="none" w:sz="0" w:space="0" w:color="auto"/>
                                                        <w:left w:val="none" w:sz="0" w:space="0" w:color="auto"/>
                                                        <w:bottom w:val="none" w:sz="0" w:space="0" w:color="auto"/>
                                                        <w:right w:val="none" w:sz="0" w:space="0" w:color="auto"/>
                                                      </w:divBdr>
                                                    </w:div>
                                                    <w:div w:id="7520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3567">
                                          <w:marLeft w:val="0"/>
                                          <w:marRight w:val="0"/>
                                          <w:marTop w:val="0"/>
                                          <w:marBottom w:val="0"/>
                                          <w:divBdr>
                                            <w:top w:val="none" w:sz="0" w:space="0" w:color="auto"/>
                                            <w:left w:val="none" w:sz="0" w:space="0" w:color="auto"/>
                                            <w:bottom w:val="none" w:sz="0" w:space="0" w:color="auto"/>
                                            <w:right w:val="none" w:sz="0" w:space="0" w:color="auto"/>
                                          </w:divBdr>
                                          <w:divsChild>
                                            <w:div w:id="351614923">
                                              <w:marLeft w:val="0"/>
                                              <w:marRight w:val="0"/>
                                              <w:marTop w:val="0"/>
                                              <w:marBottom w:val="0"/>
                                              <w:divBdr>
                                                <w:top w:val="none" w:sz="0" w:space="0" w:color="auto"/>
                                                <w:left w:val="none" w:sz="0" w:space="0" w:color="auto"/>
                                                <w:bottom w:val="none" w:sz="0" w:space="0" w:color="auto"/>
                                                <w:right w:val="none" w:sz="0" w:space="0" w:color="auto"/>
                                              </w:divBdr>
                                              <w:divsChild>
                                                <w:div w:id="765273024">
                                                  <w:marLeft w:val="0"/>
                                                  <w:marRight w:val="0"/>
                                                  <w:marTop w:val="0"/>
                                                  <w:marBottom w:val="0"/>
                                                  <w:divBdr>
                                                    <w:top w:val="none" w:sz="0" w:space="0" w:color="auto"/>
                                                    <w:left w:val="none" w:sz="0" w:space="0" w:color="auto"/>
                                                    <w:bottom w:val="none" w:sz="0" w:space="0" w:color="auto"/>
                                                    <w:right w:val="none" w:sz="0" w:space="0" w:color="auto"/>
                                                  </w:divBdr>
                                                  <w:divsChild>
                                                    <w:div w:id="20933484">
                                                      <w:marLeft w:val="0"/>
                                                      <w:marRight w:val="0"/>
                                                      <w:marTop w:val="0"/>
                                                      <w:marBottom w:val="0"/>
                                                      <w:divBdr>
                                                        <w:top w:val="none" w:sz="0" w:space="0" w:color="auto"/>
                                                        <w:left w:val="none" w:sz="0" w:space="0" w:color="auto"/>
                                                        <w:bottom w:val="none" w:sz="0" w:space="0" w:color="auto"/>
                                                        <w:right w:val="none" w:sz="0" w:space="0" w:color="auto"/>
                                                      </w:divBdr>
                                                      <w:divsChild>
                                                        <w:div w:id="1728451028">
                                                          <w:marLeft w:val="0"/>
                                                          <w:marRight w:val="0"/>
                                                          <w:marTop w:val="0"/>
                                                          <w:marBottom w:val="0"/>
                                                          <w:divBdr>
                                                            <w:top w:val="none" w:sz="0" w:space="0" w:color="auto"/>
                                                            <w:left w:val="none" w:sz="0" w:space="0" w:color="auto"/>
                                                            <w:bottom w:val="none" w:sz="0" w:space="0" w:color="auto"/>
                                                            <w:right w:val="none" w:sz="0" w:space="0" w:color="auto"/>
                                                          </w:divBdr>
                                                        </w:div>
                                                        <w:div w:id="1880821790">
                                                          <w:marLeft w:val="0"/>
                                                          <w:marRight w:val="0"/>
                                                          <w:marTop w:val="0"/>
                                                          <w:marBottom w:val="0"/>
                                                          <w:divBdr>
                                                            <w:top w:val="none" w:sz="0" w:space="0" w:color="auto"/>
                                                            <w:left w:val="none" w:sz="0" w:space="0" w:color="auto"/>
                                                            <w:bottom w:val="none" w:sz="0" w:space="0" w:color="auto"/>
                                                            <w:right w:val="none" w:sz="0" w:space="0" w:color="auto"/>
                                                          </w:divBdr>
                                                          <w:divsChild>
                                                            <w:div w:id="911235682">
                                                              <w:marLeft w:val="0"/>
                                                              <w:marRight w:val="0"/>
                                                              <w:marTop w:val="0"/>
                                                              <w:marBottom w:val="0"/>
                                                              <w:divBdr>
                                                                <w:top w:val="none" w:sz="0" w:space="0" w:color="auto"/>
                                                                <w:left w:val="none" w:sz="0" w:space="0" w:color="auto"/>
                                                                <w:bottom w:val="none" w:sz="0" w:space="0" w:color="auto"/>
                                                                <w:right w:val="none" w:sz="0" w:space="0" w:color="auto"/>
                                                              </w:divBdr>
                                                              <w:divsChild>
                                                                <w:div w:id="2112628183">
                                                                  <w:marLeft w:val="0"/>
                                                                  <w:marRight w:val="0"/>
                                                                  <w:marTop w:val="0"/>
                                                                  <w:marBottom w:val="0"/>
                                                                  <w:divBdr>
                                                                    <w:top w:val="none" w:sz="0" w:space="0" w:color="auto"/>
                                                                    <w:left w:val="none" w:sz="0" w:space="0" w:color="auto"/>
                                                                    <w:bottom w:val="none" w:sz="0" w:space="0" w:color="auto"/>
                                                                    <w:right w:val="none" w:sz="0" w:space="0" w:color="auto"/>
                                                                  </w:divBdr>
                                                                </w:div>
                                                              </w:divsChild>
                                                            </w:div>
                                                            <w:div w:id="1470129782">
                                                              <w:marLeft w:val="0"/>
                                                              <w:marRight w:val="0"/>
                                                              <w:marTop w:val="0"/>
                                                              <w:marBottom w:val="0"/>
                                                              <w:divBdr>
                                                                <w:top w:val="none" w:sz="0" w:space="0" w:color="auto"/>
                                                                <w:left w:val="none" w:sz="0" w:space="0" w:color="auto"/>
                                                                <w:bottom w:val="none" w:sz="0" w:space="0" w:color="auto"/>
                                                                <w:right w:val="none" w:sz="0" w:space="0" w:color="auto"/>
                                                              </w:divBdr>
                                                              <w:divsChild>
                                                                <w:div w:id="206718778">
                                                                  <w:marLeft w:val="0"/>
                                                                  <w:marRight w:val="0"/>
                                                                  <w:marTop w:val="0"/>
                                                                  <w:marBottom w:val="0"/>
                                                                  <w:divBdr>
                                                                    <w:top w:val="none" w:sz="0" w:space="0" w:color="auto"/>
                                                                    <w:left w:val="none" w:sz="0" w:space="0" w:color="auto"/>
                                                                    <w:bottom w:val="none" w:sz="0" w:space="0" w:color="auto"/>
                                                                    <w:right w:val="none" w:sz="0" w:space="0" w:color="auto"/>
                                                                  </w:divBdr>
                                                                </w:div>
                                                                <w:div w:id="1188711738">
                                                                  <w:marLeft w:val="0"/>
                                                                  <w:marRight w:val="0"/>
                                                                  <w:marTop w:val="0"/>
                                                                  <w:marBottom w:val="0"/>
                                                                  <w:divBdr>
                                                                    <w:top w:val="none" w:sz="0" w:space="0" w:color="auto"/>
                                                                    <w:left w:val="none" w:sz="0" w:space="0" w:color="auto"/>
                                                                    <w:bottom w:val="none" w:sz="0" w:space="0" w:color="auto"/>
                                                                    <w:right w:val="none" w:sz="0" w:space="0" w:color="auto"/>
                                                                  </w:divBdr>
                                                                  <w:divsChild>
                                                                    <w:div w:id="1358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9581">
                                              <w:marLeft w:val="0"/>
                                              <w:marRight w:val="0"/>
                                              <w:marTop w:val="0"/>
                                              <w:marBottom w:val="0"/>
                                              <w:divBdr>
                                                <w:top w:val="none" w:sz="0" w:space="0" w:color="auto"/>
                                                <w:left w:val="none" w:sz="0" w:space="0" w:color="auto"/>
                                                <w:bottom w:val="none" w:sz="0" w:space="0" w:color="auto"/>
                                                <w:right w:val="none" w:sz="0" w:space="0" w:color="auto"/>
                                              </w:divBdr>
                                              <w:divsChild>
                                                <w:div w:id="135420451">
                                                  <w:marLeft w:val="0"/>
                                                  <w:marRight w:val="0"/>
                                                  <w:marTop w:val="0"/>
                                                  <w:marBottom w:val="0"/>
                                                  <w:divBdr>
                                                    <w:top w:val="none" w:sz="0" w:space="0" w:color="auto"/>
                                                    <w:left w:val="none" w:sz="0" w:space="0" w:color="auto"/>
                                                    <w:bottom w:val="none" w:sz="0" w:space="0" w:color="auto"/>
                                                    <w:right w:val="none" w:sz="0" w:space="0" w:color="auto"/>
                                                  </w:divBdr>
                                                  <w:divsChild>
                                                    <w:div w:id="11688589">
                                                      <w:marLeft w:val="0"/>
                                                      <w:marRight w:val="0"/>
                                                      <w:marTop w:val="0"/>
                                                      <w:marBottom w:val="0"/>
                                                      <w:divBdr>
                                                        <w:top w:val="none" w:sz="0" w:space="0" w:color="auto"/>
                                                        <w:left w:val="none" w:sz="0" w:space="0" w:color="auto"/>
                                                        <w:bottom w:val="none" w:sz="0" w:space="0" w:color="auto"/>
                                                        <w:right w:val="none" w:sz="0" w:space="0" w:color="auto"/>
                                                      </w:divBdr>
                                                      <w:divsChild>
                                                        <w:div w:id="934552025">
                                                          <w:marLeft w:val="0"/>
                                                          <w:marRight w:val="0"/>
                                                          <w:marTop w:val="0"/>
                                                          <w:marBottom w:val="0"/>
                                                          <w:divBdr>
                                                            <w:top w:val="none" w:sz="0" w:space="0" w:color="auto"/>
                                                            <w:left w:val="none" w:sz="0" w:space="0" w:color="auto"/>
                                                            <w:bottom w:val="none" w:sz="0" w:space="0" w:color="auto"/>
                                                            <w:right w:val="none" w:sz="0" w:space="0" w:color="auto"/>
                                                          </w:divBdr>
                                                          <w:divsChild>
                                                            <w:div w:id="619991533">
                                                              <w:marLeft w:val="0"/>
                                                              <w:marRight w:val="0"/>
                                                              <w:marTop w:val="0"/>
                                                              <w:marBottom w:val="0"/>
                                                              <w:divBdr>
                                                                <w:top w:val="none" w:sz="0" w:space="0" w:color="auto"/>
                                                                <w:left w:val="none" w:sz="0" w:space="0" w:color="auto"/>
                                                                <w:bottom w:val="none" w:sz="0" w:space="0" w:color="auto"/>
                                                                <w:right w:val="none" w:sz="0" w:space="0" w:color="auto"/>
                                                              </w:divBdr>
                                                              <w:divsChild>
                                                                <w:div w:id="1237326133">
                                                                  <w:marLeft w:val="0"/>
                                                                  <w:marRight w:val="0"/>
                                                                  <w:marTop w:val="0"/>
                                                                  <w:marBottom w:val="0"/>
                                                                  <w:divBdr>
                                                                    <w:top w:val="none" w:sz="0" w:space="0" w:color="auto"/>
                                                                    <w:left w:val="none" w:sz="0" w:space="0" w:color="auto"/>
                                                                    <w:bottom w:val="none" w:sz="0" w:space="0" w:color="auto"/>
                                                                    <w:right w:val="none" w:sz="0" w:space="0" w:color="auto"/>
                                                                  </w:divBdr>
                                                                </w:div>
                                                              </w:divsChild>
                                                            </w:div>
                                                            <w:div w:id="1398241110">
                                                              <w:marLeft w:val="0"/>
                                                              <w:marRight w:val="0"/>
                                                              <w:marTop w:val="0"/>
                                                              <w:marBottom w:val="0"/>
                                                              <w:divBdr>
                                                                <w:top w:val="none" w:sz="0" w:space="0" w:color="auto"/>
                                                                <w:left w:val="none" w:sz="0" w:space="0" w:color="auto"/>
                                                                <w:bottom w:val="none" w:sz="0" w:space="0" w:color="auto"/>
                                                                <w:right w:val="none" w:sz="0" w:space="0" w:color="auto"/>
                                                              </w:divBdr>
                                                              <w:divsChild>
                                                                <w:div w:id="179899776">
                                                                  <w:marLeft w:val="0"/>
                                                                  <w:marRight w:val="0"/>
                                                                  <w:marTop w:val="0"/>
                                                                  <w:marBottom w:val="0"/>
                                                                  <w:divBdr>
                                                                    <w:top w:val="none" w:sz="0" w:space="0" w:color="auto"/>
                                                                    <w:left w:val="none" w:sz="0" w:space="0" w:color="auto"/>
                                                                    <w:bottom w:val="none" w:sz="0" w:space="0" w:color="auto"/>
                                                                    <w:right w:val="none" w:sz="0" w:space="0" w:color="auto"/>
                                                                  </w:divBdr>
                                                                </w:div>
                                                                <w:div w:id="1384984962">
                                                                  <w:marLeft w:val="0"/>
                                                                  <w:marRight w:val="0"/>
                                                                  <w:marTop w:val="0"/>
                                                                  <w:marBottom w:val="0"/>
                                                                  <w:divBdr>
                                                                    <w:top w:val="none" w:sz="0" w:space="0" w:color="auto"/>
                                                                    <w:left w:val="none" w:sz="0" w:space="0" w:color="auto"/>
                                                                    <w:bottom w:val="none" w:sz="0" w:space="0" w:color="auto"/>
                                                                    <w:right w:val="none" w:sz="0" w:space="0" w:color="auto"/>
                                                                  </w:divBdr>
                                                                  <w:divsChild>
                                                                    <w:div w:id="19041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22181">
                                              <w:marLeft w:val="0"/>
                                              <w:marRight w:val="0"/>
                                              <w:marTop w:val="0"/>
                                              <w:marBottom w:val="0"/>
                                              <w:divBdr>
                                                <w:top w:val="none" w:sz="0" w:space="0" w:color="auto"/>
                                                <w:left w:val="none" w:sz="0" w:space="0" w:color="auto"/>
                                                <w:bottom w:val="none" w:sz="0" w:space="0" w:color="auto"/>
                                                <w:right w:val="none" w:sz="0" w:space="0" w:color="auto"/>
                                              </w:divBdr>
                                              <w:divsChild>
                                                <w:div w:id="1102728975">
                                                  <w:marLeft w:val="0"/>
                                                  <w:marRight w:val="0"/>
                                                  <w:marTop w:val="0"/>
                                                  <w:marBottom w:val="0"/>
                                                  <w:divBdr>
                                                    <w:top w:val="none" w:sz="0" w:space="0" w:color="auto"/>
                                                    <w:left w:val="none" w:sz="0" w:space="0" w:color="auto"/>
                                                    <w:bottom w:val="none" w:sz="0" w:space="0" w:color="auto"/>
                                                    <w:right w:val="none" w:sz="0" w:space="0" w:color="auto"/>
                                                  </w:divBdr>
                                                  <w:divsChild>
                                                    <w:div w:id="213659539">
                                                      <w:marLeft w:val="0"/>
                                                      <w:marRight w:val="0"/>
                                                      <w:marTop w:val="0"/>
                                                      <w:marBottom w:val="0"/>
                                                      <w:divBdr>
                                                        <w:top w:val="none" w:sz="0" w:space="0" w:color="auto"/>
                                                        <w:left w:val="none" w:sz="0" w:space="0" w:color="auto"/>
                                                        <w:bottom w:val="none" w:sz="0" w:space="0" w:color="auto"/>
                                                        <w:right w:val="none" w:sz="0" w:space="0" w:color="auto"/>
                                                      </w:divBdr>
                                                      <w:divsChild>
                                                        <w:div w:id="875431483">
                                                          <w:marLeft w:val="0"/>
                                                          <w:marRight w:val="0"/>
                                                          <w:marTop w:val="0"/>
                                                          <w:marBottom w:val="0"/>
                                                          <w:divBdr>
                                                            <w:top w:val="none" w:sz="0" w:space="0" w:color="auto"/>
                                                            <w:left w:val="none" w:sz="0" w:space="0" w:color="auto"/>
                                                            <w:bottom w:val="none" w:sz="0" w:space="0" w:color="auto"/>
                                                            <w:right w:val="none" w:sz="0" w:space="0" w:color="auto"/>
                                                          </w:divBdr>
                                                        </w:div>
                                                        <w:div w:id="1390297738">
                                                          <w:marLeft w:val="0"/>
                                                          <w:marRight w:val="0"/>
                                                          <w:marTop w:val="0"/>
                                                          <w:marBottom w:val="0"/>
                                                          <w:divBdr>
                                                            <w:top w:val="none" w:sz="0" w:space="0" w:color="auto"/>
                                                            <w:left w:val="none" w:sz="0" w:space="0" w:color="auto"/>
                                                            <w:bottom w:val="none" w:sz="0" w:space="0" w:color="auto"/>
                                                            <w:right w:val="none" w:sz="0" w:space="0" w:color="auto"/>
                                                          </w:divBdr>
                                                          <w:divsChild>
                                                            <w:div w:id="1881014834">
                                                              <w:marLeft w:val="0"/>
                                                              <w:marRight w:val="0"/>
                                                              <w:marTop w:val="0"/>
                                                              <w:marBottom w:val="0"/>
                                                              <w:divBdr>
                                                                <w:top w:val="none" w:sz="0" w:space="0" w:color="auto"/>
                                                                <w:left w:val="none" w:sz="0" w:space="0" w:color="auto"/>
                                                                <w:bottom w:val="none" w:sz="0" w:space="0" w:color="auto"/>
                                                                <w:right w:val="none" w:sz="0" w:space="0" w:color="auto"/>
                                                              </w:divBdr>
                                                              <w:divsChild>
                                                                <w:div w:id="18953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370041">
                                              <w:marLeft w:val="0"/>
                                              <w:marRight w:val="0"/>
                                              <w:marTop w:val="0"/>
                                              <w:marBottom w:val="0"/>
                                              <w:divBdr>
                                                <w:top w:val="none" w:sz="0" w:space="0" w:color="auto"/>
                                                <w:left w:val="none" w:sz="0" w:space="0" w:color="auto"/>
                                                <w:bottom w:val="none" w:sz="0" w:space="0" w:color="auto"/>
                                                <w:right w:val="none" w:sz="0" w:space="0" w:color="auto"/>
                                              </w:divBdr>
                                              <w:divsChild>
                                                <w:div w:id="1255556475">
                                                  <w:marLeft w:val="0"/>
                                                  <w:marRight w:val="0"/>
                                                  <w:marTop w:val="0"/>
                                                  <w:marBottom w:val="0"/>
                                                  <w:divBdr>
                                                    <w:top w:val="none" w:sz="0" w:space="0" w:color="auto"/>
                                                    <w:left w:val="none" w:sz="0" w:space="0" w:color="auto"/>
                                                    <w:bottom w:val="none" w:sz="0" w:space="0" w:color="auto"/>
                                                    <w:right w:val="none" w:sz="0" w:space="0" w:color="auto"/>
                                                  </w:divBdr>
                                                  <w:divsChild>
                                                    <w:div w:id="2100371320">
                                                      <w:marLeft w:val="0"/>
                                                      <w:marRight w:val="0"/>
                                                      <w:marTop w:val="0"/>
                                                      <w:marBottom w:val="0"/>
                                                      <w:divBdr>
                                                        <w:top w:val="none" w:sz="0" w:space="0" w:color="auto"/>
                                                        <w:left w:val="none" w:sz="0" w:space="0" w:color="auto"/>
                                                        <w:bottom w:val="none" w:sz="0" w:space="0" w:color="auto"/>
                                                        <w:right w:val="none" w:sz="0" w:space="0" w:color="auto"/>
                                                      </w:divBdr>
                                                      <w:divsChild>
                                                        <w:div w:id="2098481554">
                                                          <w:marLeft w:val="0"/>
                                                          <w:marRight w:val="0"/>
                                                          <w:marTop w:val="0"/>
                                                          <w:marBottom w:val="0"/>
                                                          <w:divBdr>
                                                            <w:top w:val="none" w:sz="0" w:space="0" w:color="auto"/>
                                                            <w:left w:val="none" w:sz="0" w:space="0" w:color="auto"/>
                                                            <w:bottom w:val="none" w:sz="0" w:space="0" w:color="auto"/>
                                                            <w:right w:val="none" w:sz="0" w:space="0" w:color="auto"/>
                                                          </w:divBdr>
                                                          <w:divsChild>
                                                            <w:div w:id="1076441752">
                                                              <w:marLeft w:val="0"/>
                                                              <w:marRight w:val="0"/>
                                                              <w:marTop w:val="0"/>
                                                              <w:marBottom w:val="0"/>
                                                              <w:divBdr>
                                                                <w:top w:val="none" w:sz="0" w:space="0" w:color="auto"/>
                                                                <w:left w:val="none" w:sz="0" w:space="0" w:color="auto"/>
                                                                <w:bottom w:val="none" w:sz="0" w:space="0" w:color="auto"/>
                                                                <w:right w:val="none" w:sz="0" w:space="0" w:color="auto"/>
                                                              </w:divBdr>
                                                              <w:divsChild>
                                                                <w:div w:id="1703289680">
                                                                  <w:marLeft w:val="0"/>
                                                                  <w:marRight w:val="0"/>
                                                                  <w:marTop w:val="0"/>
                                                                  <w:marBottom w:val="0"/>
                                                                  <w:divBdr>
                                                                    <w:top w:val="none" w:sz="0" w:space="0" w:color="auto"/>
                                                                    <w:left w:val="none" w:sz="0" w:space="0" w:color="auto"/>
                                                                    <w:bottom w:val="none" w:sz="0" w:space="0" w:color="auto"/>
                                                                    <w:right w:val="none" w:sz="0" w:space="0" w:color="auto"/>
                                                                  </w:divBdr>
                                                                </w:div>
                                                              </w:divsChild>
                                                            </w:div>
                                                            <w:div w:id="1732576930">
                                                              <w:marLeft w:val="0"/>
                                                              <w:marRight w:val="0"/>
                                                              <w:marTop w:val="0"/>
                                                              <w:marBottom w:val="0"/>
                                                              <w:divBdr>
                                                                <w:top w:val="none" w:sz="0" w:space="0" w:color="auto"/>
                                                                <w:left w:val="none" w:sz="0" w:space="0" w:color="auto"/>
                                                                <w:bottom w:val="none" w:sz="0" w:space="0" w:color="auto"/>
                                                                <w:right w:val="none" w:sz="0" w:space="0" w:color="auto"/>
                                                              </w:divBdr>
                                                              <w:divsChild>
                                                                <w:div w:id="129980441">
                                                                  <w:marLeft w:val="0"/>
                                                                  <w:marRight w:val="0"/>
                                                                  <w:marTop w:val="0"/>
                                                                  <w:marBottom w:val="0"/>
                                                                  <w:divBdr>
                                                                    <w:top w:val="none" w:sz="0" w:space="0" w:color="auto"/>
                                                                    <w:left w:val="none" w:sz="0" w:space="0" w:color="auto"/>
                                                                    <w:bottom w:val="none" w:sz="0" w:space="0" w:color="auto"/>
                                                                    <w:right w:val="none" w:sz="0" w:space="0" w:color="auto"/>
                                                                  </w:divBdr>
                                                                  <w:divsChild>
                                                                    <w:div w:id="308050012">
                                                                      <w:marLeft w:val="0"/>
                                                                      <w:marRight w:val="0"/>
                                                                      <w:marTop w:val="0"/>
                                                                      <w:marBottom w:val="0"/>
                                                                      <w:divBdr>
                                                                        <w:top w:val="none" w:sz="0" w:space="0" w:color="auto"/>
                                                                        <w:left w:val="none" w:sz="0" w:space="0" w:color="auto"/>
                                                                        <w:bottom w:val="none" w:sz="0" w:space="0" w:color="auto"/>
                                                                        <w:right w:val="none" w:sz="0" w:space="0" w:color="auto"/>
                                                                      </w:divBdr>
                                                                    </w:div>
                                                                  </w:divsChild>
                                                                </w:div>
                                                                <w:div w:id="330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51676">
                                              <w:marLeft w:val="0"/>
                                              <w:marRight w:val="0"/>
                                              <w:marTop w:val="0"/>
                                              <w:marBottom w:val="0"/>
                                              <w:divBdr>
                                                <w:top w:val="none" w:sz="0" w:space="0" w:color="auto"/>
                                                <w:left w:val="none" w:sz="0" w:space="0" w:color="auto"/>
                                                <w:bottom w:val="none" w:sz="0" w:space="0" w:color="auto"/>
                                                <w:right w:val="none" w:sz="0" w:space="0" w:color="auto"/>
                                              </w:divBdr>
                                              <w:divsChild>
                                                <w:div w:id="367293520">
                                                  <w:marLeft w:val="0"/>
                                                  <w:marRight w:val="0"/>
                                                  <w:marTop w:val="0"/>
                                                  <w:marBottom w:val="0"/>
                                                  <w:divBdr>
                                                    <w:top w:val="none" w:sz="0" w:space="0" w:color="auto"/>
                                                    <w:left w:val="none" w:sz="0" w:space="0" w:color="auto"/>
                                                    <w:bottom w:val="none" w:sz="0" w:space="0" w:color="auto"/>
                                                    <w:right w:val="none" w:sz="0" w:space="0" w:color="auto"/>
                                                  </w:divBdr>
                                                  <w:divsChild>
                                                    <w:div w:id="2058310519">
                                                      <w:marLeft w:val="0"/>
                                                      <w:marRight w:val="0"/>
                                                      <w:marTop w:val="0"/>
                                                      <w:marBottom w:val="0"/>
                                                      <w:divBdr>
                                                        <w:top w:val="none" w:sz="0" w:space="0" w:color="auto"/>
                                                        <w:left w:val="none" w:sz="0" w:space="0" w:color="auto"/>
                                                        <w:bottom w:val="none" w:sz="0" w:space="0" w:color="auto"/>
                                                        <w:right w:val="none" w:sz="0" w:space="0" w:color="auto"/>
                                                      </w:divBdr>
                                                      <w:divsChild>
                                                        <w:div w:id="2087603592">
                                                          <w:marLeft w:val="0"/>
                                                          <w:marRight w:val="0"/>
                                                          <w:marTop w:val="0"/>
                                                          <w:marBottom w:val="0"/>
                                                          <w:divBdr>
                                                            <w:top w:val="none" w:sz="0" w:space="0" w:color="auto"/>
                                                            <w:left w:val="none" w:sz="0" w:space="0" w:color="auto"/>
                                                            <w:bottom w:val="none" w:sz="0" w:space="0" w:color="auto"/>
                                                            <w:right w:val="none" w:sz="0" w:space="0" w:color="auto"/>
                                                          </w:divBdr>
                                                          <w:divsChild>
                                                            <w:div w:id="526336486">
                                                              <w:marLeft w:val="0"/>
                                                              <w:marRight w:val="0"/>
                                                              <w:marTop w:val="0"/>
                                                              <w:marBottom w:val="0"/>
                                                              <w:divBdr>
                                                                <w:top w:val="none" w:sz="0" w:space="0" w:color="auto"/>
                                                                <w:left w:val="none" w:sz="0" w:space="0" w:color="auto"/>
                                                                <w:bottom w:val="none" w:sz="0" w:space="0" w:color="auto"/>
                                                                <w:right w:val="none" w:sz="0" w:space="0" w:color="auto"/>
                                                              </w:divBdr>
                                                              <w:divsChild>
                                                                <w:div w:id="26611053">
                                                                  <w:marLeft w:val="0"/>
                                                                  <w:marRight w:val="0"/>
                                                                  <w:marTop w:val="0"/>
                                                                  <w:marBottom w:val="0"/>
                                                                  <w:divBdr>
                                                                    <w:top w:val="none" w:sz="0" w:space="0" w:color="auto"/>
                                                                    <w:left w:val="none" w:sz="0" w:space="0" w:color="auto"/>
                                                                    <w:bottom w:val="none" w:sz="0" w:space="0" w:color="auto"/>
                                                                    <w:right w:val="none" w:sz="0" w:space="0" w:color="auto"/>
                                                                  </w:divBdr>
                                                                </w:div>
                                                              </w:divsChild>
                                                            </w:div>
                                                            <w:div w:id="1761950747">
                                                              <w:marLeft w:val="0"/>
                                                              <w:marRight w:val="0"/>
                                                              <w:marTop w:val="0"/>
                                                              <w:marBottom w:val="0"/>
                                                              <w:divBdr>
                                                                <w:top w:val="none" w:sz="0" w:space="0" w:color="auto"/>
                                                                <w:left w:val="none" w:sz="0" w:space="0" w:color="auto"/>
                                                                <w:bottom w:val="none" w:sz="0" w:space="0" w:color="auto"/>
                                                                <w:right w:val="none" w:sz="0" w:space="0" w:color="auto"/>
                                                              </w:divBdr>
                                                              <w:divsChild>
                                                                <w:div w:id="706485903">
                                                                  <w:marLeft w:val="0"/>
                                                                  <w:marRight w:val="0"/>
                                                                  <w:marTop w:val="0"/>
                                                                  <w:marBottom w:val="0"/>
                                                                  <w:divBdr>
                                                                    <w:top w:val="none" w:sz="0" w:space="0" w:color="auto"/>
                                                                    <w:left w:val="none" w:sz="0" w:space="0" w:color="auto"/>
                                                                    <w:bottom w:val="none" w:sz="0" w:space="0" w:color="auto"/>
                                                                    <w:right w:val="none" w:sz="0" w:space="0" w:color="auto"/>
                                                                  </w:divBdr>
                                                                </w:div>
                                                                <w:div w:id="985352550">
                                                                  <w:marLeft w:val="0"/>
                                                                  <w:marRight w:val="0"/>
                                                                  <w:marTop w:val="0"/>
                                                                  <w:marBottom w:val="0"/>
                                                                  <w:divBdr>
                                                                    <w:top w:val="none" w:sz="0" w:space="0" w:color="auto"/>
                                                                    <w:left w:val="none" w:sz="0" w:space="0" w:color="auto"/>
                                                                    <w:bottom w:val="none" w:sz="0" w:space="0" w:color="auto"/>
                                                                    <w:right w:val="none" w:sz="0" w:space="0" w:color="auto"/>
                                                                  </w:divBdr>
                                                                  <w:divsChild>
                                                                    <w:div w:id="19173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55893">
                                              <w:marLeft w:val="0"/>
                                              <w:marRight w:val="0"/>
                                              <w:marTop w:val="0"/>
                                              <w:marBottom w:val="0"/>
                                              <w:divBdr>
                                                <w:top w:val="none" w:sz="0" w:space="0" w:color="auto"/>
                                                <w:left w:val="none" w:sz="0" w:space="0" w:color="auto"/>
                                                <w:bottom w:val="none" w:sz="0" w:space="0" w:color="auto"/>
                                                <w:right w:val="none" w:sz="0" w:space="0" w:color="auto"/>
                                              </w:divBdr>
                                              <w:divsChild>
                                                <w:div w:id="1705861339">
                                                  <w:marLeft w:val="0"/>
                                                  <w:marRight w:val="0"/>
                                                  <w:marTop w:val="0"/>
                                                  <w:marBottom w:val="0"/>
                                                  <w:divBdr>
                                                    <w:top w:val="none" w:sz="0" w:space="0" w:color="auto"/>
                                                    <w:left w:val="none" w:sz="0" w:space="0" w:color="auto"/>
                                                    <w:bottom w:val="none" w:sz="0" w:space="0" w:color="auto"/>
                                                    <w:right w:val="none" w:sz="0" w:space="0" w:color="auto"/>
                                                  </w:divBdr>
                                                  <w:divsChild>
                                                    <w:div w:id="1231500885">
                                                      <w:marLeft w:val="0"/>
                                                      <w:marRight w:val="0"/>
                                                      <w:marTop w:val="0"/>
                                                      <w:marBottom w:val="0"/>
                                                      <w:divBdr>
                                                        <w:top w:val="none" w:sz="0" w:space="0" w:color="auto"/>
                                                        <w:left w:val="none" w:sz="0" w:space="0" w:color="auto"/>
                                                        <w:bottom w:val="none" w:sz="0" w:space="0" w:color="auto"/>
                                                        <w:right w:val="none" w:sz="0" w:space="0" w:color="auto"/>
                                                      </w:divBdr>
                                                      <w:divsChild>
                                                        <w:div w:id="1417635410">
                                                          <w:marLeft w:val="0"/>
                                                          <w:marRight w:val="0"/>
                                                          <w:marTop w:val="0"/>
                                                          <w:marBottom w:val="0"/>
                                                          <w:divBdr>
                                                            <w:top w:val="none" w:sz="0" w:space="0" w:color="auto"/>
                                                            <w:left w:val="none" w:sz="0" w:space="0" w:color="auto"/>
                                                            <w:bottom w:val="none" w:sz="0" w:space="0" w:color="auto"/>
                                                            <w:right w:val="none" w:sz="0" w:space="0" w:color="auto"/>
                                                          </w:divBdr>
                                                          <w:divsChild>
                                                            <w:div w:id="513540502">
                                                              <w:marLeft w:val="0"/>
                                                              <w:marRight w:val="0"/>
                                                              <w:marTop w:val="0"/>
                                                              <w:marBottom w:val="0"/>
                                                              <w:divBdr>
                                                                <w:top w:val="none" w:sz="0" w:space="0" w:color="auto"/>
                                                                <w:left w:val="none" w:sz="0" w:space="0" w:color="auto"/>
                                                                <w:bottom w:val="none" w:sz="0" w:space="0" w:color="auto"/>
                                                                <w:right w:val="none" w:sz="0" w:space="0" w:color="auto"/>
                                                              </w:divBdr>
                                                              <w:divsChild>
                                                                <w:div w:id="15769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3385">
                                              <w:marLeft w:val="0"/>
                                              <w:marRight w:val="0"/>
                                              <w:marTop w:val="0"/>
                                              <w:marBottom w:val="0"/>
                                              <w:divBdr>
                                                <w:top w:val="none" w:sz="0" w:space="0" w:color="auto"/>
                                                <w:left w:val="none" w:sz="0" w:space="0" w:color="auto"/>
                                                <w:bottom w:val="none" w:sz="0" w:space="0" w:color="auto"/>
                                                <w:right w:val="none" w:sz="0" w:space="0" w:color="auto"/>
                                              </w:divBdr>
                                              <w:divsChild>
                                                <w:div w:id="2008052480">
                                                  <w:marLeft w:val="0"/>
                                                  <w:marRight w:val="0"/>
                                                  <w:marTop w:val="0"/>
                                                  <w:marBottom w:val="0"/>
                                                  <w:divBdr>
                                                    <w:top w:val="none" w:sz="0" w:space="0" w:color="auto"/>
                                                    <w:left w:val="none" w:sz="0" w:space="0" w:color="auto"/>
                                                    <w:bottom w:val="none" w:sz="0" w:space="0" w:color="auto"/>
                                                    <w:right w:val="none" w:sz="0" w:space="0" w:color="auto"/>
                                                  </w:divBdr>
                                                  <w:divsChild>
                                                    <w:div w:id="1157652730">
                                                      <w:marLeft w:val="0"/>
                                                      <w:marRight w:val="0"/>
                                                      <w:marTop w:val="0"/>
                                                      <w:marBottom w:val="0"/>
                                                      <w:divBdr>
                                                        <w:top w:val="none" w:sz="0" w:space="0" w:color="auto"/>
                                                        <w:left w:val="none" w:sz="0" w:space="0" w:color="auto"/>
                                                        <w:bottom w:val="none" w:sz="0" w:space="0" w:color="auto"/>
                                                        <w:right w:val="none" w:sz="0" w:space="0" w:color="auto"/>
                                                      </w:divBdr>
                                                      <w:divsChild>
                                                        <w:div w:id="1725908448">
                                                          <w:marLeft w:val="0"/>
                                                          <w:marRight w:val="0"/>
                                                          <w:marTop w:val="0"/>
                                                          <w:marBottom w:val="0"/>
                                                          <w:divBdr>
                                                            <w:top w:val="none" w:sz="0" w:space="0" w:color="auto"/>
                                                            <w:left w:val="none" w:sz="0" w:space="0" w:color="auto"/>
                                                            <w:bottom w:val="none" w:sz="0" w:space="0" w:color="auto"/>
                                                            <w:right w:val="none" w:sz="0" w:space="0" w:color="auto"/>
                                                          </w:divBdr>
                                                          <w:divsChild>
                                                            <w:div w:id="749039470">
                                                              <w:marLeft w:val="0"/>
                                                              <w:marRight w:val="0"/>
                                                              <w:marTop w:val="0"/>
                                                              <w:marBottom w:val="0"/>
                                                              <w:divBdr>
                                                                <w:top w:val="none" w:sz="0" w:space="0" w:color="auto"/>
                                                                <w:left w:val="none" w:sz="0" w:space="0" w:color="auto"/>
                                                                <w:bottom w:val="none" w:sz="0" w:space="0" w:color="auto"/>
                                                                <w:right w:val="none" w:sz="0" w:space="0" w:color="auto"/>
                                                              </w:divBdr>
                                                              <w:divsChild>
                                                                <w:div w:id="1454402589">
                                                                  <w:marLeft w:val="0"/>
                                                                  <w:marRight w:val="0"/>
                                                                  <w:marTop w:val="0"/>
                                                                  <w:marBottom w:val="0"/>
                                                                  <w:divBdr>
                                                                    <w:top w:val="none" w:sz="0" w:space="0" w:color="auto"/>
                                                                    <w:left w:val="none" w:sz="0" w:space="0" w:color="auto"/>
                                                                    <w:bottom w:val="none" w:sz="0" w:space="0" w:color="auto"/>
                                                                    <w:right w:val="none" w:sz="0" w:space="0" w:color="auto"/>
                                                                  </w:divBdr>
                                                                  <w:divsChild>
                                                                    <w:div w:id="1701198717">
                                                                      <w:marLeft w:val="0"/>
                                                                      <w:marRight w:val="0"/>
                                                                      <w:marTop w:val="0"/>
                                                                      <w:marBottom w:val="0"/>
                                                                      <w:divBdr>
                                                                        <w:top w:val="none" w:sz="0" w:space="0" w:color="auto"/>
                                                                        <w:left w:val="none" w:sz="0" w:space="0" w:color="auto"/>
                                                                        <w:bottom w:val="none" w:sz="0" w:space="0" w:color="auto"/>
                                                                        <w:right w:val="none" w:sz="0" w:space="0" w:color="auto"/>
                                                                      </w:divBdr>
                                                                    </w:div>
                                                                  </w:divsChild>
                                                                </w:div>
                                                                <w:div w:id="1777208253">
                                                                  <w:marLeft w:val="0"/>
                                                                  <w:marRight w:val="0"/>
                                                                  <w:marTop w:val="0"/>
                                                                  <w:marBottom w:val="0"/>
                                                                  <w:divBdr>
                                                                    <w:top w:val="none" w:sz="0" w:space="0" w:color="auto"/>
                                                                    <w:left w:val="none" w:sz="0" w:space="0" w:color="auto"/>
                                                                    <w:bottom w:val="none" w:sz="0" w:space="0" w:color="auto"/>
                                                                    <w:right w:val="none" w:sz="0" w:space="0" w:color="auto"/>
                                                                  </w:divBdr>
                                                                </w:div>
                                                              </w:divsChild>
                                                            </w:div>
                                                            <w:div w:id="2124302113">
                                                              <w:marLeft w:val="0"/>
                                                              <w:marRight w:val="0"/>
                                                              <w:marTop w:val="0"/>
                                                              <w:marBottom w:val="0"/>
                                                              <w:divBdr>
                                                                <w:top w:val="none" w:sz="0" w:space="0" w:color="auto"/>
                                                                <w:left w:val="none" w:sz="0" w:space="0" w:color="auto"/>
                                                                <w:bottom w:val="none" w:sz="0" w:space="0" w:color="auto"/>
                                                                <w:right w:val="none" w:sz="0" w:space="0" w:color="auto"/>
                                                              </w:divBdr>
                                                              <w:divsChild>
                                                                <w:div w:id="5704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40104">
                                          <w:marLeft w:val="0"/>
                                          <w:marRight w:val="0"/>
                                          <w:marTop w:val="0"/>
                                          <w:marBottom w:val="0"/>
                                          <w:divBdr>
                                            <w:top w:val="none" w:sz="0" w:space="0" w:color="auto"/>
                                            <w:left w:val="none" w:sz="0" w:space="0" w:color="auto"/>
                                            <w:bottom w:val="none" w:sz="0" w:space="0" w:color="auto"/>
                                            <w:right w:val="none" w:sz="0" w:space="0" w:color="auto"/>
                                          </w:divBdr>
                                          <w:divsChild>
                                            <w:div w:id="224031881">
                                              <w:marLeft w:val="0"/>
                                              <w:marRight w:val="0"/>
                                              <w:marTop w:val="0"/>
                                              <w:marBottom w:val="0"/>
                                              <w:divBdr>
                                                <w:top w:val="none" w:sz="0" w:space="0" w:color="auto"/>
                                                <w:left w:val="none" w:sz="0" w:space="0" w:color="auto"/>
                                                <w:bottom w:val="none" w:sz="0" w:space="0" w:color="auto"/>
                                                <w:right w:val="none" w:sz="0" w:space="0" w:color="auto"/>
                                              </w:divBdr>
                                              <w:divsChild>
                                                <w:div w:id="67772802">
                                                  <w:marLeft w:val="0"/>
                                                  <w:marRight w:val="0"/>
                                                  <w:marTop w:val="0"/>
                                                  <w:marBottom w:val="0"/>
                                                  <w:divBdr>
                                                    <w:top w:val="none" w:sz="0" w:space="0" w:color="auto"/>
                                                    <w:left w:val="none" w:sz="0" w:space="0" w:color="auto"/>
                                                    <w:bottom w:val="none" w:sz="0" w:space="0" w:color="auto"/>
                                                    <w:right w:val="none" w:sz="0" w:space="0" w:color="auto"/>
                                                  </w:divBdr>
                                                  <w:divsChild>
                                                    <w:div w:id="1203328500">
                                                      <w:marLeft w:val="0"/>
                                                      <w:marRight w:val="0"/>
                                                      <w:marTop w:val="0"/>
                                                      <w:marBottom w:val="0"/>
                                                      <w:divBdr>
                                                        <w:top w:val="none" w:sz="0" w:space="0" w:color="auto"/>
                                                        <w:left w:val="none" w:sz="0" w:space="0" w:color="auto"/>
                                                        <w:bottom w:val="none" w:sz="0" w:space="0" w:color="auto"/>
                                                        <w:right w:val="none" w:sz="0" w:space="0" w:color="auto"/>
                                                      </w:divBdr>
                                                      <w:divsChild>
                                                        <w:div w:id="1077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9173">
                                              <w:marLeft w:val="0"/>
                                              <w:marRight w:val="0"/>
                                              <w:marTop w:val="0"/>
                                              <w:marBottom w:val="0"/>
                                              <w:divBdr>
                                                <w:top w:val="none" w:sz="0" w:space="0" w:color="auto"/>
                                                <w:left w:val="none" w:sz="0" w:space="0" w:color="auto"/>
                                                <w:bottom w:val="none" w:sz="0" w:space="0" w:color="auto"/>
                                                <w:right w:val="none" w:sz="0" w:space="0" w:color="auto"/>
                                              </w:divBdr>
                                              <w:divsChild>
                                                <w:div w:id="656688083">
                                                  <w:marLeft w:val="0"/>
                                                  <w:marRight w:val="0"/>
                                                  <w:marTop w:val="0"/>
                                                  <w:marBottom w:val="0"/>
                                                  <w:divBdr>
                                                    <w:top w:val="none" w:sz="0" w:space="0" w:color="auto"/>
                                                    <w:left w:val="none" w:sz="0" w:space="0" w:color="auto"/>
                                                    <w:bottom w:val="none" w:sz="0" w:space="0" w:color="auto"/>
                                                    <w:right w:val="none" w:sz="0" w:space="0" w:color="auto"/>
                                                  </w:divBdr>
                                                  <w:divsChild>
                                                    <w:div w:id="1860924922">
                                                      <w:marLeft w:val="0"/>
                                                      <w:marRight w:val="0"/>
                                                      <w:marTop w:val="0"/>
                                                      <w:marBottom w:val="0"/>
                                                      <w:divBdr>
                                                        <w:top w:val="none" w:sz="0" w:space="0" w:color="auto"/>
                                                        <w:left w:val="none" w:sz="0" w:space="0" w:color="auto"/>
                                                        <w:bottom w:val="none" w:sz="0" w:space="0" w:color="auto"/>
                                                        <w:right w:val="none" w:sz="0" w:space="0" w:color="auto"/>
                                                      </w:divBdr>
                                                      <w:divsChild>
                                                        <w:div w:id="12444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3777">
                                              <w:marLeft w:val="0"/>
                                              <w:marRight w:val="0"/>
                                              <w:marTop w:val="0"/>
                                              <w:marBottom w:val="0"/>
                                              <w:divBdr>
                                                <w:top w:val="none" w:sz="0" w:space="0" w:color="auto"/>
                                                <w:left w:val="none" w:sz="0" w:space="0" w:color="auto"/>
                                                <w:bottom w:val="none" w:sz="0" w:space="0" w:color="auto"/>
                                                <w:right w:val="none" w:sz="0" w:space="0" w:color="auto"/>
                                              </w:divBdr>
                                              <w:divsChild>
                                                <w:div w:id="287320509">
                                                  <w:marLeft w:val="0"/>
                                                  <w:marRight w:val="0"/>
                                                  <w:marTop w:val="0"/>
                                                  <w:marBottom w:val="0"/>
                                                  <w:divBdr>
                                                    <w:top w:val="none" w:sz="0" w:space="0" w:color="auto"/>
                                                    <w:left w:val="none" w:sz="0" w:space="0" w:color="auto"/>
                                                    <w:bottom w:val="none" w:sz="0" w:space="0" w:color="auto"/>
                                                    <w:right w:val="none" w:sz="0" w:space="0" w:color="auto"/>
                                                  </w:divBdr>
                                                  <w:divsChild>
                                                    <w:div w:id="1349604148">
                                                      <w:marLeft w:val="0"/>
                                                      <w:marRight w:val="0"/>
                                                      <w:marTop w:val="0"/>
                                                      <w:marBottom w:val="0"/>
                                                      <w:divBdr>
                                                        <w:top w:val="none" w:sz="0" w:space="0" w:color="auto"/>
                                                        <w:left w:val="none" w:sz="0" w:space="0" w:color="auto"/>
                                                        <w:bottom w:val="none" w:sz="0" w:space="0" w:color="auto"/>
                                                        <w:right w:val="none" w:sz="0" w:space="0" w:color="auto"/>
                                                      </w:divBdr>
                                                      <w:divsChild>
                                                        <w:div w:id="485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1924">
                                          <w:marLeft w:val="0"/>
                                          <w:marRight w:val="0"/>
                                          <w:marTop w:val="0"/>
                                          <w:marBottom w:val="0"/>
                                          <w:divBdr>
                                            <w:top w:val="none" w:sz="0" w:space="0" w:color="auto"/>
                                            <w:left w:val="none" w:sz="0" w:space="0" w:color="auto"/>
                                            <w:bottom w:val="none" w:sz="0" w:space="0" w:color="auto"/>
                                            <w:right w:val="none" w:sz="0" w:space="0" w:color="auto"/>
                                          </w:divBdr>
                                          <w:divsChild>
                                            <w:div w:id="1713920056">
                                              <w:marLeft w:val="0"/>
                                              <w:marRight w:val="0"/>
                                              <w:marTop w:val="0"/>
                                              <w:marBottom w:val="0"/>
                                              <w:divBdr>
                                                <w:top w:val="none" w:sz="0" w:space="0" w:color="auto"/>
                                                <w:left w:val="none" w:sz="0" w:space="0" w:color="auto"/>
                                                <w:bottom w:val="none" w:sz="0" w:space="0" w:color="auto"/>
                                                <w:right w:val="none" w:sz="0" w:space="0" w:color="auto"/>
                                              </w:divBdr>
                                              <w:divsChild>
                                                <w:div w:id="672419244">
                                                  <w:marLeft w:val="0"/>
                                                  <w:marRight w:val="0"/>
                                                  <w:marTop w:val="0"/>
                                                  <w:marBottom w:val="0"/>
                                                  <w:divBdr>
                                                    <w:top w:val="none" w:sz="0" w:space="0" w:color="auto"/>
                                                    <w:left w:val="none" w:sz="0" w:space="0" w:color="auto"/>
                                                    <w:bottom w:val="none" w:sz="0" w:space="0" w:color="auto"/>
                                                    <w:right w:val="none" w:sz="0" w:space="0" w:color="auto"/>
                                                  </w:divBdr>
                                                  <w:divsChild>
                                                    <w:div w:id="1472556945">
                                                      <w:marLeft w:val="0"/>
                                                      <w:marRight w:val="0"/>
                                                      <w:marTop w:val="0"/>
                                                      <w:marBottom w:val="0"/>
                                                      <w:divBdr>
                                                        <w:top w:val="none" w:sz="0" w:space="0" w:color="auto"/>
                                                        <w:left w:val="none" w:sz="0" w:space="0" w:color="auto"/>
                                                        <w:bottom w:val="none" w:sz="0" w:space="0" w:color="auto"/>
                                                        <w:right w:val="none" w:sz="0" w:space="0" w:color="auto"/>
                                                      </w:divBdr>
                                                      <w:divsChild>
                                                        <w:div w:id="616717488">
                                                          <w:marLeft w:val="0"/>
                                                          <w:marRight w:val="0"/>
                                                          <w:marTop w:val="0"/>
                                                          <w:marBottom w:val="0"/>
                                                          <w:divBdr>
                                                            <w:top w:val="none" w:sz="0" w:space="0" w:color="auto"/>
                                                            <w:left w:val="none" w:sz="0" w:space="0" w:color="auto"/>
                                                            <w:bottom w:val="none" w:sz="0" w:space="0" w:color="auto"/>
                                                            <w:right w:val="none" w:sz="0" w:space="0" w:color="auto"/>
                                                          </w:divBdr>
                                                          <w:divsChild>
                                                            <w:div w:id="278612304">
                                                              <w:marLeft w:val="0"/>
                                                              <w:marRight w:val="0"/>
                                                              <w:marTop w:val="0"/>
                                                              <w:marBottom w:val="0"/>
                                                              <w:divBdr>
                                                                <w:top w:val="none" w:sz="0" w:space="0" w:color="auto"/>
                                                                <w:left w:val="none" w:sz="0" w:space="0" w:color="auto"/>
                                                                <w:bottom w:val="none" w:sz="0" w:space="0" w:color="auto"/>
                                                                <w:right w:val="none" w:sz="0" w:space="0" w:color="auto"/>
                                                              </w:divBdr>
                                                            </w:div>
                                                          </w:divsChild>
                                                        </w:div>
                                                        <w:div w:id="1101952280">
                                                          <w:marLeft w:val="0"/>
                                                          <w:marRight w:val="0"/>
                                                          <w:marTop w:val="0"/>
                                                          <w:marBottom w:val="0"/>
                                                          <w:divBdr>
                                                            <w:top w:val="none" w:sz="0" w:space="0" w:color="auto"/>
                                                            <w:left w:val="none" w:sz="0" w:space="0" w:color="auto"/>
                                                            <w:bottom w:val="none" w:sz="0" w:space="0" w:color="auto"/>
                                                            <w:right w:val="none" w:sz="0" w:space="0" w:color="auto"/>
                                                          </w:divBdr>
                                                          <w:divsChild>
                                                            <w:div w:id="978612317">
                                                              <w:marLeft w:val="0"/>
                                                              <w:marRight w:val="0"/>
                                                              <w:marTop w:val="0"/>
                                                              <w:marBottom w:val="0"/>
                                                              <w:divBdr>
                                                                <w:top w:val="none" w:sz="0" w:space="0" w:color="auto"/>
                                                                <w:left w:val="none" w:sz="0" w:space="0" w:color="auto"/>
                                                                <w:bottom w:val="none" w:sz="0" w:space="0" w:color="auto"/>
                                                                <w:right w:val="none" w:sz="0" w:space="0" w:color="auto"/>
                                                              </w:divBdr>
                                                              <w:divsChild>
                                                                <w:div w:id="1054351200">
                                                                  <w:marLeft w:val="0"/>
                                                                  <w:marRight w:val="0"/>
                                                                  <w:marTop w:val="0"/>
                                                                  <w:marBottom w:val="0"/>
                                                                  <w:divBdr>
                                                                    <w:top w:val="none" w:sz="0" w:space="0" w:color="auto"/>
                                                                    <w:left w:val="none" w:sz="0" w:space="0" w:color="auto"/>
                                                                    <w:bottom w:val="none" w:sz="0" w:space="0" w:color="auto"/>
                                                                    <w:right w:val="none" w:sz="0" w:space="0" w:color="auto"/>
                                                                  </w:divBdr>
                                                                </w:div>
                                                              </w:divsChild>
                                                            </w:div>
                                                            <w:div w:id="15624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181635">
                  <w:marLeft w:val="0"/>
                  <w:marRight w:val="0"/>
                  <w:marTop w:val="0"/>
                  <w:marBottom w:val="0"/>
                  <w:divBdr>
                    <w:top w:val="none" w:sz="0" w:space="0" w:color="auto"/>
                    <w:left w:val="none" w:sz="0" w:space="0" w:color="auto"/>
                    <w:bottom w:val="none" w:sz="0" w:space="0" w:color="auto"/>
                    <w:right w:val="none" w:sz="0" w:space="0" w:color="auto"/>
                  </w:divBdr>
                  <w:divsChild>
                    <w:div w:id="1382710534">
                      <w:marLeft w:val="10530"/>
                      <w:marRight w:val="0"/>
                      <w:marTop w:val="0"/>
                      <w:marBottom w:val="0"/>
                      <w:divBdr>
                        <w:top w:val="none" w:sz="0" w:space="0" w:color="auto"/>
                        <w:left w:val="none" w:sz="0" w:space="0" w:color="auto"/>
                        <w:bottom w:val="none" w:sz="0" w:space="0" w:color="auto"/>
                        <w:right w:val="none" w:sz="0" w:space="0" w:color="auto"/>
                      </w:divBdr>
                      <w:divsChild>
                        <w:div w:id="7865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9380">
          <w:marLeft w:val="0"/>
          <w:marRight w:val="0"/>
          <w:marTop w:val="0"/>
          <w:marBottom w:val="0"/>
          <w:divBdr>
            <w:top w:val="none" w:sz="0" w:space="0" w:color="auto"/>
            <w:left w:val="none" w:sz="0" w:space="0" w:color="auto"/>
            <w:bottom w:val="none" w:sz="0" w:space="0" w:color="auto"/>
            <w:right w:val="none" w:sz="0" w:space="0" w:color="auto"/>
          </w:divBdr>
          <w:divsChild>
            <w:div w:id="303699768">
              <w:marLeft w:val="0"/>
              <w:marRight w:val="0"/>
              <w:marTop w:val="0"/>
              <w:marBottom w:val="0"/>
              <w:divBdr>
                <w:top w:val="none" w:sz="0" w:space="0" w:color="auto"/>
                <w:left w:val="none" w:sz="0" w:space="0" w:color="auto"/>
                <w:bottom w:val="none" w:sz="0" w:space="0" w:color="auto"/>
                <w:right w:val="none" w:sz="0" w:space="0" w:color="auto"/>
              </w:divBdr>
              <w:divsChild>
                <w:div w:id="1449467122">
                  <w:marLeft w:val="0"/>
                  <w:marRight w:val="0"/>
                  <w:marTop w:val="0"/>
                  <w:marBottom w:val="0"/>
                  <w:divBdr>
                    <w:top w:val="none" w:sz="0" w:space="0" w:color="auto"/>
                    <w:left w:val="none" w:sz="0" w:space="0" w:color="auto"/>
                    <w:bottom w:val="none" w:sz="0" w:space="0" w:color="auto"/>
                    <w:right w:val="none" w:sz="0" w:space="0" w:color="auto"/>
                  </w:divBdr>
                  <w:divsChild>
                    <w:div w:id="8477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3624">
          <w:marLeft w:val="0"/>
          <w:marRight w:val="0"/>
          <w:marTop w:val="0"/>
          <w:marBottom w:val="0"/>
          <w:divBdr>
            <w:top w:val="none" w:sz="0" w:space="0" w:color="auto"/>
            <w:left w:val="none" w:sz="0" w:space="0" w:color="auto"/>
            <w:bottom w:val="none" w:sz="0" w:space="0" w:color="auto"/>
            <w:right w:val="none" w:sz="0" w:space="0" w:color="auto"/>
          </w:divBdr>
        </w:div>
        <w:div w:id="1630669679">
          <w:marLeft w:val="0"/>
          <w:marRight w:val="0"/>
          <w:marTop w:val="0"/>
          <w:marBottom w:val="0"/>
          <w:divBdr>
            <w:top w:val="none" w:sz="0" w:space="0" w:color="auto"/>
            <w:left w:val="none" w:sz="0" w:space="0" w:color="auto"/>
            <w:bottom w:val="none" w:sz="0" w:space="0" w:color="auto"/>
            <w:right w:val="none" w:sz="0" w:space="0" w:color="auto"/>
          </w:divBdr>
          <w:divsChild>
            <w:div w:id="602032759">
              <w:marLeft w:val="0"/>
              <w:marRight w:val="0"/>
              <w:marTop w:val="0"/>
              <w:marBottom w:val="0"/>
              <w:divBdr>
                <w:top w:val="single" w:sz="6" w:space="0" w:color="E4E4E4"/>
                <w:left w:val="none" w:sz="0" w:space="0" w:color="auto"/>
                <w:bottom w:val="none" w:sz="0" w:space="0" w:color="auto"/>
                <w:right w:val="none" w:sz="0" w:space="0" w:color="auto"/>
              </w:divBdr>
              <w:divsChild>
                <w:div w:id="640814729">
                  <w:marLeft w:val="-405"/>
                  <w:marRight w:val="0"/>
                  <w:marTop w:val="0"/>
                  <w:marBottom w:val="0"/>
                  <w:divBdr>
                    <w:top w:val="none" w:sz="0" w:space="0" w:color="auto"/>
                    <w:left w:val="none" w:sz="0" w:space="0" w:color="auto"/>
                    <w:bottom w:val="none" w:sz="0" w:space="0" w:color="auto"/>
                    <w:right w:val="none" w:sz="0" w:space="0" w:color="auto"/>
                  </w:divBdr>
                </w:div>
                <w:div w:id="820999908">
                  <w:marLeft w:val="2025"/>
                  <w:marRight w:val="0"/>
                  <w:marTop w:val="0"/>
                  <w:marBottom w:val="0"/>
                  <w:divBdr>
                    <w:top w:val="none" w:sz="0" w:space="0" w:color="auto"/>
                    <w:left w:val="none" w:sz="0" w:space="0" w:color="auto"/>
                    <w:bottom w:val="none" w:sz="0" w:space="0" w:color="auto"/>
                    <w:right w:val="none" w:sz="0" w:space="0" w:color="auto"/>
                  </w:divBdr>
                  <w:divsChild>
                    <w:div w:id="1004674622">
                      <w:marLeft w:val="0"/>
                      <w:marRight w:val="0"/>
                      <w:marTop w:val="0"/>
                      <w:marBottom w:val="0"/>
                      <w:divBdr>
                        <w:top w:val="none" w:sz="0" w:space="0" w:color="auto"/>
                        <w:left w:val="none" w:sz="0" w:space="0" w:color="auto"/>
                        <w:bottom w:val="none" w:sz="0" w:space="0" w:color="auto"/>
                        <w:right w:val="none" w:sz="0" w:space="0" w:color="auto"/>
                      </w:divBdr>
                    </w:div>
                    <w:div w:id="17732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45960">
      <w:bodyDiv w:val="1"/>
      <w:marLeft w:val="0"/>
      <w:marRight w:val="0"/>
      <w:marTop w:val="0"/>
      <w:marBottom w:val="0"/>
      <w:divBdr>
        <w:top w:val="none" w:sz="0" w:space="0" w:color="auto"/>
        <w:left w:val="none" w:sz="0" w:space="0" w:color="auto"/>
        <w:bottom w:val="none" w:sz="0" w:space="0" w:color="auto"/>
        <w:right w:val="none" w:sz="0" w:space="0" w:color="auto"/>
      </w:divBdr>
      <w:divsChild>
        <w:div w:id="1867325560">
          <w:marLeft w:val="547"/>
          <w:marRight w:val="0"/>
          <w:marTop w:val="0"/>
          <w:marBottom w:val="0"/>
          <w:divBdr>
            <w:top w:val="none" w:sz="0" w:space="0" w:color="auto"/>
            <w:left w:val="none" w:sz="0" w:space="0" w:color="auto"/>
            <w:bottom w:val="none" w:sz="0" w:space="0" w:color="auto"/>
            <w:right w:val="none" w:sz="0" w:space="0" w:color="auto"/>
          </w:divBdr>
        </w:div>
      </w:divsChild>
    </w:div>
    <w:div w:id="940799294">
      <w:bodyDiv w:val="1"/>
      <w:marLeft w:val="0"/>
      <w:marRight w:val="0"/>
      <w:marTop w:val="0"/>
      <w:marBottom w:val="0"/>
      <w:divBdr>
        <w:top w:val="none" w:sz="0" w:space="0" w:color="auto"/>
        <w:left w:val="none" w:sz="0" w:space="0" w:color="auto"/>
        <w:bottom w:val="none" w:sz="0" w:space="0" w:color="auto"/>
        <w:right w:val="none" w:sz="0" w:space="0" w:color="auto"/>
      </w:divBdr>
    </w:div>
    <w:div w:id="1076047892">
      <w:bodyDiv w:val="1"/>
      <w:marLeft w:val="0"/>
      <w:marRight w:val="0"/>
      <w:marTop w:val="0"/>
      <w:marBottom w:val="0"/>
      <w:divBdr>
        <w:top w:val="none" w:sz="0" w:space="0" w:color="auto"/>
        <w:left w:val="none" w:sz="0" w:space="0" w:color="auto"/>
        <w:bottom w:val="none" w:sz="0" w:space="0" w:color="auto"/>
        <w:right w:val="none" w:sz="0" w:space="0" w:color="auto"/>
      </w:divBdr>
    </w:div>
    <w:div w:id="1152528968">
      <w:bodyDiv w:val="1"/>
      <w:marLeft w:val="0"/>
      <w:marRight w:val="0"/>
      <w:marTop w:val="0"/>
      <w:marBottom w:val="0"/>
      <w:divBdr>
        <w:top w:val="none" w:sz="0" w:space="0" w:color="auto"/>
        <w:left w:val="none" w:sz="0" w:space="0" w:color="auto"/>
        <w:bottom w:val="none" w:sz="0" w:space="0" w:color="auto"/>
        <w:right w:val="none" w:sz="0" w:space="0" w:color="auto"/>
      </w:divBdr>
    </w:div>
    <w:div w:id="1161430163">
      <w:bodyDiv w:val="1"/>
      <w:marLeft w:val="0"/>
      <w:marRight w:val="0"/>
      <w:marTop w:val="0"/>
      <w:marBottom w:val="0"/>
      <w:divBdr>
        <w:top w:val="none" w:sz="0" w:space="0" w:color="auto"/>
        <w:left w:val="none" w:sz="0" w:space="0" w:color="auto"/>
        <w:bottom w:val="none" w:sz="0" w:space="0" w:color="auto"/>
        <w:right w:val="none" w:sz="0" w:space="0" w:color="auto"/>
      </w:divBdr>
    </w:div>
    <w:div w:id="1181553492">
      <w:bodyDiv w:val="1"/>
      <w:marLeft w:val="0"/>
      <w:marRight w:val="0"/>
      <w:marTop w:val="0"/>
      <w:marBottom w:val="0"/>
      <w:divBdr>
        <w:top w:val="none" w:sz="0" w:space="0" w:color="auto"/>
        <w:left w:val="none" w:sz="0" w:space="0" w:color="auto"/>
        <w:bottom w:val="none" w:sz="0" w:space="0" w:color="auto"/>
        <w:right w:val="none" w:sz="0" w:space="0" w:color="auto"/>
      </w:divBdr>
    </w:div>
    <w:div w:id="1272978954">
      <w:bodyDiv w:val="1"/>
      <w:marLeft w:val="0"/>
      <w:marRight w:val="0"/>
      <w:marTop w:val="0"/>
      <w:marBottom w:val="0"/>
      <w:divBdr>
        <w:top w:val="none" w:sz="0" w:space="0" w:color="auto"/>
        <w:left w:val="none" w:sz="0" w:space="0" w:color="auto"/>
        <w:bottom w:val="none" w:sz="0" w:space="0" w:color="auto"/>
        <w:right w:val="none" w:sz="0" w:space="0" w:color="auto"/>
      </w:divBdr>
    </w:div>
    <w:div w:id="1442148593">
      <w:bodyDiv w:val="1"/>
      <w:marLeft w:val="0"/>
      <w:marRight w:val="0"/>
      <w:marTop w:val="0"/>
      <w:marBottom w:val="0"/>
      <w:divBdr>
        <w:top w:val="none" w:sz="0" w:space="0" w:color="auto"/>
        <w:left w:val="none" w:sz="0" w:space="0" w:color="auto"/>
        <w:bottom w:val="none" w:sz="0" w:space="0" w:color="auto"/>
        <w:right w:val="none" w:sz="0" w:space="0" w:color="auto"/>
      </w:divBdr>
    </w:div>
    <w:div w:id="1548446447">
      <w:bodyDiv w:val="1"/>
      <w:marLeft w:val="0"/>
      <w:marRight w:val="0"/>
      <w:marTop w:val="0"/>
      <w:marBottom w:val="0"/>
      <w:divBdr>
        <w:top w:val="none" w:sz="0" w:space="0" w:color="auto"/>
        <w:left w:val="none" w:sz="0" w:space="0" w:color="auto"/>
        <w:bottom w:val="none" w:sz="0" w:space="0" w:color="auto"/>
        <w:right w:val="none" w:sz="0" w:space="0" w:color="auto"/>
      </w:divBdr>
    </w:div>
    <w:div w:id="1593780423">
      <w:bodyDiv w:val="1"/>
      <w:marLeft w:val="0"/>
      <w:marRight w:val="0"/>
      <w:marTop w:val="0"/>
      <w:marBottom w:val="0"/>
      <w:divBdr>
        <w:top w:val="none" w:sz="0" w:space="0" w:color="auto"/>
        <w:left w:val="none" w:sz="0" w:space="0" w:color="auto"/>
        <w:bottom w:val="none" w:sz="0" w:space="0" w:color="auto"/>
        <w:right w:val="none" w:sz="0" w:space="0" w:color="auto"/>
      </w:divBdr>
      <w:divsChild>
        <w:div w:id="1296447231">
          <w:marLeft w:val="0"/>
          <w:marRight w:val="0"/>
          <w:marTop w:val="0"/>
          <w:marBottom w:val="0"/>
          <w:divBdr>
            <w:top w:val="none" w:sz="0" w:space="0" w:color="auto"/>
            <w:left w:val="none" w:sz="0" w:space="0" w:color="auto"/>
            <w:bottom w:val="none" w:sz="0" w:space="0" w:color="auto"/>
            <w:right w:val="none" w:sz="0" w:space="0" w:color="auto"/>
          </w:divBdr>
          <w:divsChild>
            <w:div w:id="17993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1848">
      <w:bodyDiv w:val="1"/>
      <w:marLeft w:val="0"/>
      <w:marRight w:val="0"/>
      <w:marTop w:val="0"/>
      <w:marBottom w:val="0"/>
      <w:divBdr>
        <w:top w:val="none" w:sz="0" w:space="0" w:color="auto"/>
        <w:left w:val="none" w:sz="0" w:space="0" w:color="auto"/>
        <w:bottom w:val="none" w:sz="0" w:space="0" w:color="auto"/>
        <w:right w:val="none" w:sz="0" w:space="0" w:color="auto"/>
      </w:divBdr>
    </w:div>
    <w:div w:id="1811894854">
      <w:bodyDiv w:val="1"/>
      <w:marLeft w:val="0"/>
      <w:marRight w:val="0"/>
      <w:marTop w:val="0"/>
      <w:marBottom w:val="0"/>
      <w:divBdr>
        <w:top w:val="none" w:sz="0" w:space="0" w:color="auto"/>
        <w:left w:val="none" w:sz="0" w:space="0" w:color="auto"/>
        <w:bottom w:val="none" w:sz="0" w:space="0" w:color="auto"/>
        <w:right w:val="none" w:sz="0" w:space="0" w:color="auto"/>
      </w:divBdr>
    </w:div>
    <w:div w:id="1878740517">
      <w:bodyDiv w:val="1"/>
      <w:marLeft w:val="0"/>
      <w:marRight w:val="0"/>
      <w:marTop w:val="0"/>
      <w:marBottom w:val="0"/>
      <w:divBdr>
        <w:top w:val="none" w:sz="0" w:space="0" w:color="auto"/>
        <w:left w:val="none" w:sz="0" w:space="0" w:color="auto"/>
        <w:bottom w:val="none" w:sz="0" w:space="0" w:color="auto"/>
        <w:right w:val="none" w:sz="0" w:space="0" w:color="auto"/>
      </w:divBdr>
    </w:div>
    <w:div w:id="1885868048">
      <w:bodyDiv w:val="1"/>
      <w:marLeft w:val="0"/>
      <w:marRight w:val="0"/>
      <w:marTop w:val="0"/>
      <w:marBottom w:val="0"/>
      <w:divBdr>
        <w:top w:val="none" w:sz="0" w:space="0" w:color="auto"/>
        <w:left w:val="none" w:sz="0" w:space="0" w:color="auto"/>
        <w:bottom w:val="none" w:sz="0" w:space="0" w:color="auto"/>
        <w:right w:val="none" w:sz="0" w:space="0" w:color="auto"/>
      </w:divBdr>
    </w:div>
    <w:div w:id="1995180559">
      <w:bodyDiv w:val="1"/>
      <w:marLeft w:val="0"/>
      <w:marRight w:val="0"/>
      <w:marTop w:val="0"/>
      <w:marBottom w:val="0"/>
      <w:divBdr>
        <w:top w:val="none" w:sz="0" w:space="0" w:color="auto"/>
        <w:left w:val="none" w:sz="0" w:space="0" w:color="auto"/>
        <w:bottom w:val="none" w:sz="0" w:space="0" w:color="auto"/>
        <w:right w:val="none" w:sz="0" w:space="0" w:color="auto"/>
      </w:divBdr>
    </w:div>
    <w:div w:id="20764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y.org/cpi20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4B98-8D10-40E5-AF30-AA8A7F412785}">
  <ds:schemaRefs>
    <ds:schemaRef ds:uri="http://schemas.openxmlformats.org/officeDocument/2006/bibliography"/>
  </ds:schemaRefs>
</ds:datastoreItem>
</file>

<file path=customXml/itemProps2.xml><?xml version="1.0" encoding="utf-8"?>
<ds:datastoreItem xmlns:ds="http://schemas.openxmlformats.org/officeDocument/2006/customXml" ds:itemID="{CCD2B3AB-CD09-4DF8-808D-0E6DCC5052FA}">
  <ds:schemaRefs>
    <ds:schemaRef ds:uri="http://schemas.openxmlformats.org/officeDocument/2006/bibliography"/>
  </ds:schemaRefs>
</ds:datastoreItem>
</file>

<file path=customXml/itemProps3.xml><?xml version="1.0" encoding="utf-8"?>
<ds:datastoreItem xmlns:ds="http://schemas.openxmlformats.org/officeDocument/2006/customXml" ds:itemID="{F29B457F-FEC0-4020-99F0-7776BD24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6008</Words>
  <Characters>34247</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CPD Template and Guidance</vt:lpstr>
      <vt:lpstr>CPD Template and Guidance</vt:lpstr>
    </vt:vector>
  </TitlesOfParts>
  <Company>Microsoft</Company>
  <LinksUpToDate>false</LinksUpToDate>
  <CharactersWithSpaces>40175</CharactersWithSpaces>
  <SharedDoc>false</SharedDoc>
  <HLinks>
    <vt:vector size="24" baseType="variant">
      <vt:variant>
        <vt:i4>1572924</vt:i4>
      </vt:variant>
      <vt:variant>
        <vt:i4>20</vt:i4>
      </vt:variant>
      <vt:variant>
        <vt:i4>0</vt:i4>
      </vt:variant>
      <vt:variant>
        <vt:i4>5</vt:i4>
      </vt:variant>
      <vt:variant>
        <vt:lpwstr/>
      </vt:variant>
      <vt:variant>
        <vt:lpwstr>_Toc447478871</vt:lpwstr>
      </vt:variant>
      <vt:variant>
        <vt:i4>1572924</vt:i4>
      </vt:variant>
      <vt:variant>
        <vt:i4>14</vt:i4>
      </vt:variant>
      <vt:variant>
        <vt:i4>0</vt:i4>
      </vt:variant>
      <vt:variant>
        <vt:i4>5</vt:i4>
      </vt:variant>
      <vt:variant>
        <vt:lpwstr/>
      </vt:variant>
      <vt:variant>
        <vt:lpwstr>_Toc447478870</vt:lpwstr>
      </vt:variant>
      <vt:variant>
        <vt:i4>1638460</vt:i4>
      </vt:variant>
      <vt:variant>
        <vt:i4>8</vt:i4>
      </vt:variant>
      <vt:variant>
        <vt:i4>0</vt:i4>
      </vt:variant>
      <vt:variant>
        <vt:i4>5</vt:i4>
      </vt:variant>
      <vt:variant>
        <vt:lpwstr/>
      </vt:variant>
      <vt:variant>
        <vt:lpwstr>_Toc447478869</vt:lpwstr>
      </vt:variant>
      <vt:variant>
        <vt:i4>1638460</vt:i4>
      </vt:variant>
      <vt:variant>
        <vt:i4>2</vt:i4>
      </vt:variant>
      <vt:variant>
        <vt:i4>0</vt:i4>
      </vt:variant>
      <vt:variant>
        <vt:i4>5</vt:i4>
      </vt:variant>
      <vt:variant>
        <vt:lpwstr/>
      </vt:variant>
      <vt:variant>
        <vt:lpwstr>_Toc447478868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Template and Guidance</dc:title>
  <dc:subject/>
  <dc:creator>John Magoha</dc:creator>
  <cp:keywords/>
  <cp:lastModifiedBy>Svetlana Iazykova</cp:lastModifiedBy>
  <cp:revision>2</cp:revision>
  <cp:lastPrinted>2017-08-22T11:54:00Z</cp:lastPrinted>
  <dcterms:created xsi:type="dcterms:W3CDTF">2017-11-07T17:14:00Z</dcterms:created>
  <dcterms:modified xsi:type="dcterms:W3CDTF">2017-11-07T17:14:00Z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0x01010023A92725C93E4830A7421C44D384B7FC007D305ECB5151497D9ED4747BC101AE2B00FA2A749AF868DB49A28F5839C665E410</vt:lpwstr>
  </property>
  <property fmtid="{D5CDD505-2E9C-101B-9397-08002B2CF9AE}" pid="3" name="_dlc_DocIdItemGuid">
    <vt:lpwstr>9989d833-ec36-42db-843e-c5f5354adafe</vt:lpwstr>
  </property>
  <property fmtid="{D5CDD505-2E9C-101B-9397-08002B2CF9AE}" pid="4" name="_dlc_DocId">
    <vt:lpwstr>UNDPGBL-229-311</vt:lpwstr>
  </property>
  <property fmtid="{D5CDD505-2E9C-101B-9397-08002B2CF9AE}" pid="5" name="_dlc_DocIdUrl">
    <vt:lpwstr>https://intranet.undp.org/global/documents/_layouts/DocIdRedir.aspx?ID=UNDPGBL-229-311, UNDPGBL-229-311</vt:lpwstr>
  </property>
  <property fmtid="{D5CDD505-2E9C-101B-9397-08002B2CF9AE}" pid="6" name="UNDPPOPPKeywords">
    <vt:lpwstr>8;#Country Programme Document|191375a8-63fb-40e7-8027-9bd27b0a793a</vt:lpwstr>
  </property>
  <property fmtid="{D5CDD505-2E9C-101B-9397-08002B2CF9AE}" pid="7" name="TaxCatchAll">
    <vt:lpwstr>8;#Country Programme Document|191375a8-63fb-40e7-8027-9bd27b0a793a</vt:lpwstr>
  </property>
  <property fmtid="{D5CDD505-2E9C-101B-9397-08002B2CF9AE}" pid="8" name="UNDPPlannedReviewDate">
    <vt:lpwstr>2014-12-03T00:00:00Z</vt:lpwstr>
  </property>
  <property fmtid="{D5CDD505-2E9C-101B-9397-08002B2CF9AE}" pid="9" name="Focalpoint">
    <vt:lpwstr>15911;#UNDPHQ\jessica.murray</vt:lpwstr>
  </property>
  <property fmtid="{D5CDD505-2E9C-101B-9397-08002B2CF9AE}" pid="10" name="UNDPEffectiveDate">
    <vt:lpwstr>2013-12-03T00:00:00Z</vt:lpwstr>
  </property>
  <property fmtid="{D5CDD505-2E9C-101B-9397-08002B2CF9AE}" pid="11" name="UNDPResponsibleUnit">
    <vt:lpwstr>Operations Support Group (OSG)</vt:lpwstr>
  </property>
  <property fmtid="{D5CDD505-2E9C-101B-9397-08002B2CF9AE}" pid="12" name="UNDPCreator">
    <vt:lpwstr>266;#UNDPHQ\judith.puyat-magnaye</vt:lpwstr>
  </property>
  <property fmtid="{D5CDD505-2E9C-101B-9397-08002B2CF9AE}" pid="13" name="UNDPApplicability">
    <vt:lpwstr>All programmes and projects</vt:lpwstr>
  </property>
  <property fmtid="{D5CDD505-2E9C-101B-9397-08002B2CF9AE}" pid="14" name="UNDPActualReviewDate">
    <vt:lpwstr/>
  </property>
  <property fmtid="{D5CDD505-2E9C-101B-9397-08002B2CF9AE}" pid="15" name="UNDPPOPPKeywordsTaxHTField0">
    <vt:lpwstr>Country Programme Document191375a8-63fb-40e7-8027-9bd27b0a793a</vt:lpwstr>
  </property>
  <property fmtid="{D5CDD505-2E9C-101B-9397-08002B2CF9AE}" pid="16" name="UNDPPOPPFunctionalArea">
    <vt:lpwstr>Programme and Project</vt:lpwstr>
  </property>
  <property fmtid="{D5CDD505-2E9C-101B-9397-08002B2CF9AE}" pid="17" name="UNDPSummary">
    <vt:lpwstr>Version Nov 2013</vt:lpwstr>
  </property>
  <property fmtid="{D5CDD505-2E9C-101B-9397-08002B2CF9AE}" pid="18" name="UNDPPublishedDate">
    <vt:lpwstr>2013-12-03T00:00:00Z</vt:lpwstr>
  </property>
  <property fmtid="{D5CDD505-2E9C-101B-9397-08002B2CF9AE}" pid="19" name="UNDPPOPPProcess">
    <vt:lpwstr>Programme Management</vt:lpwstr>
  </property>
  <property fmtid="{D5CDD505-2E9C-101B-9397-08002B2CF9AE}" pid="20" name="UNDPIssuanceDate">
    <vt:lpwstr>2013-12-03T00:00:00Z</vt:lpwstr>
  </property>
  <property fmtid="{D5CDD505-2E9C-101B-9397-08002B2CF9AE}" pid="21" name="UNDPPOPPPrescriptiveContentSelection">
    <vt:lpwstr>Yes</vt:lpwstr>
  </property>
  <property fmtid="{D5CDD505-2E9C-101B-9397-08002B2CF9AE}" pid="22" name="UNDPPOPPSubprocess">
    <vt:lpwstr>Programme Strategic Planning</vt:lpwstr>
  </property>
  <property fmtid="{D5CDD505-2E9C-101B-9397-08002B2CF9AE}" pid="23" name="UNDPPOPPSubsubsubprocess">
    <vt:lpwstr/>
  </property>
  <property fmtid="{D5CDD505-2E9C-101B-9397-08002B2CF9AE}" pid="24" name="UNDPPOPPSubsubprocess">
    <vt:lpwstr/>
  </property>
</Properties>
</file>