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34347952"/>
        <w:docPartObj>
          <w:docPartGallery w:val="Cover Pages"/>
          <w:docPartUnique/>
        </w:docPartObj>
      </w:sdtPr>
      <w:sdtEndPr>
        <w:rPr>
          <w:rFonts w:ascii="Myriad Pro" w:hAnsi="Myriad Pro"/>
          <w:sz w:val="20"/>
          <w:szCs w:val="20"/>
        </w:rPr>
      </w:sdtEndPr>
      <w:sdtContent>
        <w:p w14:paraId="5B3F8EA9" w14:textId="29CDE7E8" w:rsidR="00C57FE2" w:rsidRPr="00C57FE2" w:rsidRDefault="00C57FE2" w:rsidP="00C57FE2">
          <w:pPr>
            <w:rPr>
              <w:color w:val="C00000"/>
            </w:rPr>
          </w:pPr>
          <w:r>
            <w:rPr>
              <w:noProof/>
            </w:rPr>
            <mc:AlternateContent>
              <mc:Choice Requires="wps">
                <w:drawing>
                  <wp:anchor distT="0" distB="0" distL="114300" distR="114300" simplePos="0" relativeHeight="251659776" behindDoc="0" locked="0" layoutInCell="1" allowOverlap="1" wp14:anchorId="1E3777C3" wp14:editId="29389F45">
                    <wp:simplePos x="0" y="0"/>
                    <wp:positionH relativeFrom="margin">
                      <wp:posOffset>-960120</wp:posOffset>
                    </wp:positionH>
                    <wp:positionV relativeFrom="page">
                      <wp:posOffset>2461260</wp:posOffset>
                    </wp:positionV>
                    <wp:extent cx="7342505" cy="1089660"/>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7342505" cy="1089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E0019" w14:textId="77777777" w:rsidR="00B2118C" w:rsidRDefault="00B2118C" w:rsidP="00C57FE2">
                                <w:pPr>
                                  <w:pStyle w:val="NoSpacing"/>
                                  <w:spacing w:before="40" w:line="216" w:lineRule="auto"/>
                                  <w:rPr>
                                    <w:rFonts w:ascii="Times New Roman" w:hAnsi="Times New Roman"/>
                                    <w:b/>
                                    <w:sz w:val="40"/>
                                    <w:szCs w:val="40"/>
                                  </w:rPr>
                                </w:pPr>
                                <w:r>
                                  <w:rPr>
                                    <w:rFonts w:ascii="Times New Roman" w:hAnsi="Times New Roman"/>
                                    <w:b/>
                                    <w:sz w:val="40"/>
                                    <w:szCs w:val="40"/>
                                  </w:rPr>
                                  <w:t>UNDP management commentaries to the</w:t>
                                </w:r>
                                <w:r w:rsidRPr="00A53E9A">
                                  <w:rPr>
                                    <w:rFonts w:ascii="Times New Roman" w:hAnsi="Times New Roman"/>
                                    <w:b/>
                                    <w:sz w:val="40"/>
                                    <w:szCs w:val="40"/>
                                  </w:rPr>
                                  <w:t xml:space="preserve"> </w:t>
                                </w:r>
                              </w:p>
                              <w:p w14:paraId="62C281B5" w14:textId="591967BF" w:rsidR="00B2118C" w:rsidRDefault="00B2118C" w:rsidP="00C57FE2">
                                <w:pPr>
                                  <w:pStyle w:val="NoSpacing"/>
                                  <w:spacing w:before="40" w:line="216" w:lineRule="auto"/>
                                  <w:rPr>
                                    <w:rFonts w:ascii="Times New Roman" w:hAnsi="Times New Roman"/>
                                    <w:b/>
                                    <w:sz w:val="40"/>
                                    <w:szCs w:val="40"/>
                                  </w:rPr>
                                </w:pPr>
                                <w:r>
                                  <w:rPr>
                                    <w:rFonts w:ascii="Times New Roman" w:hAnsi="Times New Roman"/>
                                    <w:b/>
                                    <w:sz w:val="40"/>
                                    <w:szCs w:val="40"/>
                                  </w:rPr>
                                  <w:t xml:space="preserve">2018 Annual Report on Evaluation </w:t>
                                </w:r>
                              </w:p>
                              <w:p w14:paraId="2EF235DF" w14:textId="77777777" w:rsidR="00B2118C" w:rsidRPr="00A53E9A" w:rsidRDefault="00B2118C" w:rsidP="00D7367D">
                                <w:pPr>
                                  <w:pStyle w:val="NoSpacing"/>
                                  <w:spacing w:before="40" w:after="560" w:line="216" w:lineRule="auto"/>
                                  <w:ind w:left="72"/>
                                  <w:rPr>
                                    <w:rFonts w:ascii="Times New Roman" w:hAnsi="Times New Roman"/>
                                    <w:b/>
                                    <w:sz w:val="40"/>
                                    <w:szCs w:val="40"/>
                                  </w:rPr>
                                </w:pPr>
                              </w:p>
                              <w:p w14:paraId="1D09742C" w14:textId="77777777" w:rsidR="00B2118C" w:rsidRDefault="00B2118C" w:rsidP="00837F49">
                                <w:pPr>
                                  <w:pStyle w:val="NoSpacing"/>
                                  <w:spacing w:before="40" w:after="40"/>
                                  <w:jc w:val="center"/>
                                  <w:rPr>
                                    <w:rFonts w:ascii="Times New Roman" w:hAnsi="Times New Roman"/>
                                    <w:caps/>
                                    <w:sz w:val="40"/>
                                    <w:szCs w:val="4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3777C3" id="_x0000_t202" coordsize="21600,21600" o:spt="202" path="m,l,21600r21600,l21600,xe">
                    <v:stroke joinstyle="miter"/>
                    <v:path gradientshapeok="t" o:connecttype="rect"/>
                  </v:shapetype>
                  <v:shape id="Text Box 154" o:spid="_x0000_s1026" type="#_x0000_t202" style="position:absolute;margin-left:-75.6pt;margin-top:193.8pt;width:578.15pt;height:85.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" filled="f" stroked="f" strokeweight=".5pt">
                    <v:textbox inset="126pt,0,54pt,0">
                      <w:txbxContent>
                        <w:p w14:paraId="3EAE0019" w14:textId="77777777" w:rsidR="00B2118C" w:rsidRDefault="00B2118C" w:rsidP="00C57FE2">
                          <w:pPr>
                            <w:pStyle w:val="NoSpacing"/>
                            <w:spacing w:before="40" w:line="216" w:lineRule="auto"/>
                            <w:rPr>
                              <w:rFonts w:ascii="Times New Roman" w:hAnsi="Times New Roman"/>
                              <w:b/>
                              <w:sz w:val="40"/>
                              <w:szCs w:val="40"/>
                            </w:rPr>
                          </w:pPr>
                          <w:r>
                            <w:rPr>
                              <w:rFonts w:ascii="Times New Roman" w:hAnsi="Times New Roman"/>
                              <w:b/>
                              <w:sz w:val="40"/>
                              <w:szCs w:val="40"/>
                            </w:rPr>
                            <w:t>UNDP management commentaries to the</w:t>
                          </w:r>
                          <w:r w:rsidRPr="00A53E9A">
                            <w:rPr>
                              <w:rFonts w:ascii="Times New Roman" w:hAnsi="Times New Roman"/>
                              <w:b/>
                              <w:sz w:val="40"/>
                              <w:szCs w:val="40"/>
                            </w:rPr>
                            <w:t xml:space="preserve"> </w:t>
                          </w:r>
                        </w:p>
                        <w:p w14:paraId="62C281B5" w14:textId="591967BF" w:rsidR="00B2118C" w:rsidRDefault="00B2118C" w:rsidP="00C57FE2">
                          <w:pPr>
                            <w:pStyle w:val="NoSpacing"/>
                            <w:spacing w:before="40" w:line="216" w:lineRule="auto"/>
                            <w:rPr>
                              <w:rFonts w:ascii="Times New Roman" w:hAnsi="Times New Roman"/>
                              <w:b/>
                              <w:sz w:val="40"/>
                              <w:szCs w:val="40"/>
                            </w:rPr>
                          </w:pPr>
                          <w:r>
                            <w:rPr>
                              <w:rFonts w:ascii="Times New Roman" w:hAnsi="Times New Roman"/>
                              <w:b/>
                              <w:sz w:val="40"/>
                              <w:szCs w:val="40"/>
                            </w:rPr>
                            <w:t xml:space="preserve">2018 Annual Report on Evaluation </w:t>
                          </w:r>
                        </w:p>
                        <w:p w14:paraId="2EF235DF" w14:textId="77777777" w:rsidR="00B2118C" w:rsidRPr="00A53E9A" w:rsidRDefault="00B2118C" w:rsidP="00D7367D">
                          <w:pPr>
                            <w:pStyle w:val="NoSpacing"/>
                            <w:spacing w:before="40" w:after="560" w:line="216" w:lineRule="auto"/>
                            <w:ind w:left="72"/>
                            <w:rPr>
                              <w:rFonts w:ascii="Times New Roman" w:hAnsi="Times New Roman"/>
                              <w:b/>
                              <w:sz w:val="40"/>
                              <w:szCs w:val="40"/>
                            </w:rPr>
                          </w:pPr>
                        </w:p>
                        <w:p w14:paraId="1D09742C" w14:textId="77777777" w:rsidR="00B2118C" w:rsidRDefault="00B2118C" w:rsidP="00837F49">
                          <w:pPr>
                            <w:pStyle w:val="NoSpacing"/>
                            <w:spacing w:before="40" w:after="40"/>
                            <w:jc w:val="center"/>
                            <w:rPr>
                              <w:rFonts w:ascii="Times New Roman" w:hAnsi="Times New Roman"/>
                              <w:caps/>
                              <w:sz w:val="40"/>
                              <w:szCs w:val="40"/>
                            </w:rPr>
                          </w:pPr>
                        </w:p>
                      </w:txbxContent>
                    </v:textbox>
                    <w10:wrap type="square" anchorx="margin" anchory="page"/>
                  </v:shape>
                </w:pict>
              </mc:Fallback>
            </mc:AlternateContent>
          </w:r>
          <w:r w:rsidR="00E04428" w:rsidRPr="00614F74">
            <w:rPr>
              <w:noProof/>
              <w:sz w:val="28"/>
              <w:szCs w:val="28"/>
            </w:rPr>
            <w:drawing>
              <wp:inline distT="0" distB="0" distL="0" distR="0" wp14:anchorId="2B0A7A56" wp14:editId="15843CA0">
                <wp:extent cx="470435" cy="876300"/>
                <wp:effectExtent l="0" t="0" r="6350" b="0"/>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61" cy="881192"/>
                        </a:xfrm>
                        <a:prstGeom prst="rect">
                          <a:avLst/>
                        </a:prstGeom>
                        <a:noFill/>
                        <a:ln>
                          <a:noFill/>
                        </a:ln>
                      </pic:spPr>
                    </pic:pic>
                  </a:graphicData>
                </a:graphic>
              </wp:inline>
            </w:drawing>
          </w:r>
          <w:r w:rsidR="00837F49" w:rsidRPr="00944EAB">
            <w:rPr>
              <w:noProof/>
              <w:color w:val="C00000"/>
            </w:rPr>
            <mc:AlternateContent>
              <mc:Choice Requires="wpg">
                <w:drawing>
                  <wp:anchor distT="0" distB="0" distL="114300" distR="114300" simplePos="0" relativeHeight="251662848" behindDoc="0" locked="0" layoutInCell="1" allowOverlap="1" wp14:anchorId="5095C364" wp14:editId="1C75A69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B795D6" id="Group 149" o:spid="_x0000_s1026" style="position:absolute;margin-left:0;margin-top:0;width:8in;height:95.7pt;z-index:25166284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p>
      </w:sdtContent>
    </w:sdt>
    <w:p w14:paraId="5E14C037" w14:textId="53CE087E" w:rsidR="00D11CA7" w:rsidRDefault="007D0E44" w:rsidP="00D32AAC">
      <w:pPr>
        <w:spacing w:after="0"/>
        <w:rPr>
          <w:rFonts w:ascii="Times New Roman" w:eastAsia="Times New Roman,Batang" w:hAnsi="Times New Roman"/>
          <w:b/>
          <w:bCs/>
          <w:color w:val="000000" w:themeColor="text1"/>
          <w:u w:val="single"/>
          <w:lang w:eastAsia="ko-KR"/>
        </w:rPr>
      </w:pPr>
      <w:r w:rsidRPr="00C8773E">
        <w:rPr>
          <w:rFonts w:ascii="Times New Roman" w:eastAsia="Times New Roman,Batang" w:hAnsi="Times New Roman"/>
          <w:b/>
          <w:bCs/>
          <w:color w:val="000000" w:themeColor="text1"/>
          <w:u w:val="single"/>
          <w:lang w:eastAsia="ko-KR"/>
        </w:rPr>
        <w:t>Introduction</w:t>
      </w:r>
    </w:p>
    <w:p w14:paraId="2228A902" w14:textId="77777777" w:rsidR="000A5CDE" w:rsidRDefault="000A5CDE" w:rsidP="00D32AAC">
      <w:pPr>
        <w:spacing w:after="0"/>
        <w:rPr>
          <w:rFonts w:ascii="Times New Roman" w:eastAsia="Times New Roman,Batang" w:hAnsi="Times New Roman"/>
          <w:b/>
          <w:bCs/>
          <w:color w:val="000000" w:themeColor="text1"/>
          <w:u w:val="single"/>
          <w:lang w:eastAsia="ko-KR"/>
        </w:rPr>
      </w:pPr>
    </w:p>
    <w:p w14:paraId="53A6E6DB" w14:textId="6F29EC7E" w:rsidR="00F673C3" w:rsidRDefault="00F673C3" w:rsidP="00314C45">
      <w:pPr>
        <w:spacing w:after="0" w:line="240" w:lineRule="auto"/>
        <w:jc w:val="both"/>
        <w:rPr>
          <w:rFonts w:ascii="Times New Roman" w:hAnsi="Times New Roman"/>
        </w:rPr>
      </w:pPr>
      <w:r w:rsidRPr="000F5EC8">
        <w:rPr>
          <w:rFonts w:ascii="Times New Roman" w:eastAsia="Times New Roman,Batang" w:hAnsi="Times New Roman"/>
          <w:bCs/>
          <w:color w:val="000000" w:themeColor="text1"/>
          <w:lang w:eastAsia="ko-KR"/>
        </w:rPr>
        <w:t xml:space="preserve">UNDP is pleased to provide its management commentaries to the 2018 annual report on evaluation </w:t>
      </w:r>
      <w:r w:rsidRPr="000F5EC8">
        <w:rPr>
          <w:rFonts w:ascii="Times New Roman" w:eastAsia="Times New Roman,Batang" w:hAnsi="Times New Roman"/>
          <w:lang w:eastAsia="ko-KR"/>
        </w:rPr>
        <w:t>[</w:t>
      </w:r>
      <w:r w:rsidRPr="00572BE9">
        <w:rPr>
          <w:rFonts w:ascii="Times New Roman" w:eastAsia="Times New Roman,Batang" w:hAnsi="Times New Roman"/>
          <w:lang w:eastAsia="ko-KR"/>
        </w:rPr>
        <w:t>DP/201</w:t>
      </w:r>
      <w:r w:rsidR="00B54CCB" w:rsidRPr="00572BE9">
        <w:rPr>
          <w:rFonts w:ascii="Times New Roman" w:eastAsia="Times New Roman,Batang" w:hAnsi="Times New Roman"/>
          <w:lang w:eastAsia="ko-KR"/>
        </w:rPr>
        <w:t>9</w:t>
      </w:r>
      <w:r w:rsidRPr="00572BE9">
        <w:rPr>
          <w:rFonts w:ascii="Times New Roman" w:eastAsia="Times New Roman,Batang" w:hAnsi="Times New Roman"/>
          <w:lang w:eastAsia="ko-KR"/>
        </w:rPr>
        <w:t>/1</w:t>
      </w:r>
      <w:r w:rsidR="00B54CCB" w:rsidRPr="00572BE9">
        <w:rPr>
          <w:rFonts w:ascii="Times New Roman" w:eastAsia="Times New Roman,Batang" w:hAnsi="Times New Roman"/>
          <w:lang w:eastAsia="ko-KR"/>
        </w:rPr>
        <w:t>6</w:t>
      </w:r>
      <w:r w:rsidRPr="00100649">
        <w:rPr>
          <w:rFonts w:ascii="Times New Roman" w:eastAsia="Times New Roman,Batang" w:hAnsi="Times New Roman"/>
          <w:lang w:eastAsia="ko-KR"/>
        </w:rPr>
        <w:t>]</w:t>
      </w:r>
      <w:r w:rsidRPr="00361002">
        <w:rPr>
          <w:rFonts w:ascii="Times New Roman" w:eastAsia="Times New Roman,Batang" w:hAnsi="Times New Roman"/>
          <w:lang w:eastAsia="ko-KR"/>
        </w:rPr>
        <w:t>.</w:t>
      </w:r>
      <w:r w:rsidRPr="000F5EC8">
        <w:rPr>
          <w:rFonts w:ascii="Times New Roman" w:eastAsia="Times New Roman,Batang" w:hAnsi="Times New Roman"/>
          <w:color w:val="FF0000"/>
          <w:lang w:eastAsia="ko-KR"/>
        </w:rPr>
        <w:t xml:space="preserve"> </w:t>
      </w:r>
      <w:r w:rsidRPr="000F5EC8">
        <w:rPr>
          <w:rFonts w:ascii="Times New Roman" w:hAnsi="Times New Roman"/>
        </w:rPr>
        <w:t xml:space="preserve">UNDP management welcomes the report </w:t>
      </w:r>
      <w:r>
        <w:rPr>
          <w:rFonts w:ascii="Times New Roman" w:hAnsi="Times New Roman"/>
        </w:rPr>
        <w:t xml:space="preserve">and would like to thank the Independent Evaluation Office (IEO) for the close collaboration and the high-quality work done in 2018, which helps </w:t>
      </w:r>
      <w:r w:rsidRPr="000F5EC8">
        <w:rPr>
          <w:rFonts w:ascii="Times New Roman" w:hAnsi="Times New Roman"/>
        </w:rPr>
        <w:t xml:space="preserve">UNDP </w:t>
      </w:r>
      <w:r>
        <w:rPr>
          <w:rFonts w:ascii="Times New Roman" w:hAnsi="Times New Roman"/>
        </w:rPr>
        <w:t xml:space="preserve">strengthen its </w:t>
      </w:r>
      <w:r w:rsidRPr="000F5EC8">
        <w:rPr>
          <w:rFonts w:ascii="Times New Roman" w:hAnsi="Times New Roman"/>
        </w:rPr>
        <w:t xml:space="preserve">organizational learning, accountability, transparency and overall performance and results. </w:t>
      </w:r>
    </w:p>
    <w:p w14:paraId="4121B8E9" w14:textId="77777777" w:rsidR="00F673C3" w:rsidRDefault="00F673C3" w:rsidP="00314C45">
      <w:pPr>
        <w:spacing w:after="0" w:line="240" w:lineRule="auto"/>
        <w:jc w:val="both"/>
        <w:rPr>
          <w:rFonts w:ascii="Times New Roman" w:hAnsi="Times New Roman"/>
        </w:rPr>
      </w:pPr>
    </w:p>
    <w:p w14:paraId="57CBE1F6" w14:textId="600E1716" w:rsidR="00350BE3" w:rsidRPr="004B7536" w:rsidRDefault="00AC53AA" w:rsidP="00350BE3">
      <w:pPr>
        <w:spacing w:after="0" w:line="240" w:lineRule="auto"/>
        <w:jc w:val="both"/>
        <w:rPr>
          <w:rFonts w:ascii="Times New Roman" w:hAnsi="Times New Roman"/>
          <w:lang w:eastAsia="x-none"/>
        </w:rPr>
      </w:pPr>
      <w:r w:rsidRPr="0004537D">
        <w:rPr>
          <w:rFonts w:ascii="Times New Roman" w:hAnsi="Times New Roman"/>
        </w:rPr>
        <w:t>2</w:t>
      </w:r>
      <w:r w:rsidR="00625B44" w:rsidRPr="0004537D">
        <w:rPr>
          <w:rFonts w:ascii="Times New Roman" w:hAnsi="Times New Roman"/>
        </w:rPr>
        <w:t>018 marked the first year of implementation for the Strategic Plan</w:t>
      </w:r>
      <w:r w:rsidR="00100649">
        <w:rPr>
          <w:rFonts w:ascii="Times New Roman" w:hAnsi="Times New Roman"/>
        </w:rPr>
        <w:t xml:space="preserve"> (SP)</w:t>
      </w:r>
      <w:r w:rsidR="00625B44" w:rsidRPr="0004537D">
        <w:rPr>
          <w:rFonts w:ascii="Times New Roman" w:hAnsi="Times New Roman"/>
        </w:rPr>
        <w:t xml:space="preserve"> 2018-2021. </w:t>
      </w:r>
      <w:r w:rsidRPr="0004537D">
        <w:rPr>
          <w:rFonts w:ascii="Times New Roman" w:hAnsi="Times New Roman"/>
        </w:rPr>
        <w:t xml:space="preserve">The </w:t>
      </w:r>
      <w:r w:rsidR="00100649">
        <w:rPr>
          <w:rFonts w:ascii="Times New Roman" w:hAnsi="Times New Roman"/>
        </w:rPr>
        <w:t xml:space="preserve">SP </w:t>
      </w:r>
      <w:r w:rsidRPr="0004537D">
        <w:rPr>
          <w:rFonts w:ascii="Times New Roman" w:hAnsi="Times New Roman"/>
        </w:rPr>
        <w:t xml:space="preserve">set out </w:t>
      </w:r>
      <w:r w:rsidR="00235E72">
        <w:rPr>
          <w:rFonts w:ascii="Times New Roman" w:hAnsi="Times New Roman"/>
        </w:rPr>
        <w:t>a</w:t>
      </w:r>
      <w:r w:rsidR="00984FF8">
        <w:rPr>
          <w:rFonts w:ascii="Times New Roman" w:hAnsi="Times New Roman"/>
        </w:rPr>
        <w:t xml:space="preserve"> new direction</w:t>
      </w:r>
      <w:r w:rsidR="00235E72">
        <w:rPr>
          <w:rFonts w:ascii="Times New Roman" w:hAnsi="Times New Roman"/>
        </w:rPr>
        <w:t xml:space="preserve"> </w:t>
      </w:r>
      <w:r w:rsidRPr="0004537D">
        <w:rPr>
          <w:rFonts w:ascii="Times New Roman" w:hAnsi="Times New Roman"/>
        </w:rPr>
        <w:t>for UNDP</w:t>
      </w:r>
      <w:r w:rsidR="0004537D">
        <w:rPr>
          <w:rFonts w:ascii="Times New Roman" w:hAnsi="Times New Roman"/>
        </w:rPr>
        <w:t xml:space="preserve"> to effectively </w:t>
      </w:r>
      <w:r w:rsidR="0004537D" w:rsidRPr="0004537D">
        <w:rPr>
          <w:rFonts w:ascii="Times New Roman" w:hAnsi="Times New Roman"/>
        </w:rPr>
        <w:t>support</w:t>
      </w:r>
      <w:r w:rsidRPr="0004537D">
        <w:rPr>
          <w:rFonts w:ascii="Times New Roman" w:hAnsi="Times New Roman"/>
        </w:rPr>
        <w:t xml:space="preserve"> countries achieve the 2030 Agenda for Sustainable Development</w:t>
      </w:r>
      <w:r w:rsidR="00100649">
        <w:rPr>
          <w:rFonts w:ascii="Times New Roman" w:hAnsi="Times New Roman"/>
        </w:rPr>
        <w:t xml:space="preserve"> through </w:t>
      </w:r>
      <w:r w:rsidR="0004537D">
        <w:rPr>
          <w:rFonts w:ascii="Times New Roman" w:hAnsi="Times New Roman"/>
        </w:rPr>
        <w:t>new</w:t>
      </w:r>
      <w:r w:rsidR="0004537D" w:rsidRPr="0004537D">
        <w:rPr>
          <w:rFonts w:ascii="Times New Roman" w:hAnsi="Times New Roman"/>
        </w:rPr>
        <w:t xml:space="preserve"> innovative </w:t>
      </w:r>
      <w:r w:rsidR="00876CEF">
        <w:rPr>
          <w:rFonts w:ascii="Times New Roman" w:hAnsi="Times New Roman"/>
        </w:rPr>
        <w:t>solutions</w:t>
      </w:r>
      <w:r w:rsidR="0004537D" w:rsidRPr="0004537D">
        <w:rPr>
          <w:rFonts w:ascii="Times New Roman" w:hAnsi="Times New Roman"/>
        </w:rPr>
        <w:t xml:space="preserve"> and ways of working</w:t>
      </w:r>
      <w:r w:rsidR="00100649">
        <w:rPr>
          <w:rFonts w:ascii="Times New Roman" w:hAnsi="Times New Roman"/>
        </w:rPr>
        <w:t xml:space="preserve">, while building </w:t>
      </w:r>
      <w:r w:rsidRPr="0004537D">
        <w:rPr>
          <w:rFonts w:ascii="Times New Roman" w:hAnsi="Times New Roman"/>
        </w:rPr>
        <w:t xml:space="preserve">on </w:t>
      </w:r>
      <w:r w:rsidR="00235E72">
        <w:rPr>
          <w:rFonts w:ascii="Times New Roman" w:hAnsi="Times New Roman"/>
        </w:rPr>
        <w:t xml:space="preserve">its </w:t>
      </w:r>
      <w:r w:rsidRPr="0004537D">
        <w:rPr>
          <w:rFonts w:ascii="Times New Roman" w:hAnsi="Times New Roman"/>
        </w:rPr>
        <w:t xml:space="preserve">strengths and expertise, relationships and </w:t>
      </w:r>
      <w:r w:rsidRPr="0004537D">
        <w:rPr>
          <w:rStyle w:val="Strong"/>
          <w:rFonts w:ascii="Times New Roman" w:hAnsi="Times New Roman"/>
          <w:b w:val="0"/>
        </w:rPr>
        <w:t>presence on the ground</w:t>
      </w:r>
      <w:r w:rsidR="00100649">
        <w:rPr>
          <w:rFonts w:ascii="Times New Roman" w:hAnsi="Times New Roman"/>
        </w:rPr>
        <w:t>.</w:t>
      </w:r>
      <w:r w:rsidR="0004537D">
        <w:rPr>
          <w:rFonts w:ascii="Times New Roman" w:hAnsi="Times New Roman"/>
        </w:rPr>
        <w:t xml:space="preserve"> </w:t>
      </w:r>
      <w:r w:rsidR="00100649">
        <w:rPr>
          <w:rFonts w:ascii="Times New Roman" w:hAnsi="Times New Roman"/>
        </w:rPr>
        <w:t>The formulation of the SP</w:t>
      </w:r>
      <w:r w:rsidR="00100649">
        <w:rPr>
          <w:rFonts w:ascii="Times New Roman" w:hAnsi="Times New Roman"/>
          <w:lang w:eastAsia="x-none"/>
        </w:rPr>
        <w:t xml:space="preserve"> </w:t>
      </w:r>
      <w:r w:rsidR="002A60BB" w:rsidRPr="000F5EC8">
        <w:rPr>
          <w:rFonts w:ascii="Times New Roman" w:hAnsi="Times New Roman"/>
          <w:lang w:eastAsia="x-none"/>
        </w:rPr>
        <w:t>dr</w:t>
      </w:r>
      <w:r w:rsidR="00100649">
        <w:rPr>
          <w:rFonts w:ascii="Times New Roman" w:hAnsi="Times New Roman"/>
          <w:lang w:eastAsia="x-none"/>
        </w:rPr>
        <w:t>ew</w:t>
      </w:r>
      <w:r w:rsidR="002A60BB" w:rsidRPr="000F5EC8">
        <w:rPr>
          <w:rFonts w:ascii="Times New Roman" w:hAnsi="Times New Roman"/>
          <w:lang w:eastAsia="x-none"/>
        </w:rPr>
        <w:t xml:space="preserve"> on lessons extracted from programme and project implementation, results and performance factor analyses, as well as </w:t>
      </w:r>
      <w:r w:rsidR="00235E72">
        <w:rPr>
          <w:rFonts w:ascii="Times New Roman" w:hAnsi="Times New Roman"/>
          <w:lang w:eastAsia="x-none"/>
        </w:rPr>
        <w:t>findings</w:t>
      </w:r>
      <w:r w:rsidR="00100649">
        <w:rPr>
          <w:rFonts w:ascii="Times New Roman" w:hAnsi="Times New Roman"/>
          <w:lang w:eastAsia="x-none"/>
        </w:rPr>
        <w:t xml:space="preserve"> and recommendations from </w:t>
      </w:r>
      <w:r w:rsidR="002A60BB" w:rsidRPr="000F5EC8">
        <w:rPr>
          <w:rFonts w:ascii="Times New Roman" w:hAnsi="Times New Roman"/>
          <w:lang w:eastAsia="x-none"/>
        </w:rPr>
        <w:t>audits</w:t>
      </w:r>
      <w:r w:rsidR="00100649">
        <w:rPr>
          <w:rFonts w:ascii="Times New Roman" w:hAnsi="Times New Roman"/>
          <w:lang w:eastAsia="x-none"/>
        </w:rPr>
        <w:t>, external multilateral and bilateral reviews,</w:t>
      </w:r>
      <w:r w:rsidR="002A60BB" w:rsidRPr="000F5EC8">
        <w:rPr>
          <w:rFonts w:ascii="Times New Roman" w:hAnsi="Times New Roman"/>
          <w:lang w:eastAsia="x-none"/>
        </w:rPr>
        <w:t xml:space="preserve"> and independent and decentralized evaluations.</w:t>
      </w:r>
      <w:r w:rsidR="00100649">
        <w:rPr>
          <w:rFonts w:ascii="Times New Roman" w:hAnsi="Times New Roman"/>
          <w:lang w:eastAsia="x-none"/>
        </w:rPr>
        <w:t xml:space="preserve"> </w:t>
      </w:r>
      <w:r w:rsidR="002A60BB" w:rsidRPr="000F5EC8">
        <w:rPr>
          <w:rFonts w:ascii="Times New Roman" w:hAnsi="Times New Roman"/>
          <w:lang w:eastAsia="x-none"/>
        </w:rPr>
        <w:t xml:space="preserve">UNDP took particular account of </w:t>
      </w:r>
      <w:r w:rsidR="00CB6985" w:rsidRPr="000F5EC8">
        <w:rPr>
          <w:rFonts w:ascii="Times New Roman" w:hAnsi="Times New Roman"/>
          <w:lang w:eastAsia="x-none"/>
        </w:rPr>
        <w:t xml:space="preserve">the </w:t>
      </w:r>
      <w:r w:rsidR="002A60BB" w:rsidRPr="000F5EC8">
        <w:rPr>
          <w:rFonts w:ascii="Times New Roman" w:hAnsi="Times New Roman"/>
          <w:lang w:eastAsia="x-none"/>
        </w:rPr>
        <w:t xml:space="preserve">findings, conclusions and recommendations of the </w:t>
      </w:r>
      <w:hyperlink r:id="rId12" w:history="1">
        <w:r w:rsidR="002A60BB" w:rsidRPr="009A7A6E">
          <w:rPr>
            <w:rStyle w:val="Hyperlink"/>
            <w:rFonts w:ascii="Times New Roman" w:hAnsi="Times New Roman"/>
            <w:i/>
            <w:color w:val="auto"/>
            <w:u w:val="none"/>
            <w:lang w:eastAsia="x-none"/>
          </w:rPr>
          <w:t>evaluation of the Strategic Plan, global programme and regional programmes 2014-2017</w:t>
        </w:r>
      </w:hyperlink>
      <w:r w:rsidR="002A60BB" w:rsidRPr="009A7A6E">
        <w:rPr>
          <w:rFonts w:ascii="Times New Roman" w:hAnsi="Times New Roman"/>
          <w:lang w:eastAsia="x-none"/>
        </w:rPr>
        <w:t xml:space="preserve"> and the </w:t>
      </w:r>
      <w:hyperlink r:id="rId13" w:history="1">
        <w:r w:rsidR="002A60BB" w:rsidRPr="009A7A6E">
          <w:rPr>
            <w:rStyle w:val="Hyperlink"/>
            <w:rFonts w:ascii="Times New Roman" w:hAnsi="Times New Roman"/>
            <w:i/>
            <w:color w:val="auto"/>
            <w:u w:val="none"/>
            <w:lang w:eastAsia="x-none"/>
          </w:rPr>
          <w:t>joint assessment of institutional effectiveness</w:t>
        </w:r>
      </w:hyperlink>
      <w:r w:rsidR="00CB6985" w:rsidRPr="009A7A6E">
        <w:rPr>
          <w:rFonts w:ascii="Times New Roman" w:hAnsi="Times New Roman"/>
          <w:lang w:eastAsia="x-none"/>
        </w:rPr>
        <w:t>,</w:t>
      </w:r>
      <w:r w:rsidR="00CB6985" w:rsidRPr="009A7A6E">
        <w:rPr>
          <w:rFonts w:ascii="Times New Roman" w:hAnsi="Times New Roman"/>
          <w:i/>
          <w:lang w:eastAsia="x-none"/>
        </w:rPr>
        <w:t xml:space="preserve"> </w:t>
      </w:r>
      <w:r w:rsidR="00CB6985" w:rsidRPr="009A7A6E">
        <w:rPr>
          <w:rFonts w:ascii="Times New Roman" w:hAnsi="Times New Roman"/>
          <w:lang w:eastAsia="x-none"/>
        </w:rPr>
        <w:t>conducted</w:t>
      </w:r>
      <w:r w:rsidR="002A60BB" w:rsidRPr="009A7A6E">
        <w:rPr>
          <w:rFonts w:ascii="Times New Roman" w:hAnsi="Times New Roman"/>
          <w:lang w:eastAsia="x-none"/>
        </w:rPr>
        <w:t xml:space="preserve"> by the </w:t>
      </w:r>
      <w:r w:rsidR="00CB6985" w:rsidRPr="009A7A6E">
        <w:rPr>
          <w:rFonts w:ascii="Times New Roman" w:hAnsi="Times New Roman"/>
          <w:lang w:eastAsia="x-none"/>
        </w:rPr>
        <w:t>IEO</w:t>
      </w:r>
      <w:r w:rsidR="002A60BB" w:rsidRPr="009A7A6E">
        <w:rPr>
          <w:rFonts w:ascii="Times New Roman" w:hAnsi="Times New Roman"/>
          <w:lang w:eastAsia="x-none"/>
        </w:rPr>
        <w:t xml:space="preserve"> and </w:t>
      </w:r>
      <w:r w:rsidR="00235E72" w:rsidRPr="009A7A6E">
        <w:rPr>
          <w:rFonts w:ascii="Times New Roman" w:hAnsi="Times New Roman"/>
          <w:lang w:eastAsia="x-none"/>
        </w:rPr>
        <w:t xml:space="preserve">the </w:t>
      </w:r>
      <w:r w:rsidR="002A60BB" w:rsidRPr="009A7A6E">
        <w:rPr>
          <w:rFonts w:ascii="Times New Roman" w:hAnsi="Times New Roman"/>
          <w:lang w:eastAsia="x-none"/>
        </w:rPr>
        <w:t>Office of Audit and Investigations</w:t>
      </w:r>
      <w:r w:rsidR="00984FF8">
        <w:rPr>
          <w:rFonts w:ascii="Times New Roman" w:hAnsi="Times New Roman"/>
          <w:lang w:eastAsia="x-none"/>
        </w:rPr>
        <w:t xml:space="preserve"> (OAI</w:t>
      </w:r>
      <w:r w:rsidR="00984FF8" w:rsidRPr="004B7536">
        <w:rPr>
          <w:rFonts w:ascii="Times New Roman" w:hAnsi="Times New Roman"/>
          <w:lang w:eastAsia="x-none"/>
        </w:rPr>
        <w:t>)</w:t>
      </w:r>
      <w:r w:rsidR="002A60BB" w:rsidRPr="004B7536">
        <w:rPr>
          <w:rFonts w:ascii="Times New Roman" w:hAnsi="Times New Roman"/>
          <w:lang w:eastAsia="x-none"/>
        </w:rPr>
        <w:t xml:space="preserve">. </w:t>
      </w:r>
      <w:r w:rsidR="00350BE3" w:rsidRPr="004B7536">
        <w:rPr>
          <w:rFonts w:ascii="Times New Roman" w:eastAsiaTheme="minorEastAsia" w:hAnsi="Times New Roman"/>
        </w:rPr>
        <w:t xml:space="preserve">Recommendations related to for example the importance of continuing to build a solid organizational results culture, results-based budgeting, enhanced value for money and programme quality are being addressed by UNDP. </w:t>
      </w:r>
      <w:r w:rsidR="00350BE3" w:rsidRPr="004B7536">
        <w:rPr>
          <w:rFonts w:ascii="Times New Roman" w:hAnsi="Times New Roman"/>
          <w:lang w:eastAsia="x-none"/>
        </w:rPr>
        <w:t>Annex 3 of the SP 2018-21 presented a high-level summary of how UNDP incorporated lessons from the previous SP period (2014-17)</w:t>
      </w:r>
      <w:r w:rsidR="00350BE3" w:rsidRPr="004B7536">
        <w:rPr>
          <w:rStyle w:val="FootnoteReference"/>
          <w:rFonts w:ascii="Times New Roman" w:hAnsi="Times New Roman"/>
        </w:rPr>
        <w:footnoteReference w:id="1"/>
      </w:r>
      <w:r w:rsidR="00350BE3" w:rsidRPr="004B7536">
        <w:rPr>
          <w:rFonts w:ascii="Times New Roman" w:hAnsi="Times New Roman"/>
          <w:lang w:eastAsia="x-none"/>
        </w:rPr>
        <w:t>.</w:t>
      </w:r>
      <w:r w:rsidR="00210CC7" w:rsidRPr="004B7536">
        <w:rPr>
          <w:rFonts w:ascii="Times New Roman" w:hAnsi="Times New Roman"/>
          <w:lang w:eastAsia="x-none"/>
        </w:rPr>
        <w:t xml:space="preserve"> </w:t>
      </w:r>
      <w:r w:rsidR="00350BE3" w:rsidRPr="004B7536">
        <w:rPr>
          <w:rFonts w:ascii="Times New Roman" w:eastAsia="Times New Roman,Batang" w:hAnsi="Times New Roman"/>
          <w:bCs/>
          <w:lang w:eastAsia="ko-KR"/>
        </w:rPr>
        <w:t>UNDP’s 2018 Annual report of the Administrator presents results achieved during the first year of implementation of the SP 2018-21</w:t>
      </w:r>
      <w:r w:rsidR="00EF63F4">
        <w:rPr>
          <w:rFonts w:ascii="Times New Roman" w:eastAsia="Times New Roman,Batang" w:hAnsi="Times New Roman"/>
          <w:bCs/>
          <w:lang w:eastAsia="ko-KR"/>
        </w:rPr>
        <w:t>.</w:t>
      </w:r>
    </w:p>
    <w:p w14:paraId="758C886B" w14:textId="77777777" w:rsidR="00F673C3" w:rsidRDefault="00F673C3" w:rsidP="00314C45">
      <w:pPr>
        <w:spacing w:after="0" w:line="240" w:lineRule="auto"/>
        <w:jc w:val="both"/>
        <w:rPr>
          <w:rFonts w:ascii="Times New Roman" w:hAnsi="Times New Roman"/>
        </w:rPr>
      </w:pPr>
    </w:p>
    <w:p w14:paraId="190B6536" w14:textId="55CD2F98" w:rsidR="00CC42DF" w:rsidRPr="00A936F2" w:rsidRDefault="00BC4B0C" w:rsidP="00CC42DF">
      <w:pPr>
        <w:spacing w:after="0" w:line="240" w:lineRule="auto"/>
        <w:jc w:val="both"/>
        <w:rPr>
          <w:rFonts w:ascii="Times New Roman" w:hAnsi="Times New Roman"/>
        </w:rPr>
      </w:pPr>
      <w:r>
        <w:rPr>
          <w:rFonts w:ascii="Times New Roman" w:hAnsi="Times New Roman"/>
        </w:rPr>
        <w:t xml:space="preserve">In accordance with </w:t>
      </w:r>
      <w:r w:rsidR="00901878">
        <w:rPr>
          <w:rFonts w:ascii="Times New Roman" w:hAnsi="Times New Roman"/>
        </w:rPr>
        <w:t xml:space="preserve">Executive Board </w:t>
      </w:r>
      <w:r w:rsidR="005A4E02" w:rsidRPr="006F01B8">
        <w:rPr>
          <w:rFonts w:ascii="Times New Roman" w:hAnsi="Times New Roman"/>
        </w:rPr>
        <w:t>decision</w:t>
      </w:r>
      <w:r w:rsidR="00901878" w:rsidRPr="006F01B8">
        <w:rPr>
          <w:rFonts w:ascii="Times New Roman" w:hAnsi="Times New Roman"/>
        </w:rPr>
        <w:t xml:space="preserve"> (</w:t>
      </w:r>
      <w:r w:rsidR="009B0352" w:rsidRPr="006F01B8">
        <w:rPr>
          <w:rFonts w:ascii="Times New Roman" w:hAnsi="Times New Roman"/>
        </w:rPr>
        <w:t>2015/18</w:t>
      </w:r>
      <w:r w:rsidR="00901878" w:rsidRPr="006F01B8">
        <w:rPr>
          <w:rFonts w:ascii="Times New Roman" w:hAnsi="Times New Roman"/>
        </w:rPr>
        <w:t>)</w:t>
      </w:r>
      <w:r w:rsidR="00D41A6D" w:rsidRPr="006F01B8">
        <w:rPr>
          <w:rFonts w:ascii="Times New Roman" w:hAnsi="Times New Roman"/>
        </w:rPr>
        <w:t>, which called on the</w:t>
      </w:r>
      <w:r w:rsidR="00901878" w:rsidRPr="006F01B8">
        <w:rPr>
          <w:rFonts w:ascii="Times New Roman" w:hAnsi="Times New Roman"/>
        </w:rPr>
        <w:t xml:space="preserve"> </w:t>
      </w:r>
      <w:r w:rsidR="005A4E02" w:rsidRPr="006F01B8">
        <w:rPr>
          <w:rFonts w:ascii="Times New Roman" w:hAnsi="Times New Roman"/>
        </w:rPr>
        <w:t>IEO</w:t>
      </w:r>
      <w:r w:rsidR="005A4E02">
        <w:rPr>
          <w:rFonts w:ascii="Times New Roman" w:hAnsi="Times New Roman"/>
        </w:rPr>
        <w:t xml:space="preserve"> </w:t>
      </w:r>
      <w:r w:rsidR="00D41A6D">
        <w:rPr>
          <w:rFonts w:ascii="Times New Roman" w:hAnsi="Times New Roman"/>
        </w:rPr>
        <w:t xml:space="preserve">to expand their </w:t>
      </w:r>
      <w:r w:rsidR="005A4E02">
        <w:rPr>
          <w:rFonts w:ascii="Times New Roman" w:hAnsi="Times New Roman"/>
        </w:rPr>
        <w:t>coverage of UNDP country programme</w:t>
      </w:r>
      <w:r w:rsidR="00D41A6D">
        <w:rPr>
          <w:rFonts w:ascii="Times New Roman" w:hAnsi="Times New Roman"/>
        </w:rPr>
        <w:t>s</w:t>
      </w:r>
      <w:r w:rsidR="003443A6">
        <w:rPr>
          <w:rFonts w:ascii="Times New Roman" w:hAnsi="Times New Roman"/>
        </w:rPr>
        <w:t>,</w:t>
      </w:r>
      <w:r w:rsidR="00EF63F4">
        <w:rPr>
          <w:rFonts w:ascii="Times New Roman" w:hAnsi="Times New Roman"/>
        </w:rPr>
        <w:t xml:space="preserve"> UNDP received four Independent Country Programme Evaluations (ICPEs) in 2018, with the remaining 2018 ICPEs expected to be received in 2019. UNDP received from IEO and contributed to </w:t>
      </w:r>
      <w:r w:rsidR="00901878">
        <w:rPr>
          <w:rFonts w:ascii="Times New Roman" w:hAnsi="Times New Roman"/>
        </w:rPr>
        <w:t xml:space="preserve">three thematic evaluations and the revision process of the evaluation chapter of the </w:t>
      </w:r>
      <w:r w:rsidR="004F4FDC" w:rsidRPr="00E10BE3">
        <w:rPr>
          <w:rFonts w:ascii="Times New Roman" w:hAnsi="Times New Roman"/>
        </w:rPr>
        <w:t xml:space="preserve">UNDP Handbook on planning, monitoring and evaluating for development results </w:t>
      </w:r>
      <w:r w:rsidR="004F4FDC">
        <w:rPr>
          <w:rFonts w:ascii="Times New Roman" w:hAnsi="Times New Roman"/>
        </w:rPr>
        <w:t xml:space="preserve">(the </w:t>
      </w:r>
      <w:r w:rsidR="00C20D02">
        <w:rPr>
          <w:rFonts w:ascii="Times New Roman" w:hAnsi="Times New Roman"/>
        </w:rPr>
        <w:t>“</w:t>
      </w:r>
      <w:r w:rsidR="004F4FDC">
        <w:rPr>
          <w:rFonts w:ascii="Times New Roman" w:hAnsi="Times New Roman"/>
        </w:rPr>
        <w:t>Yellow Handbook</w:t>
      </w:r>
      <w:r w:rsidR="00C20D02">
        <w:rPr>
          <w:rFonts w:ascii="Times New Roman" w:hAnsi="Times New Roman"/>
        </w:rPr>
        <w:t>”</w:t>
      </w:r>
      <w:r w:rsidR="004F4FDC">
        <w:rPr>
          <w:rFonts w:ascii="Times New Roman" w:hAnsi="Times New Roman"/>
        </w:rPr>
        <w:t xml:space="preserve">) from 2009. </w:t>
      </w:r>
    </w:p>
    <w:p w14:paraId="1E6A153D" w14:textId="0CE88666" w:rsidR="00CC42DF" w:rsidRDefault="00CC42DF" w:rsidP="00CC42DF">
      <w:pPr>
        <w:spacing w:after="0" w:line="240" w:lineRule="auto"/>
        <w:jc w:val="both"/>
        <w:rPr>
          <w:rFonts w:ascii="Times New Roman" w:eastAsia="Times New Roman,Batang" w:hAnsi="Times New Roman"/>
          <w:lang w:eastAsia="ko-KR"/>
        </w:rPr>
      </w:pPr>
    </w:p>
    <w:p w14:paraId="621B03C1" w14:textId="77777777" w:rsidR="00B54CCB" w:rsidRPr="00B54CCB" w:rsidRDefault="00B54CCB" w:rsidP="00B54CCB">
      <w:pPr>
        <w:spacing w:after="0" w:line="240" w:lineRule="auto"/>
        <w:jc w:val="both"/>
        <w:rPr>
          <w:rFonts w:ascii="Times New Roman" w:eastAsia="Times New Roman,Batang" w:hAnsi="Times New Roman"/>
          <w:lang w:eastAsia="ko-KR"/>
        </w:rPr>
      </w:pPr>
      <w:bookmarkStart w:id="0" w:name="_Hlk6902496"/>
      <w:r w:rsidRPr="00B54CCB">
        <w:rPr>
          <w:rFonts w:ascii="Times New Roman" w:eastAsia="Times New Roman,Batang" w:hAnsi="Times New Roman"/>
          <w:bCs/>
          <w:shd w:val="clear" w:color="auto" w:fill="FFFFFF" w:themeFill="background1"/>
          <w:lang w:eastAsia="ko-KR"/>
        </w:rPr>
        <w:t>UNDP’s most senior decision-making bodies, the Executive Group (EG) and the Organizational Performance Group (OPG), continued to lead efforts to ensure that learning from evaluation is at the center</w:t>
      </w:r>
      <w:r w:rsidRPr="00B54CCB">
        <w:rPr>
          <w:rFonts w:ascii="Times New Roman" w:eastAsia="Times New Roman,Batang" w:hAnsi="Times New Roman"/>
          <w:bCs/>
          <w:lang w:eastAsia="ko-KR"/>
        </w:rPr>
        <w:t xml:space="preserve"> </w:t>
      </w:r>
      <w:r w:rsidRPr="00B54CCB">
        <w:rPr>
          <w:rFonts w:ascii="Times New Roman" w:eastAsia="Times New Roman,Batang" w:hAnsi="Times New Roman"/>
          <w:bCs/>
          <w:lang w:eastAsia="ko-KR"/>
        </w:rPr>
        <w:lastRenderedPageBreak/>
        <w:t>of the agenda and to inform decision-making by systematically reviewing new evaluation reports and management responses.</w:t>
      </w:r>
      <w:r w:rsidRPr="00B54CCB">
        <w:rPr>
          <w:rFonts w:ascii="Times New Roman" w:hAnsi="Times New Roman"/>
        </w:rPr>
        <w:t xml:space="preserve"> </w:t>
      </w:r>
      <w:bookmarkEnd w:id="0"/>
    </w:p>
    <w:p w14:paraId="4F78B445" w14:textId="64A8A444" w:rsidR="000A5CDE" w:rsidRDefault="000A5CDE" w:rsidP="00CC42DF">
      <w:pPr>
        <w:spacing w:after="0" w:line="240" w:lineRule="auto"/>
        <w:jc w:val="both"/>
        <w:rPr>
          <w:rFonts w:ascii="Times New Roman" w:eastAsia="Times New Roman,Batang" w:hAnsi="Times New Roman"/>
          <w:lang w:eastAsia="ko-KR"/>
        </w:rPr>
      </w:pPr>
    </w:p>
    <w:p w14:paraId="34B29F71" w14:textId="77777777" w:rsidR="000A5CDE" w:rsidRDefault="000A5CDE" w:rsidP="00CC42DF">
      <w:pPr>
        <w:spacing w:after="0" w:line="240" w:lineRule="auto"/>
        <w:jc w:val="both"/>
        <w:rPr>
          <w:rFonts w:ascii="Times New Roman" w:eastAsia="Times New Roman,Batang" w:hAnsi="Times New Roman"/>
          <w:lang w:eastAsia="ko-KR"/>
        </w:rPr>
      </w:pPr>
    </w:p>
    <w:p w14:paraId="04D5E6D9" w14:textId="439B8A9E" w:rsidR="00C2337B" w:rsidRDefault="00B37E9F" w:rsidP="00EA09F9">
      <w:pPr>
        <w:spacing w:after="0" w:line="240" w:lineRule="auto"/>
        <w:jc w:val="both"/>
        <w:rPr>
          <w:rFonts w:ascii="Times New Roman" w:eastAsia="Times New Roman,Batang" w:hAnsi="Times New Roman"/>
          <w:b/>
          <w:u w:val="single"/>
          <w:lang w:eastAsia="ko-KR"/>
        </w:rPr>
      </w:pPr>
      <w:r>
        <w:rPr>
          <w:rFonts w:ascii="Times New Roman" w:eastAsia="Times New Roman,Batang" w:hAnsi="Times New Roman"/>
          <w:b/>
          <w:u w:val="single"/>
          <w:lang w:eastAsia="ko-KR"/>
        </w:rPr>
        <w:t>I</w:t>
      </w:r>
      <w:r w:rsidR="00C2337B" w:rsidRPr="00EA09F9">
        <w:rPr>
          <w:rFonts w:ascii="Times New Roman" w:eastAsia="Times New Roman,Batang" w:hAnsi="Times New Roman"/>
          <w:b/>
          <w:u w:val="single"/>
          <w:lang w:eastAsia="ko-KR"/>
        </w:rPr>
        <w:t>ndependent evaluation</w:t>
      </w:r>
      <w:r>
        <w:rPr>
          <w:rFonts w:ascii="Times New Roman" w:eastAsia="Times New Roman,Batang" w:hAnsi="Times New Roman"/>
          <w:b/>
          <w:u w:val="single"/>
          <w:lang w:eastAsia="ko-KR"/>
        </w:rPr>
        <w:t>s</w:t>
      </w:r>
      <w:r w:rsidR="004B0AFE" w:rsidRPr="00EA09F9">
        <w:rPr>
          <w:rFonts w:ascii="Times New Roman" w:eastAsia="Times New Roman,Batang" w:hAnsi="Times New Roman"/>
          <w:b/>
          <w:u w:val="single"/>
          <w:lang w:eastAsia="ko-KR"/>
        </w:rPr>
        <w:t xml:space="preserve"> </w:t>
      </w:r>
    </w:p>
    <w:p w14:paraId="41219DB3" w14:textId="77777777" w:rsidR="000A5CDE" w:rsidRDefault="000A5CDE" w:rsidP="00EA09F9">
      <w:pPr>
        <w:spacing w:after="0" w:line="240" w:lineRule="auto"/>
        <w:jc w:val="both"/>
        <w:rPr>
          <w:rFonts w:ascii="Times New Roman" w:eastAsia="Times New Roman,Batang" w:hAnsi="Times New Roman"/>
          <w:b/>
          <w:u w:val="single"/>
          <w:lang w:eastAsia="ko-KR"/>
        </w:rPr>
      </w:pPr>
    </w:p>
    <w:p w14:paraId="5D563130" w14:textId="53039B5D" w:rsidR="004B0AFE" w:rsidRPr="00263957" w:rsidRDefault="006102A8" w:rsidP="00D7029A">
      <w:pPr>
        <w:pStyle w:val="ListParagraph"/>
        <w:tabs>
          <w:tab w:val="left" w:pos="360"/>
        </w:tabs>
        <w:autoSpaceDE w:val="0"/>
        <w:autoSpaceDN w:val="0"/>
        <w:adjustRightInd w:val="0"/>
        <w:spacing w:after="120" w:line="240" w:lineRule="auto"/>
        <w:ind w:left="0"/>
        <w:jc w:val="both"/>
        <w:rPr>
          <w:rFonts w:ascii="Times New Roman" w:eastAsia="Times New Roman" w:hAnsi="Times New Roman"/>
          <w:i/>
          <w:lang w:val="en-GB"/>
        </w:rPr>
      </w:pPr>
      <w:r w:rsidRPr="00E10BE3">
        <w:rPr>
          <w:rFonts w:ascii="Times New Roman" w:hAnsi="Times New Roman"/>
          <w:b/>
        </w:rPr>
        <w:t>Three independent thematic reports</w:t>
      </w:r>
      <w:r w:rsidRPr="00A152AB">
        <w:rPr>
          <w:rFonts w:ascii="Times New Roman" w:hAnsi="Times New Roman"/>
        </w:rPr>
        <w:t xml:space="preserve"> were </w:t>
      </w:r>
      <w:r w:rsidRPr="001D6AD4">
        <w:rPr>
          <w:rFonts w:ascii="Times New Roman" w:hAnsi="Times New Roman"/>
        </w:rPr>
        <w:t xml:space="preserve">conducted in 2018: </w:t>
      </w:r>
      <w:hyperlink r:id="rId14" w:history="1">
        <w:r w:rsidRPr="001D6AD4">
          <w:rPr>
            <w:rStyle w:val="Hyperlink"/>
            <w:rFonts w:ascii="Times New Roman" w:hAnsi="Times New Roman"/>
            <w:i/>
            <w:color w:val="auto"/>
            <w:u w:val="none"/>
          </w:rPr>
          <w:t xml:space="preserve">Evaluation of </w:t>
        </w:r>
        <w:r w:rsidRPr="001D6AD4">
          <w:rPr>
            <w:rStyle w:val="Hyperlink"/>
            <w:rFonts w:ascii="Times New Roman" w:eastAsia="Times New Roman" w:hAnsi="Times New Roman"/>
            <w:i/>
            <w:color w:val="auto"/>
            <w:u w:val="none"/>
            <w:lang w:val="en-GB"/>
          </w:rPr>
          <w:t>UNDP provision of inter-agency operational services from 2010 to 2017</w:t>
        </w:r>
      </w:hyperlink>
      <w:r w:rsidRPr="001D6AD4">
        <w:rPr>
          <w:rFonts w:ascii="Times New Roman" w:eastAsia="Times New Roman" w:hAnsi="Times New Roman"/>
          <w:i/>
          <w:lang w:val="en-GB"/>
        </w:rPr>
        <w:t xml:space="preserve">, </w:t>
      </w:r>
      <w:hyperlink r:id="rId15" w:history="1">
        <w:r w:rsidRPr="001D6AD4">
          <w:rPr>
            <w:rStyle w:val="Hyperlink"/>
            <w:rFonts w:ascii="Times New Roman" w:eastAsia="Times New Roman" w:hAnsi="Times New Roman"/>
            <w:i/>
            <w:color w:val="auto"/>
            <w:u w:val="none"/>
            <w:lang w:val="en-GB"/>
          </w:rPr>
          <w:t>Evaluation of UNDP inter-agency pooled financing services 2010 to 2017</w:t>
        </w:r>
      </w:hyperlink>
      <w:r w:rsidR="00373C14" w:rsidRPr="00EA09F9">
        <w:rPr>
          <w:rFonts w:ascii="Times New Roman" w:eastAsia="Times New Roman" w:hAnsi="Times New Roman"/>
          <w:lang w:val="en-GB"/>
        </w:rPr>
        <w:t xml:space="preserve">, and </w:t>
      </w:r>
      <w:hyperlink r:id="rId16" w:history="1">
        <w:r w:rsidR="00373C14" w:rsidRPr="001D6AD4">
          <w:rPr>
            <w:rStyle w:val="Hyperlink"/>
            <w:rFonts w:ascii="Times New Roman" w:eastAsia="Times New Roman" w:hAnsi="Times New Roman"/>
            <w:i/>
            <w:color w:val="auto"/>
            <w:u w:val="none"/>
            <w:lang w:val="en-GB"/>
          </w:rPr>
          <w:t>Evaluation of UNDP’s support to poverty reduction in</w:t>
        </w:r>
        <w:r w:rsidR="00F9596D">
          <w:rPr>
            <w:rStyle w:val="Hyperlink"/>
            <w:rFonts w:ascii="Times New Roman" w:eastAsia="Times New Roman" w:hAnsi="Times New Roman"/>
            <w:i/>
            <w:color w:val="auto"/>
            <w:u w:val="none"/>
            <w:lang w:val="en-GB"/>
          </w:rPr>
          <w:t xml:space="preserve"> the</w:t>
        </w:r>
        <w:r w:rsidR="00373C14" w:rsidRPr="001D6AD4">
          <w:rPr>
            <w:rStyle w:val="Hyperlink"/>
            <w:rFonts w:ascii="Times New Roman" w:eastAsia="Times New Roman" w:hAnsi="Times New Roman"/>
            <w:i/>
            <w:color w:val="auto"/>
            <w:u w:val="none"/>
            <w:lang w:val="en-GB"/>
          </w:rPr>
          <w:t xml:space="preserve"> least developed countries </w:t>
        </w:r>
        <w:r w:rsidR="00B9776C" w:rsidRPr="001D6AD4">
          <w:rPr>
            <w:rStyle w:val="Hyperlink"/>
            <w:rFonts w:ascii="Times New Roman" w:eastAsia="Times New Roman" w:hAnsi="Times New Roman"/>
            <w:i/>
            <w:color w:val="auto"/>
            <w:u w:val="none"/>
            <w:lang w:val="en-GB"/>
          </w:rPr>
          <w:t xml:space="preserve">(LDC) </w:t>
        </w:r>
        <w:r w:rsidR="00373C14" w:rsidRPr="001D6AD4">
          <w:rPr>
            <w:rStyle w:val="Hyperlink"/>
            <w:rFonts w:ascii="Times New Roman" w:eastAsia="Times New Roman" w:hAnsi="Times New Roman"/>
            <w:i/>
            <w:color w:val="auto"/>
            <w:u w:val="none"/>
            <w:lang w:val="en-GB"/>
          </w:rPr>
          <w:t>2014-2017</w:t>
        </w:r>
      </w:hyperlink>
      <w:r w:rsidR="00373C14" w:rsidRPr="001D6AD4">
        <w:rPr>
          <w:rFonts w:ascii="Times New Roman" w:eastAsia="Times New Roman" w:hAnsi="Times New Roman"/>
          <w:i/>
          <w:lang w:val="en-GB"/>
        </w:rPr>
        <w:t>.</w:t>
      </w:r>
      <w:r w:rsidR="00263957">
        <w:rPr>
          <w:rFonts w:ascii="Times New Roman" w:eastAsia="Times New Roman" w:hAnsi="Times New Roman"/>
          <w:i/>
          <w:lang w:val="en-GB"/>
        </w:rPr>
        <w:t xml:space="preserve"> </w:t>
      </w:r>
      <w:r w:rsidR="00373C14" w:rsidRPr="00BC0E21">
        <w:rPr>
          <w:rFonts w:ascii="Times New Roman" w:eastAsia="Times New Roman" w:hAnsi="Times New Roman"/>
          <w:bCs/>
          <w:lang w:val="en-GB"/>
        </w:rPr>
        <w:t xml:space="preserve">The reports were well-received and </w:t>
      </w:r>
      <w:r w:rsidR="004F0D1B" w:rsidRPr="00BC0E21">
        <w:rPr>
          <w:rFonts w:ascii="Times New Roman" w:eastAsia="Times New Roman" w:hAnsi="Times New Roman"/>
          <w:bCs/>
          <w:lang w:val="en-GB"/>
        </w:rPr>
        <w:t>provide</w:t>
      </w:r>
      <w:r w:rsidR="007B5CA9" w:rsidRPr="00BC0E21">
        <w:rPr>
          <w:rFonts w:ascii="Times New Roman" w:eastAsia="Times New Roman" w:hAnsi="Times New Roman"/>
          <w:bCs/>
          <w:lang w:val="en-GB"/>
        </w:rPr>
        <w:t>d</w:t>
      </w:r>
      <w:r w:rsidR="004F0D1B" w:rsidRPr="00BC0E21">
        <w:rPr>
          <w:rFonts w:ascii="Times New Roman" w:eastAsia="Times New Roman" w:hAnsi="Times New Roman"/>
          <w:bCs/>
          <w:lang w:val="en-GB"/>
        </w:rPr>
        <w:t xml:space="preserve"> UNDP with important learning opportunit</w:t>
      </w:r>
      <w:r w:rsidR="00A152AB" w:rsidRPr="00BC0E21">
        <w:rPr>
          <w:rFonts w:ascii="Times New Roman" w:eastAsia="Times New Roman" w:hAnsi="Times New Roman"/>
          <w:bCs/>
          <w:lang w:val="en-GB"/>
        </w:rPr>
        <w:t>ies</w:t>
      </w:r>
      <w:r w:rsidR="004F0D1B" w:rsidRPr="00BC0E21">
        <w:rPr>
          <w:rFonts w:ascii="Times New Roman" w:eastAsia="Times New Roman" w:hAnsi="Times New Roman"/>
          <w:bCs/>
          <w:lang w:val="en-GB"/>
        </w:rPr>
        <w:t xml:space="preserve"> </w:t>
      </w:r>
      <w:r w:rsidR="00A152AB" w:rsidRPr="00BC0E21">
        <w:rPr>
          <w:rFonts w:ascii="Times New Roman" w:eastAsia="Times New Roman" w:hAnsi="Times New Roman"/>
          <w:bCs/>
          <w:lang w:val="en-GB"/>
        </w:rPr>
        <w:t xml:space="preserve">to further improve </w:t>
      </w:r>
      <w:r w:rsidR="0031437A">
        <w:rPr>
          <w:rFonts w:ascii="Times New Roman" w:eastAsia="Times New Roman" w:hAnsi="Times New Roman"/>
          <w:bCs/>
          <w:lang w:val="en-GB"/>
        </w:rPr>
        <w:t>its</w:t>
      </w:r>
      <w:r w:rsidR="00A152AB" w:rsidRPr="00BC0E21">
        <w:rPr>
          <w:rFonts w:ascii="Times New Roman" w:eastAsia="Times New Roman" w:hAnsi="Times New Roman"/>
          <w:bCs/>
          <w:lang w:val="en-GB"/>
        </w:rPr>
        <w:t xml:space="preserve"> programmatic and operational approaches, tools and decision-making. </w:t>
      </w:r>
      <w:r w:rsidR="00DF52D1" w:rsidRPr="00BC0E21">
        <w:rPr>
          <w:rFonts w:ascii="Times New Roman" w:eastAsia="Times New Roman" w:hAnsi="Times New Roman"/>
          <w:bCs/>
          <w:lang w:val="en-GB"/>
        </w:rPr>
        <w:t xml:space="preserve">UNDP has taken note of and is building on the areas where we are doing well, </w:t>
      </w:r>
      <w:r w:rsidR="004B0AFE">
        <w:rPr>
          <w:rFonts w:ascii="Times New Roman" w:hAnsi="Times New Roman"/>
        </w:rPr>
        <w:t>and carefully considered</w:t>
      </w:r>
      <w:r w:rsidR="00055592">
        <w:rPr>
          <w:rFonts w:ascii="Times New Roman" w:hAnsi="Times New Roman"/>
        </w:rPr>
        <w:t xml:space="preserve"> and responded to</w:t>
      </w:r>
      <w:r w:rsidR="004B0AFE">
        <w:rPr>
          <w:rFonts w:ascii="Times New Roman" w:hAnsi="Times New Roman"/>
        </w:rPr>
        <w:t xml:space="preserve"> areas where we need to do more. </w:t>
      </w:r>
      <w:r w:rsidR="00C05269">
        <w:rPr>
          <w:rFonts w:ascii="Times New Roman" w:hAnsi="Times New Roman"/>
        </w:rPr>
        <w:t xml:space="preserve">The management responses are available in the </w:t>
      </w:r>
      <w:hyperlink r:id="rId17" w:history="1">
        <w:r w:rsidR="00C05269" w:rsidRPr="00C05269">
          <w:rPr>
            <w:rStyle w:val="Hyperlink"/>
            <w:rFonts w:ascii="Times New Roman" w:hAnsi="Times New Roman"/>
            <w:color w:val="auto"/>
          </w:rPr>
          <w:t>Evaluation Resource Centre</w:t>
        </w:r>
      </w:hyperlink>
      <w:r w:rsidR="00C05269" w:rsidRPr="00C05269">
        <w:rPr>
          <w:rFonts w:ascii="Times New Roman" w:hAnsi="Times New Roman"/>
        </w:rPr>
        <w:t xml:space="preserve"> </w:t>
      </w:r>
      <w:r w:rsidR="00C05269">
        <w:rPr>
          <w:rFonts w:ascii="Times New Roman" w:hAnsi="Times New Roman"/>
        </w:rPr>
        <w:t xml:space="preserve">(ERC). </w:t>
      </w:r>
    </w:p>
    <w:p w14:paraId="0984D0BF" w14:textId="77777777" w:rsidR="00DF52D1" w:rsidRDefault="00DF52D1" w:rsidP="00D7029A">
      <w:pPr>
        <w:pStyle w:val="ListParagraph"/>
        <w:tabs>
          <w:tab w:val="left" w:pos="360"/>
        </w:tabs>
        <w:autoSpaceDE w:val="0"/>
        <w:autoSpaceDN w:val="0"/>
        <w:adjustRightInd w:val="0"/>
        <w:spacing w:after="120" w:line="240" w:lineRule="auto"/>
        <w:ind w:left="0"/>
        <w:jc w:val="both"/>
        <w:rPr>
          <w:rFonts w:ascii="Times New Roman" w:eastAsia="Times New Roman" w:hAnsi="Times New Roman"/>
          <w:bCs/>
          <w:lang w:val="en-GB"/>
        </w:rPr>
      </w:pPr>
    </w:p>
    <w:p w14:paraId="283EFA04" w14:textId="325D1836" w:rsidR="006102A8" w:rsidRPr="00DC2817" w:rsidRDefault="00A152AB" w:rsidP="00D7029A">
      <w:pPr>
        <w:pStyle w:val="ListParagraph"/>
        <w:tabs>
          <w:tab w:val="left" w:pos="360"/>
        </w:tabs>
        <w:autoSpaceDE w:val="0"/>
        <w:autoSpaceDN w:val="0"/>
        <w:adjustRightInd w:val="0"/>
        <w:spacing w:after="120" w:line="240" w:lineRule="auto"/>
        <w:ind w:left="0"/>
        <w:jc w:val="both"/>
        <w:rPr>
          <w:rFonts w:ascii="Times New Roman" w:eastAsia="Times New Roman" w:hAnsi="Times New Roman"/>
          <w:bCs/>
          <w:lang w:val="en-GB"/>
        </w:rPr>
      </w:pPr>
      <w:r w:rsidRPr="00E031EC">
        <w:rPr>
          <w:rFonts w:ascii="Times New Roman" w:hAnsi="Times New Roman"/>
        </w:rPr>
        <w:t xml:space="preserve">Recognizing the high importance of the </w:t>
      </w:r>
      <w:r w:rsidR="00E031EC" w:rsidRPr="00E031EC">
        <w:rPr>
          <w:rFonts w:ascii="Times New Roman" w:hAnsi="Times New Roman"/>
        </w:rPr>
        <w:t xml:space="preserve">poverty in LDCs </w:t>
      </w:r>
      <w:r w:rsidRPr="00E031EC">
        <w:rPr>
          <w:rFonts w:ascii="Times New Roman" w:hAnsi="Times New Roman"/>
        </w:rPr>
        <w:t xml:space="preserve">evaluation and the need for sustained consultation and reflection, UNDP management decided to postpone the submission of a full management response and presented instead an interim management note alongside the evaluation. The intention behind this decision was to develop a strong and comprehensive management response that had benefitted not only from </w:t>
      </w:r>
      <w:r w:rsidR="000A576B">
        <w:rPr>
          <w:rFonts w:ascii="Times New Roman" w:hAnsi="Times New Roman"/>
        </w:rPr>
        <w:t>UNDP’s</w:t>
      </w:r>
      <w:r w:rsidRPr="00E031EC">
        <w:rPr>
          <w:rFonts w:ascii="Times New Roman" w:hAnsi="Times New Roman"/>
        </w:rPr>
        <w:t xml:space="preserve"> internal review but </w:t>
      </w:r>
      <w:r w:rsidR="000A576B">
        <w:rPr>
          <w:rFonts w:ascii="Times New Roman" w:hAnsi="Times New Roman"/>
        </w:rPr>
        <w:t xml:space="preserve">also </w:t>
      </w:r>
      <w:r w:rsidR="000E1C3F">
        <w:rPr>
          <w:rFonts w:ascii="Times New Roman" w:hAnsi="Times New Roman"/>
        </w:rPr>
        <w:t xml:space="preserve">inputs </w:t>
      </w:r>
      <w:r w:rsidRPr="00E031EC">
        <w:rPr>
          <w:rFonts w:ascii="Times New Roman" w:hAnsi="Times New Roman"/>
        </w:rPr>
        <w:t xml:space="preserve">from the IEO and member states. </w:t>
      </w:r>
      <w:r w:rsidR="00E031EC" w:rsidRPr="00E031EC">
        <w:rPr>
          <w:rFonts w:ascii="Times New Roman" w:hAnsi="Times New Roman"/>
        </w:rPr>
        <w:t>The final management response will be presented at the Annual Session 2019.</w:t>
      </w:r>
      <w:r w:rsidR="00E031EC">
        <w:rPr>
          <w:rFonts w:asciiTheme="majorHAnsi" w:hAnsiTheme="majorHAnsi" w:cstheme="majorHAnsi"/>
          <w:sz w:val="28"/>
          <w:szCs w:val="28"/>
        </w:rPr>
        <w:t xml:space="preserve"> </w:t>
      </w:r>
    </w:p>
    <w:p w14:paraId="68714798" w14:textId="77777777" w:rsidR="004B5717" w:rsidRPr="004B5717" w:rsidRDefault="004B5717" w:rsidP="00D7029A">
      <w:pPr>
        <w:pStyle w:val="ListParagraph"/>
        <w:tabs>
          <w:tab w:val="left" w:pos="360"/>
        </w:tabs>
        <w:autoSpaceDE w:val="0"/>
        <w:autoSpaceDN w:val="0"/>
        <w:adjustRightInd w:val="0"/>
        <w:spacing w:after="120" w:line="240" w:lineRule="auto"/>
        <w:ind w:left="0"/>
        <w:jc w:val="both"/>
        <w:rPr>
          <w:rFonts w:ascii="Times New Roman" w:eastAsia="Times New Roman" w:hAnsi="Times New Roman"/>
          <w:b/>
          <w:bCs/>
          <w:lang w:val="en-GB"/>
        </w:rPr>
      </w:pPr>
    </w:p>
    <w:p w14:paraId="12FBB4EE" w14:textId="41ABAEC0" w:rsidR="005622BE" w:rsidRDefault="004B5717"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b/>
          <w:bCs/>
          <w:lang w:val="en-GB"/>
        </w:rPr>
      </w:pPr>
      <w:r w:rsidRPr="004B5717">
        <w:rPr>
          <w:rFonts w:ascii="Times New Roman" w:eastAsia="Times New Roman" w:hAnsi="Times New Roman"/>
          <w:b/>
          <w:bCs/>
          <w:lang w:val="en-GB"/>
        </w:rPr>
        <w:t>Independent Country Programme Evaluations (ICPE)</w:t>
      </w:r>
    </w:p>
    <w:p w14:paraId="725BC39A" w14:textId="77777777"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b/>
          <w:bCs/>
          <w:lang w:val="en-GB"/>
        </w:rPr>
      </w:pPr>
    </w:p>
    <w:p w14:paraId="634ECCD4" w14:textId="456BF291" w:rsidR="008F223C" w:rsidRDefault="00DD20C0"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r>
        <w:rPr>
          <w:rFonts w:ascii="Times New Roman" w:eastAsia="Times New Roman" w:hAnsi="Times New Roman"/>
          <w:spacing w:val="4"/>
          <w:w w:val="103"/>
          <w:kern w:val="14"/>
          <w:lang w:val="en-GB"/>
        </w:rPr>
        <w:t>High-quality ICPEs are key building blocks for UNDP</w:t>
      </w:r>
      <w:r w:rsidR="00B37E9F">
        <w:rPr>
          <w:rFonts w:ascii="Times New Roman" w:eastAsia="Times New Roman" w:hAnsi="Times New Roman"/>
          <w:spacing w:val="4"/>
          <w:w w:val="103"/>
          <w:kern w:val="14"/>
          <w:lang w:val="en-GB"/>
        </w:rPr>
        <w:t>’s</w:t>
      </w:r>
      <w:r>
        <w:rPr>
          <w:rFonts w:ascii="Times New Roman" w:eastAsia="Times New Roman" w:hAnsi="Times New Roman"/>
          <w:spacing w:val="4"/>
          <w:w w:val="103"/>
          <w:kern w:val="14"/>
          <w:lang w:val="en-GB"/>
        </w:rPr>
        <w:t xml:space="preserve"> next generation country programmes. </w:t>
      </w:r>
      <w:r w:rsidR="006F46B5">
        <w:rPr>
          <w:rFonts w:ascii="Times New Roman" w:hAnsi="Times New Roman"/>
        </w:rPr>
        <w:t xml:space="preserve">Out of the fourteen ICPEs conducted in 2018, </w:t>
      </w:r>
      <w:r w:rsidR="001B6819">
        <w:rPr>
          <w:rFonts w:ascii="Times New Roman" w:hAnsi="Times New Roman"/>
        </w:rPr>
        <w:t>four</w:t>
      </w:r>
      <w:r w:rsidR="006102A8">
        <w:rPr>
          <w:rFonts w:ascii="Times New Roman" w:hAnsi="Times New Roman"/>
        </w:rPr>
        <w:t xml:space="preserve"> (Paraguay, Yemen, Angola</w:t>
      </w:r>
      <w:r w:rsidR="001B6819">
        <w:rPr>
          <w:rFonts w:ascii="Times New Roman" w:hAnsi="Times New Roman"/>
        </w:rPr>
        <w:t xml:space="preserve"> and </w:t>
      </w:r>
      <w:r w:rsidR="006102A8">
        <w:rPr>
          <w:rFonts w:ascii="Times New Roman" w:hAnsi="Times New Roman"/>
        </w:rPr>
        <w:t>Madagascar)</w:t>
      </w:r>
      <w:r w:rsidR="001B6819">
        <w:rPr>
          <w:rFonts w:ascii="Times New Roman" w:hAnsi="Times New Roman"/>
        </w:rPr>
        <w:t xml:space="preserve"> </w:t>
      </w:r>
      <w:r w:rsidR="006F46B5">
        <w:rPr>
          <w:rFonts w:ascii="Times New Roman" w:hAnsi="Times New Roman"/>
        </w:rPr>
        <w:t>had been finalized and uploaded to the</w:t>
      </w:r>
      <w:r w:rsidR="001B6819">
        <w:rPr>
          <w:rFonts w:ascii="Times New Roman" w:hAnsi="Times New Roman"/>
        </w:rPr>
        <w:t xml:space="preserve"> </w:t>
      </w:r>
      <w:r w:rsidR="006F46B5">
        <w:rPr>
          <w:rFonts w:ascii="Times New Roman" w:hAnsi="Times New Roman"/>
        </w:rPr>
        <w:t>ERC as of December</w:t>
      </w:r>
      <w:r>
        <w:rPr>
          <w:rFonts w:ascii="Times New Roman" w:hAnsi="Times New Roman"/>
        </w:rPr>
        <w:t xml:space="preserve"> 2018</w:t>
      </w:r>
      <w:r w:rsidR="002344E3">
        <w:rPr>
          <w:rFonts w:ascii="Times New Roman" w:hAnsi="Times New Roman"/>
        </w:rPr>
        <w:t xml:space="preserve">. The other </w:t>
      </w:r>
      <w:r w:rsidR="001B6819">
        <w:rPr>
          <w:rFonts w:ascii="Times New Roman" w:hAnsi="Times New Roman"/>
        </w:rPr>
        <w:t>ten</w:t>
      </w:r>
      <w:r w:rsidR="004B5717">
        <w:rPr>
          <w:rFonts w:ascii="Times New Roman" w:hAnsi="Times New Roman"/>
        </w:rPr>
        <w:t xml:space="preserve"> reports</w:t>
      </w:r>
      <w:r w:rsidR="002344E3">
        <w:rPr>
          <w:rFonts w:ascii="Times New Roman" w:hAnsi="Times New Roman"/>
        </w:rPr>
        <w:t xml:space="preserve"> </w:t>
      </w:r>
      <w:r w:rsidR="003443A6">
        <w:rPr>
          <w:rFonts w:ascii="Times New Roman" w:hAnsi="Times New Roman"/>
        </w:rPr>
        <w:t>are expected to</w:t>
      </w:r>
      <w:r w:rsidR="002344E3">
        <w:rPr>
          <w:rFonts w:ascii="Times New Roman" w:hAnsi="Times New Roman"/>
        </w:rPr>
        <w:t xml:space="preserve"> </w:t>
      </w:r>
      <w:r w:rsidR="006102A8">
        <w:rPr>
          <w:rFonts w:ascii="Times New Roman" w:hAnsi="Times New Roman"/>
        </w:rPr>
        <w:t xml:space="preserve">be finalized </w:t>
      </w:r>
      <w:r w:rsidR="001B6819">
        <w:rPr>
          <w:rFonts w:ascii="Times New Roman" w:hAnsi="Times New Roman"/>
        </w:rPr>
        <w:t xml:space="preserve">and uploaded </w:t>
      </w:r>
      <w:r w:rsidR="006102A8">
        <w:rPr>
          <w:rFonts w:ascii="Times New Roman" w:hAnsi="Times New Roman"/>
        </w:rPr>
        <w:t>early 2019</w:t>
      </w:r>
      <w:r w:rsidR="004B5717">
        <w:rPr>
          <w:rStyle w:val="FootnoteReference"/>
          <w:rFonts w:ascii="Times New Roman" w:hAnsi="Times New Roman"/>
        </w:rPr>
        <w:footnoteReference w:id="2"/>
      </w:r>
      <w:r w:rsidR="006102A8">
        <w:rPr>
          <w:rFonts w:ascii="Times New Roman" w:hAnsi="Times New Roman"/>
        </w:rPr>
        <w:t>.</w:t>
      </w:r>
      <w:r w:rsidR="00092821">
        <w:rPr>
          <w:rFonts w:ascii="Times New Roman" w:hAnsi="Times New Roman"/>
        </w:rPr>
        <w:t xml:space="preserve"> </w:t>
      </w:r>
      <w:r>
        <w:rPr>
          <w:rFonts w:ascii="Times New Roman" w:eastAsia="Times New Roman" w:hAnsi="Times New Roman"/>
          <w:spacing w:val="4"/>
          <w:w w:val="103"/>
          <w:kern w:val="14"/>
          <w:lang w:val="en-GB"/>
        </w:rPr>
        <w:t>E</w:t>
      </w:r>
      <w:r w:rsidR="00F75F2E" w:rsidRPr="00F75F2E">
        <w:rPr>
          <w:rFonts w:ascii="Times New Roman" w:eastAsia="Times New Roman" w:hAnsi="Times New Roman"/>
          <w:spacing w:val="4"/>
          <w:w w:val="103"/>
          <w:kern w:val="14"/>
          <w:lang w:val="en-GB"/>
        </w:rPr>
        <w:t xml:space="preserve">valuations </w:t>
      </w:r>
      <w:r w:rsidR="008B52B1">
        <w:rPr>
          <w:rFonts w:ascii="Times New Roman" w:eastAsia="Times New Roman" w:hAnsi="Times New Roman"/>
          <w:spacing w:val="4"/>
          <w:w w:val="103"/>
          <w:kern w:val="14"/>
          <w:lang w:val="en-GB"/>
        </w:rPr>
        <w:t xml:space="preserve">that </w:t>
      </w:r>
      <w:r w:rsidR="00F75F2E" w:rsidRPr="00F75F2E">
        <w:rPr>
          <w:rFonts w:ascii="Times New Roman" w:eastAsia="Times New Roman" w:hAnsi="Times New Roman"/>
          <w:spacing w:val="4"/>
          <w:w w:val="103"/>
          <w:kern w:val="14"/>
          <w:lang w:val="en-GB"/>
        </w:rPr>
        <w:t>are context specific, timely and forward-</w:t>
      </w:r>
      <w:r w:rsidR="00F75F2E" w:rsidRPr="00506E24">
        <w:rPr>
          <w:rFonts w:ascii="Times New Roman" w:eastAsia="Times New Roman" w:hAnsi="Times New Roman"/>
          <w:spacing w:val="4"/>
          <w:w w:val="103"/>
          <w:kern w:val="14"/>
          <w:lang w:val="en-GB"/>
        </w:rPr>
        <w:t>looking</w:t>
      </w:r>
      <w:r>
        <w:rPr>
          <w:rFonts w:ascii="Times New Roman" w:eastAsia="Times New Roman" w:hAnsi="Times New Roman"/>
          <w:spacing w:val="4"/>
          <w:w w:val="103"/>
          <w:kern w:val="14"/>
          <w:lang w:val="en-GB"/>
        </w:rPr>
        <w:t xml:space="preserve"> </w:t>
      </w:r>
      <w:r w:rsidR="00B37E9F">
        <w:rPr>
          <w:rFonts w:ascii="Times New Roman" w:eastAsia="Times New Roman" w:hAnsi="Times New Roman"/>
          <w:spacing w:val="4"/>
          <w:w w:val="103"/>
          <w:kern w:val="14"/>
          <w:lang w:val="en-GB"/>
        </w:rPr>
        <w:t xml:space="preserve">form a critical building block for </w:t>
      </w:r>
      <w:r w:rsidR="00F75F2E" w:rsidRPr="00506E24">
        <w:rPr>
          <w:rFonts w:ascii="Times New Roman" w:eastAsia="Times New Roman" w:hAnsi="Times New Roman"/>
          <w:spacing w:val="4"/>
          <w:w w:val="103"/>
          <w:kern w:val="14"/>
          <w:lang w:val="en-GB"/>
        </w:rPr>
        <w:t xml:space="preserve">Country Offices for learning, programming and decision-making. </w:t>
      </w:r>
    </w:p>
    <w:p w14:paraId="594575D2" w14:textId="596B9B11"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1028BE16" w14:textId="0610FC7B"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54B2ADC9" w14:textId="65C1CD36"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56EA7E9C" w14:textId="7D081962"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3AC2C853" w14:textId="5D8BFE94"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5EB25938" w14:textId="7B1590EF"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056607A1" w14:textId="363F670F"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39616D70" w14:textId="69B023FF"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2561E453" w14:textId="37811334"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6DCA7D91" w14:textId="0C400F0D"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108E2471" w14:textId="3818B7CD"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27500885" w14:textId="44639003"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3A9897AF" w14:textId="0AFFF130"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17D48566" w14:textId="4F0E4E0E"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72D54B2C" w14:textId="7BB1B9E3"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6C3530AC" w14:textId="4F993663"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43C85034" w14:textId="76B9A55E" w:rsidR="000A5CDE"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71708B72" w14:textId="77777777" w:rsidR="000A5CDE" w:rsidRPr="00A936F2" w:rsidRDefault="000A5CDE" w:rsidP="008F223C">
      <w:pPr>
        <w:pStyle w:val="ListParagraph"/>
        <w:tabs>
          <w:tab w:val="left" w:pos="360"/>
        </w:tabs>
        <w:autoSpaceDE w:val="0"/>
        <w:autoSpaceDN w:val="0"/>
        <w:adjustRightInd w:val="0"/>
        <w:spacing w:after="120" w:line="240" w:lineRule="auto"/>
        <w:ind w:left="0"/>
        <w:jc w:val="both"/>
        <w:rPr>
          <w:rFonts w:ascii="Times New Roman" w:eastAsia="Times New Roman" w:hAnsi="Times New Roman"/>
          <w:spacing w:val="4"/>
          <w:w w:val="103"/>
          <w:kern w:val="14"/>
          <w:lang w:val="en-GB"/>
        </w:rPr>
      </w:pPr>
    </w:p>
    <w:p w14:paraId="394EF5B1" w14:textId="77777777" w:rsidR="00D63404" w:rsidRDefault="00097952" w:rsidP="00120DA6">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b/>
          <w:spacing w:val="4"/>
          <w:w w:val="103"/>
          <w:kern w:val="14"/>
          <w:lang w:val="en-GB"/>
        </w:rPr>
      </w:pPr>
      <w:r>
        <w:rPr>
          <w:rFonts w:ascii="Times New Roman" w:eastAsia="Times New Roman" w:hAnsi="Times New Roman"/>
          <w:b/>
          <w:spacing w:val="4"/>
          <w:w w:val="103"/>
          <w:kern w:val="14"/>
          <w:lang w:val="en-GB"/>
        </w:rPr>
        <w:lastRenderedPageBreak/>
        <w:t xml:space="preserve">Box 1 </w:t>
      </w:r>
      <w:r w:rsidR="002B4F03">
        <w:rPr>
          <w:rFonts w:ascii="Times New Roman" w:eastAsia="Times New Roman" w:hAnsi="Times New Roman"/>
          <w:b/>
          <w:spacing w:val="4"/>
          <w:w w:val="103"/>
          <w:kern w:val="14"/>
          <w:lang w:val="en-GB"/>
        </w:rPr>
        <w:t>S</w:t>
      </w:r>
      <w:r w:rsidR="00AB331F">
        <w:rPr>
          <w:rFonts w:ascii="Times New Roman" w:eastAsia="Times New Roman" w:hAnsi="Times New Roman"/>
          <w:b/>
          <w:spacing w:val="4"/>
          <w:w w:val="103"/>
          <w:kern w:val="14"/>
          <w:lang w:val="en-GB"/>
        </w:rPr>
        <w:t xml:space="preserve">elect </w:t>
      </w:r>
      <w:r w:rsidR="00540136" w:rsidRPr="00540136">
        <w:rPr>
          <w:rFonts w:ascii="Times New Roman" w:eastAsia="Times New Roman" w:hAnsi="Times New Roman"/>
          <w:b/>
          <w:spacing w:val="4"/>
          <w:w w:val="103"/>
          <w:kern w:val="14"/>
          <w:lang w:val="en-GB"/>
        </w:rPr>
        <w:t>key findings</w:t>
      </w:r>
      <w:r w:rsidR="00BE4679">
        <w:rPr>
          <w:rFonts w:ascii="Times New Roman" w:eastAsia="Times New Roman" w:hAnsi="Times New Roman"/>
          <w:b/>
          <w:spacing w:val="4"/>
          <w:w w:val="103"/>
          <w:kern w:val="14"/>
          <w:lang w:val="en-GB"/>
        </w:rPr>
        <w:t xml:space="preserve"> and recommendations</w:t>
      </w:r>
      <w:r w:rsidR="00540136" w:rsidRPr="00540136">
        <w:rPr>
          <w:rFonts w:ascii="Times New Roman" w:eastAsia="Times New Roman" w:hAnsi="Times New Roman"/>
          <w:b/>
          <w:spacing w:val="4"/>
          <w:w w:val="103"/>
          <w:kern w:val="14"/>
          <w:lang w:val="en-GB"/>
        </w:rPr>
        <w:t xml:space="preserve"> from 2018 ICPEs</w:t>
      </w:r>
    </w:p>
    <w:p w14:paraId="3D70B4A0" w14:textId="5931A350" w:rsidR="00945940" w:rsidRPr="00120DA6" w:rsidRDefault="00097952" w:rsidP="00120DA6">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b/>
          <w:spacing w:val="4"/>
          <w:w w:val="103"/>
          <w:kern w:val="14"/>
          <w:lang w:val="en-GB"/>
        </w:rPr>
      </w:pPr>
      <w:r>
        <w:rPr>
          <w:rFonts w:ascii="Times New Roman" w:hAnsi="Times New Roman"/>
        </w:rPr>
        <w:t xml:space="preserve">The completed 2018 ICPEs found that </w:t>
      </w:r>
      <w:r w:rsidR="000E1C3F">
        <w:rPr>
          <w:rFonts w:ascii="Times New Roman" w:hAnsi="Times New Roman"/>
        </w:rPr>
        <w:t xml:space="preserve">UNDP has overall </w:t>
      </w:r>
      <w:r w:rsidR="00C2741D" w:rsidRPr="00786888">
        <w:rPr>
          <w:rFonts w:ascii="Times New Roman" w:hAnsi="Times New Roman"/>
        </w:rPr>
        <w:t>solid relationships with Governments</w:t>
      </w:r>
      <w:r w:rsidR="004341F4" w:rsidRPr="00786888">
        <w:rPr>
          <w:rFonts w:ascii="Times New Roman" w:hAnsi="Times New Roman"/>
        </w:rPr>
        <w:t xml:space="preserve"> and the capacity to respond and adapt to emerging needs, </w:t>
      </w:r>
      <w:r w:rsidR="00F2588F" w:rsidRPr="00786888">
        <w:rPr>
          <w:rFonts w:ascii="Times New Roman" w:hAnsi="Times New Roman"/>
        </w:rPr>
        <w:t xml:space="preserve">successfully </w:t>
      </w:r>
      <w:r w:rsidR="006A764A" w:rsidRPr="00786888">
        <w:rPr>
          <w:rFonts w:ascii="Times New Roman" w:hAnsi="Times New Roman"/>
        </w:rPr>
        <w:t xml:space="preserve">supported countries in implementing the 2030 Agenda for sustainable development and </w:t>
      </w:r>
      <w:r w:rsidR="00F2588F" w:rsidRPr="00786888">
        <w:rPr>
          <w:rFonts w:ascii="Times New Roman" w:hAnsi="Times New Roman"/>
        </w:rPr>
        <w:t>the SDGs</w:t>
      </w:r>
      <w:r w:rsidR="006A764A" w:rsidRPr="00786888">
        <w:rPr>
          <w:rFonts w:ascii="Times New Roman" w:hAnsi="Times New Roman"/>
        </w:rPr>
        <w:t xml:space="preserve">. UNDP has </w:t>
      </w:r>
      <w:r w:rsidR="001A2CAF" w:rsidRPr="00786888">
        <w:rPr>
          <w:rFonts w:ascii="Times New Roman" w:hAnsi="Times New Roman"/>
        </w:rPr>
        <w:t xml:space="preserve">provided effective support to countries in increasing national awareness and </w:t>
      </w:r>
      <w:r w:rsidR="001A2CAF" w:rsidRPr="00786888">
        <w:rPr>
          <w:rFonts w:ascii="Times New Roman" w:hAnsi="Times New Roman"/>
          <w:color w:val="000000"/>
        </w:rPr>
        <w:t xml:space="preserve">institutional capacity </w:t>
      </w:r>
      <w:r w:rsidR="001A2CAF" w:rsidRPr="00786888">
        <w:rPr>
          <w:rFonts w:ascii="Times New Roman" w:hAnsi="Times New Roman"/>
        </w:rPr>
        <w:t>on environmental issues,</w:t>
      </w:r>
      <w:r w:rsidR="001A2CAF">
        <w:rPr>
          <w:rFonts w:ascii="Times New Roman" w:hAnsi="Times New Roman"/>
        </w:rPr>
        <w:t xml:space="preserve"> </w:t>
      </w:r>
      <w:r w:rsidR="001A2CAF" w:rsidRPr="00786888">
        <w:rPr>
          <w:rFonts w:ascii="Times New Roman" w:hAnsi="Times New Roman"/>
        </w:rPr>
        <w:t>environmental funding, and increasing government awareness on disaster risk reduction.</w:t>
      </w:r>
      <w:r w:rsidR="00D63404">
        <w:rPr>
          <w:rFonts w:ascii="Times New Roman" w:hAnsi="Times New Roman"/>
        </w:rPr>
        <w:t xml:space="preserve"> </w:t>
      </w:r>
      <w:r w:rsidR="001A2CAF">
        <w:rPr>
          <w:rFonts w:ascii="Times New Roman" w:hAnsi="Times New Roman"/>
        </w:rPr>
        <w:t xml:space="preserve">Through support to ministries and </w:t>
      </w:r>
      <w:r w:rsidR="001A2CAF" w:rsidRPr="00786888">
        <w:rPr>
          <w:rFonts w:ascii="Times New Roman" w:hAnsi="Times New Roman"/>
        </w:rPr>
        <w:t>women’s network</w:t>
      </w:r>
      <w:r w:rsidR="00D63404">
        <w:rPr>
          <w:rFonts w:ascii="Times New Roman" w:hAnsi="Times New Roman"/>
        </w:rPr>
        <w:t>s</w:t>
      </w:r>
      <w:r w:rsidR="001A2CAF">
        <w:rPr>
          <w:rFonts w:ascii="Times New Roman" w:hAnsi="Times New Roman"/>
        </w:rPr>
        <w:t xml:space="preserve">, UNDP has </w:t>
      </w:r>
      <w:r w:rsidR="006A764A" w:rsidRPr="00786888">
        <w:rPr>
          <w:rFonts w:ascii="Times New Roman" w:hAnsi="Times New Roman"/>
        </w:rPr>
        <w:t xml:space="preserve">made important contributions </w:t>
      </w:r>
      <w:r w:rsidR="00766B2A">
        <w:rPr>
          <w:rFonts w:ascii="Times New Roman" w:hAnsi="Times New Roman"/>
        </w:rPr>
        <w:t>regarding</w:t>
      </w:r>
      <w:r w:rsidR="001A2CAF">
        <w:rPr>
          <w:rFonts w:ascii="Times New Roman" w:hAnsi="Times New Roman"/>
        </w:rPr>
        <w:t xml:space="preserve"> </w:t>
      </w:r>
      <w:r w:rsidR="006A764A" w:rsidRPr="00786888">
        <w:rPr>
          <w:rFonts w:ascii="Times New Roman" w:hAnsi="Times New Roman"/>
        </w:rPr>
        <w:t>implementing gender policies at national and local levels</w:t>
      </w:r>
      <w:r w:rsidR="001A2CAF">
        <w:rPr>
          <w:rFonts w:ascii="Times New Roman" w:hAnsi="Times New Roman"/>
        </w:rPr>
        <w:t>,</w:t>
      </w:r>
      <w:r w:rsidR="006A764A" w:rsidRPr="00786888">
        <w:rPr>
          <w:rFonts w:ascii="Times New Roman" w:hAnsi="Times New Roman"/>
        </w:rPr>
        <w:t xml:space="preserve"> improving capacities to collect, analyze and report on gender data</w:t>
      </w:r>
      <w:r w:rsidR="004341F4" w:rsidRPr="00786888">
        <w:rPr>
          <w:rFonts w:ascii="Times New Roman" w:hAnsi="Times New Roman"/>
        </w:rPr>
        <w:t xml:space="preserve">, </w:t>
      </w:r>
      <w:r w:rsidR="001A2CAF">
        <w:rPr>
          <w:rFonts w:ascii="Times New Roman" w:hAnsi="Times New Roman"/>
        </w:rPr>
        <w:t>and encouraged</w:t>
      </w:r>
      <w:r w:rsidR="004341F4" w:rsidRPr="00786888">
        <w:rPr>
          <w:rFonts w:ascii="Times New Roman" w:hAnsi="Times New Roman"/>
        </w:rPr>
        <w:t xml:space="preserve"> greater participation and influence in democratic processes</w:t>
      </w:r>
      <w:r w:rsidR="006A764A" w:rsidRPr="00786888">
        <w:rPr>
          <w:rFonts w:ascii="Times New Roman" w:hAnsi="Times New Roman"/>
        </w:rPr>
        <w:t xml:space="preserve">. </w:t>
      </w:r>
    </w:p>
    <w:p w14:paraId="4A0CDF9D" w14:textId="77777777" w:rsidR="00B54CCB" w:rsidRPr="00B54CCB" w:rsidRDefault="006A764A" w:rsidP="00B54C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000000"/>
        </w:rPr>
      </w:pPr>
      <w:r w:rsidRPr="00786888">
        <w:rPr>
          <w:rFonts w:ascii="Times New Roman" w:hAnsi="Times New Roman"/>
        </w:rPr>
        <w:t xml:space="preserve">In </w:t>
      </w:r>
      <w:r w:rsidRPr="00860C0A">
        <w:rPr>
          <w:rFonts w:ascii="Times New Roman" w:hAnsi="Times New Roman"/>
          <w:b/>
        </w:rPr>
        <w:t>Angola</w:t>
      </w:r>
      <w:r w:rsidRPr="00786888">
        <w:rPr>
          <w:rFonts w:ascii="Times New Roman" w:hAnsi="Times New Roman"/>
        </w:rPr>
        <w:t xml:space="preserve">, </w:t>
      </w:r>
      <w:r w:rsidR="00945940">
        <w:rPr>
          <w:rFonts w:ascii="Times New Roman" w:hAnsi="Times New Roman"/>
        </w:rPr>
        <w:t xml:space="preserve">UNDP </w:t>
      </w:r>
      <w:r w:rsidR="00945940" w:rsidRPr="00786888">
        <w:rPr>
          <w:rFonts w:ascii="Times New Roman" w:hAnsi="Times New Roman"/>
        </w:rPr>
        <w:t>strategically positioned itself by advising on the country’s graduation process from LDC status</w:t>
      </w:r>
      <w:r w:rsidR="00BB0084">
        <w:rPr>
          <w:rFonts w:ascii="Times New Roman" w:hAnsi="Times New Roman"/>
        </w:rPr>
        <w:t>.</w:t>
      </w:r>
      <w:r w:rsidR="00945940">
        <w:rPr>
          <w:rFonts w:ascii="Times New Roman" w:hAnsi="Times New Roman"/>
        </w:rPr>
        <w:t xml:space="preserve"> </w:t>
      </w:r>
      <w:r w:rsidR="00BB0084">
        <w:rPr>
          <w:rFonts w:ascii="Times New Roman" w:hAnsi="Times New Roman"/>
        </w:rPr>
        <w:t>I</w:t>
      </w:r>
      <w:r w:rsidR="00C2741D" w:rsidRPr="00786888">
        <w:rPr>
          <w:rFonts w:ascii="Times New Roman" w:hAnsi="Times New Roman"/>
        </w:rPr>
        <w:t xml:space="preserve">n </w:t>
      </w:r>
      <w:r w:rsidR="00C2741D" w:rsidRPr="00860C0A">
        <w:rPr>
          <w:rFonts w:ascii="Times New Roman" w:hAnsi="Times New Roman"/>
          <w:b/>
        </w:rPr>
        <w:t>Paraguay</w:t>
      </w:r>
      <w:r w:rsidR="00BB0084">
        <w:rPr>
          <w:rFonts w:ascii="Times New Roman" w:hAnsi="Times New Roman"/>
        </w:rPr>
        <w:t xml:space="preserve"> </w:t>
      </w:r>
      <w:r w:rsidR="00BE54D6" w:rsidRPr="00786888">
        <w:rPr>
          <w:rFonts w:ascii="Times New Roman" w:hAnsi="Times New Roman"/>
        </w:rPr>
        <w:t xml:space="preserve">UNDP </w:t>
      </w:r>
      <w:r w:rsidR="00945940">
        <w:rPr>
          <w:rFonts w:ascii="Times New Roman" w:hAnsi="Times New Roman"/>
        </w:rPr>
        <w:t>is viewed as</w:t>
      </w:r>
      <w:r w:rsidR="00BE54D6" w:rsidRPr="00786888">
        <w:rPr>
          <w:rFonts w:ascii="Times New Roman" w:hAnsi="Times New Roman"/>
        </w:rPr>
        <w:t xml:space="preserve"> a reliable</w:t>
      </w:r>
      <w:r w:rsidR="00C2741D" w:rsidRPr="00786888">
        <w:rPr>
          <w:rFonts w:ascii="Times New Roman" w:hAnsi="Times New Roman"/>
        </w:rPr>
        <w:t xml:space="preserve"> </w:t>
      </w:r>
      <w:r w:rsidR="00BE54D6" w:rsidRPr="00786888">
        <w:rPr>
          <w:rFonts w:ascii="Times New Roman" w:hAnsi="Times New Roman"/>
        </w:rPr>
        <w:t>partner for the provision of management support services to the Government</w:t>
      </w:r>
      <w:r w:rsidR="00BB0084">
        <w:rPr>
          <w:rFonts w:ascii="Times New Roman" w:hAnsi="Times New Roman"/>
        </w:rPr>
        <w:t>,</w:t>
      </w:r>
      <w:r w:rsidR="00104B7C">
        <w:rPr>
          <w:rFonts w:ascii="Times New Roman" w:hAnsi="Times New Roman"/>
        </w:rPr>
        <w:t xml:space="preserve"> </w:t>
      </w:r>
      <w:r w:rsidR="00BB0084">
        <w:rPr>
          <w:rFonts w:ascii="Times New Roman" w:hAnsi="Times New Roman"/>
        </w:rPr>
        <w:t>and</w:t>
      </w:r>
      <w:r w:rsidR="00104B7C">
        <w:rPr>
          <w:rFonts w:ascii="Times New Roman" w:hAnsi="Times New Roman"/>
        </w:rPr>
        <w:t xml:space="preserve"> </w:t>
      </w:r>
      <w:r w:rsidR="00BE54D6" w:rsidRPr="00786888">
        <w:rPr>
          <w:rFonts w:ascii="Times New Roman" w:hAnsi="Times New Roman"/>
        </w:rPr>
        <w:t>an impartial and trusted</w:t>
      </w:r>
      <w:r w:rsidR="00C2741D" w:rsidRPr="00786888">
        <w:rPr>
          <w:rFonts w:ascii="Times New Roman" w:hAnsi="Times New Roman"/>
        </w:rPr>
        <w:t xml:space="preserve"> </w:t>
      </w:r>
      <w:r w:rsidR="00BE54D6" w:rsidRPr="00786888">
        <w:rPr>
          <w:rFonts w:ascii="Times New Roman" w:hAnsi="Times New Roman"/>
        </w:rPr>
        <w:t>convener and broker for the private sector and civil society organizations.</w:t>
      </w:r>
      <w:r w:rsidR="003E7DBA" w:rsidRPr="00786888">
        <w:rPr>
          <w:rFonts w:ascii="Times New Roman" w:hAnsi="Times New Roman"/>
        </w:rPr>
        <w:t xml:space="preserve"> </w:t>
      </w:r>
      <w:r w:rsidR="003E7DBA" w:rsidRPr="00786888">
        <w:rPr>
          <w:rFonts w:ascii="Times New Roman" w:hAnsi="Times New Roman"/>
          <w:color w:val="000000"/>
        </w:rPr>
        <w:t xml:space="preserve">Through the preparation of the </w:t>
      </w:r>
      <w:r w:rsidR="003E7DBA" w:rsidRPr="00860C0A">
        <w:rPr>
          <w:rFonts w:ascii="Times New Roman" w:hAnsi="Times New Roman"/>
          <w:b/>
          <w:color w:val="000000"/>
        </w:rPr>
        <w:t>Yemen</w:t>
      </w:r>
      <w:r w:rsidR="003E7DBA" w:rsidRPr="00786888">
        <w:rPr>
          <w:rFonts w:ascii="Times New Roman" w:hAnsi="Times New Roman"/>
          <w:color w:val="000000"/>
        </w:rPr>
        <w:t xml:space="preserve"> Resilience Programme, UNDP has provided the</w:t>
      </w:r>
      <w:r w:rsidR="000F1022" w:rsidRPr="00786888">
        <w:rPr>
          <w:rFonts w:ascii="Times New Roman" w:hAnsi="Times New Roman"/>
          <w:color w:val="000000"/>
        </w:rPr>
        <w:t xml:space="preserve"> </w:t>
      </w:r>
      <w:r w:rsidR="003E7DBA" w:rsidRPr="00786888">
        <w:rPr>
          <w:rFonts w:ascii="Times New Roman" w:hAnsi="Times New Roman"/>
          <w:color w:val="000000"/>
        </w:rPr>
        <w:t>framework and entry point for comprehensive</w:t>
      </w:r>
      <w:r w:rsidR="000F1022" w:rsidRPr="00786888">
        <w:rPr>
          <w:rFonts w:ascii="Times New Roman" w:hAnsi="Times New Roman"/>
          <w:color w:val="000000"/>
        </w:rPr>
        <w:t xml:space="preserve"> </w:t>
      </w:r>
      <w:r w:rsidR="003E7DBA" w:rsidRPr="00786888">
        <w:rPr>
          <w:rFonts w:ascii="Times New Roman" w:hAnsi="Times New Roman"/>
          <w:color w:val="000000"/>
        </w:rPr>
        <w:t xml:space="preserve">programming </w:t>
      </w:r>
      <w:r w:rsidR="00945940">
        <w:rPr>
          <w:rFonts w:ascii="Times New Roman" w:hAnsi="Times New Roman"/>
          <w:color w:val="000000"/>
        </w:rPr>
        <w:t>on</w:t>
      </w:r>
      <w:r w:rsidR="003E7DBA" w:rsidRPr="00786888">
        <w:rPr>
          <w:rFonts w:ascii="Times New Roman" w:hAnsi="Times New Roman"/>
          <w:color w:val="000000"/>
        </w:rPr>
        <w:t xml:space="preserve"> the humanitarian-development</w:t>
      </w:r>
      <w:r w:rsidR="000F1022" w:rsidRPr="00786888">
        <w:rPr>
          <w:rFonts w:ascii="Times New Roman" w:hAnsi="Times New Roman"/>
          <w:color w:val="000000"/>
        </w:rPr>
        <w:t xml:space="preserve"> </w:t>
      </w:r>
      <w:r w:rsidR="003E7DBA" w:rsidRPr="00786888">
        <w:rPr>
          <w:rFonts w:ascii="Times New Roman" w:hAnsi="Times New Roman"/>
          <w:color w:val="000000"/>
        </w:rPr>
        <w:t>nexus</w:t>
      </w:r>
      <w:r w:rsidR="00945940">
        <w:rPr>
          <w:rFonts w:ascii="Times New Roman" w:hAnsi="Times New Roman"/>
          <w:color w:val="000000"/>
        </w:rPr>
        <w:t xml:space="preserve">. By </w:t>
      </w:r>
      <w:r w:rsidR="00945940" w:rsidRPr="00786888">
        <w:rPr>
          <w:rFonts w:ascii="Times New Roman" w:hAnsi="Times New Roman"/>
          <w:color w:val="000000"/>
        </w:rPr>
        <w:t>successfully linking humanitarian and development activities under a unified and coherent resilience programme</w:t>
      </w:r>
      <w:r w:rsidR="00945940">
        <w:rPr>
          <w:rFonts w:ascii="Times New Roman" w:hAnsi="Times New Roman"/>
          <w:color w:val="000000"/>
        </w:rPr>
        <w:t>, UNDP has evolved as an important actor.</w:t>
      </w:r>
      <w:r w:rsidR="00FC44C6">
        <w:rPr>
          <w:rFonts w:ascii="Times New Roman" w:hAnsi="Times New Roman"/>
          <w:color w:val="000000"/>
        </w:rPr>
        <w:t xml:space="preserve"> In </w:t>
      </w:r>
      <w:r w:rsidR="00FC44C6" w:rsidRPr="00FC44C6">
        <w:rPr>
          <w:rFonts w:ascii="Times New Roman" w:hAnsi="Times New Roman"/>
          <w:b/>
          <w:color w:val="000000"/>
        </w:rPr>
        <w:t>Madagascar</w:t>
      </w:r>
      <w:r w:rsidR="00FC44C6">
        <w:rPr>
          <w:rFonts w:ascii="Times New Roman" w:hAnsi="Times New Roman"/>
          <w:color w:val="000000"/>
        </w:rPr>
        <w:t>, UNDP has achieved encouraging results, particularly with regard to the electoral process, anti-corruption, access to justice and job creation.</w:t>
      </w:r>
      <w:r w:rsidR="00B54CCB">
        <w:rPr>
          <w:rFonts w:ascii="Times New Roman" w:hAnsi="Times New Roman"/>
          <w:color w:val="000000"/>
        </w:rPr>
        <w:t xml:space="preserve"> </w:t>
      </w:r>
      <w:r w:rsidR="00B54CCB" w:rsidRPr="00B54CCB">
        <w:rPr>
          <w:rFonts w:ascii="Times New Roman" w:hAnsi="Times New Roman"/>
          <w:color w:val="000000"/>
        </w:rPr>
        <w:t xml:space="preserve">In addition, the ICPE for </w:t>
      </w:r>
      <w:r w:rsidR="00B54CCB" w:rsidRPr="00B54CCB">
        <w:rPr>
          <w:rFonts w:ascii="Times New Roman" w:hAnsi="Times New Roman"/>
          <w:b/>
          <w:color w:val="000000"/>
        </w:rPr>
        <w:t>Bhutan</w:t>
      </w:r>
      <w:r w:rsidR="00B54CCB" w:rsidRPr="00B54CCB">
        <w:rPr>
          <w:rFonts w:ascii="Times New Roman" w:hAnsi="Times New Roman"/>
          <w:color w:val="000000"/>
        </w:rPr>
        <w:t xml:space="preserve">, completed in December 2017, </w:t>
      </w:r>
      <w:r w:rsidR="00B54CCB" w:rsidRPr="00B54CCB">
        <w:rPr>
          <w:rFonts w:ascii="Times New Roman" w:hAnsi="Times New Roman"/>
        </w:rPr>
        <w:t xml:space="preserve">concluded that </w:t>
      </w:r>
      <w:r w:rsidR="00B54CCB" w:rsidRPr="00B54CCB">
        <w:rPr>
          <w:rFonts w:ascii="Times New Roman" w:hAnsi="Times New Roman"/>
          <w:iCs/>
        </w:rPr>
        <w:t>UNDP has significantly contributed to the consolidation of Bhutan’s parliamentary democracy, and helped governance institutions and communities exercise the principles of democratic governance at national and local levels, with a focus on inclusiveness, transparency, accountability and evidence-based decision-making.</w:t>
      </w:r>
    </w:p>
    <w:p w14:paraId="68927B70" w14:textId="70B48889" w:rsidR="003E7DBA" w:rsidRPr="00786888" w:rsidRDefault="003E7DBA" w:rsidP="00314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p>
    <w:p w14:paraId="1CCB0D9B" w14:textId="280B9C02" w:rsidR="00540136" w:rsidRPr="00786888" w:rsidRDefault="006065B3" w:rsidP="00314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spacing w:val="4"/>
          <w:w w:val="103"/>
          <w:kern w:val="14"/>
          <w:lang w:val="en-GB"/>
        </w:rPr>
      </w:pPr>
      <w:r>
        <w:rPr>
          <w:rFonts w:ascii="Times New Roman" w:hAnsi="Times New Roman"/>
        </w:rPr>
        <w:t xml:space="preserve">UNDP </w:t>
      </w:r>
      <w:r w:rsidR="00B54CCB">
        <w:rPr>
          <w:rFonts w:ascii="Times New Roman" w:hAnsi="Times New Roman"/>
        </w:rPr>
        <w:t>notes recommendations to help</w:t>
      </w:r>
      <w:r w:rsidR="0028012E" w:rsidRPr="00786888">
        <w:rPr>
          <w:rFonts w:ascii="Times New Roman" w:hAnsi="Times New Roman"/>
        </w:rPr>
        <w:t xml:space="preserve"> </w:t>
      </w:r>
      <w:r>
        <w:rPr>
          <w:rFonts w:ascii="Times New Roman" w:hAnsi="Times New Roman"/>
        </w:rPr>
        <w:t>strengthen</w:t>
      </w:r>
      <w:r w:rsidR="00B54CCB">
        <w:rPr>
          <w:rFonts w:ascii="Times New Roman" w:hAnsi="Times New Roman"/>
        </w:rPr>
        <w:t xml:space="preserve"> programme effectiveness </w:t>
      </w:r>
      <w:r w:rsidR="001C3764">
        <w:rPr>
          <w:rFonts w:ascii="Times New Roman" w:hAnsi="Times New Roman"/>
        </w:rPr>
        <w:t xml:space="preserve">including </w:t>
      </w:r>
      <w:r w:rsidR="00B54CCB">
        <w:rPr>
          <w:rFonts w:ascii="Times New Roman" w:hAnsi="Times New Roman"/>
        </w:rPr>
        <w:t>on</w:t>
      </w:r>
      <w:r>
        <w:rPr>
          <w:rFonts w:ascii="Times New Roman" w:hAnsi="Times New Roman"/>
        </w:rPr>
        <w:t xml:space="preserve"> </w:t>
      </w:r>
      <w:r w:rsidR="0028012E" w:rsidRPr="00786888">
        <w:rPr>
          <w:rFonts w:ascii="Times New Roman" w:hAnsi="Times New Roman"/>
        </w:rPr>
        <w:t xml:space="preserve">visibility and </w:t>
      </w:r>
      <w:r w:rsidR="00B54CCB">
        <w:rPr>
          <w:rFonts w:ascii="Times New Roman" w:hAnsi="Times New Roman"/>
        </w:rPr>
        <w:t xml:space="preserve">to </w:t>
      </w:r>
      <w:r w:rsidR="0028012E" w:rsidRPr="00786888">
        <w:rPr>
          <w:rFonts w:ascii="Times New Roman" w:hAnsi="Times New Roman"/>
        </w:rPr>
        <w:t>better leverage its comparative advantage as a broker and integrator of efforts to support countries</w:t>
      </w:r>
      <w:r w:rsidR="00B54CCB">
        <w:rPr>
          <w:rFonts w:ascii="Times New Roman" w:hAnsi="Times New Roman"/>
        </w:rPr>
        <w:t xml:space="preserve"> to</w:t>
      </w:r>
      <w:r w:rsidR="0028012E" w:rsidRPr="00786888">
        <w:rPr>
          <w:rFonts w:ascii="Times New Roman" w:hAnsi="Times New Roman"/>
        </w:rPr>
        <w:t xml:space="preserve"> implement the 2030 Agenda</w:t>
      </w:r>
      <w:r w:rsidR="00B54CCB">
        <w:rPr>
          <w:rFonts w:ascii="Times New Roman" w:hAnsi="Times New Roman"/>
        </w:rPr>
        <w:t>.</w:t>
      </w:r>
      <w:r>
        <w:rPr>
          <w:rFonts w:ascii="Times New Roman" w:hAnsi="Times New Roman"/>
        </w:rPr>
        <w:t xml:space="preserve"> </w:t>
      </w:r>
      <w:r w:rsidR="00B54CCB">
        <w:rPr>
          <w:rFonts w:ascii="Times New Roman" w:hAnsi="Times New Roman"/>
        </w:rPr>
        <w:t>M</w:t>
      </w:r>
      <w:r w:rsidR="00113061">
        <w:rPr>
          <w:rFonts w:ascii="Times New Roman" w:hAnsi="Times New Roman"/>
        </w:rPr>
        <w:t xml:space="preserve">ore </w:t>
      </w:r>
      <w:r w:rsidR="0028012E" w:rsidRPr="00786888">
        <w:rPr>
          <w:rFonts w:ascii="Times New Roman" w:hAnsi="Times New Roman"/>
        </w:rPr>
        <w:t>strategically</w:t>
      </w:r>
      <w:r w:rsidR="00B54CCB">
        <w:rPr>
          <w:rFonts w:ascii="Times New Roman" w:hAnsi="Times New Roman"/>
        </w:rPr>
        <w:t>-</w:t>
      </w:r>
      <w:r w:rsidR="0028012E" w:rsidRPr="00786888">
        <w:rPr>
          <w:rFonts w:ascii="Times New Roman" w:hAnsi="Times New Roman"/>
        </w:rPr>
        <w:t>focus</w:t>
      </w:r>
      <w:r w:rsidR="00B54CCB">
        <w:rPr>
          <w:rFonts w:ascii="Times New Roman" w:hAnsi="Times New Roman"/>
        </w:rPr>
        <w:t>ed</w:t>
      </w:r>
      <w:r w:rsidR="0028012E" w:rsidRPr="00786888">
        <w:rPr>
          <w:rFonts w:ascii="Times New Roman" w:hAnsi="Times New Roman"/>
        </w:rPr>
        <w:t xml:space="preserve"> </w:t>
      </w:r>
      <w:r w:rsidR="001778A2" w:rsidRPr="00786888">
        <w:rPr>
          <w:rFonts w:ascii="Times New Roman" w:hAnsi="Times New Roman"/>
        </w:rPr>
        <w:t>interventions</w:t>
      </w:r>
      <w:r w:rsidR="001778A2">
        <w:rPr>
          <w:rFonts w:ascii="Times New Roman" w:hAnsi="Times New Roman"/>
        </w:rPr>
        <w:t>, realistic</w:t>
      </w:r>
      <w:r w:rsidR="0028012E" w:rsidRPr="00786888">
        <w:rPr>
          <w:rFonts w:ascii="Times New Roman" w:hAnsi="Times New Roman"/>
        </w:rPr>
        <w:t xml:space="preserve"> long-term visions and </w:t>
      </w:r>
      <w:r w:rsidR="00113061">
        <w:rPr>
          <w:rFonts w:ascii="Times New Roman" w:hAnsi="Times New Roman"/>
        </w:rPr>
        <w:t xml:space="preserve">clear </w:t>
      </w:r>
      <w:r w:rsidR="0028012E" w:rsidRPr="00786888">
        <w:rPr>
          <w:rFonts w:ascii="Times New Roman" w:hAnsi="Times New Roman"/>
        </w:rPr>
        <w:t>theories of change</w:t>
      </w:r>
      <w:r w:rsidR="00B54CCB">
        <w:rPr>
          <w:rFonts w:ascii="Times New Roman" w:hAnsi="Times New Roman"/>
        </w:rPr>
        <w:t xml:space="preserve"> are needed</w:t>
      </w:r>
      <w:r w:rsidR="0028012E" w:rsidRPr="00786888">
        <w:rPr>
          <w:rFonts w:ascii="Times New Roman" w:hAnsi="Times New Roman"/>
        </w:rPr>
        <w:t xml:space="preserve"> to ensure integration among thematic areas</w:t>
      </w:r>
      <w:r w:rsidR="00120DA6">
        <w:rPr>
          <w:rFonts w:ascii="Times New Roman" w:hAnsi="Times New Roman"/>
        </w:rPr>
        <w:t xml:space="preserve"> and</w:t>
      </w:r>
      <w:r w:rsidR="0028012E" w:rsidRPr="00786888">
        <w:rPr>
          <w:rFonts w:ascii="Times New Roman" w:hAnsi="Times New Roman"/>
        </w:rPr>
        <w:t xml:space="preserve"> build synergies</w:t>
      </w:r>
      <w:r w:rsidR="00120DA6">
        <w:rPr>
          <w:rFonts w:ascii="Times New Roman" w:hAnsi="Times New Roman"/>
        </w:rPr>
        <w:t xml:space="preserve"> </w:t>
      </w:r>
      <w:r w:rsidR="00113061">
        <w:rPr>
          <w:rFonts w:ascii="Times New Roman" w:hAnsi="Times New Roman"/>
        </w:rPr>
        <w:t xml:space="preserve">to </w:t>
      </w:r>
      <w:r w:rsidR="0028012E" w:rsidRPr="00786888">
        <w:rPr>
          <w:rFonts w:ascii="Times New Roman" w:hAnsi="Times New Roman"/>
        </w:rPr>
        <w:t>ensure more significant</w:t>
      </w:r>
      <w:r w:rsidR="00120DA6">
        <w:rPr>
          <w:rFonts w:ascii="Times New Roman" w:hAnsi="Times New Roman"/>
        </w:rPr>
        <w:t>, transformative</w:t>
      </w:r>
      <w:r w:rsidR="0028012E" w:rsidRPr="00786888">
        <w:rPr>
          <w:rFonts w:ascii="Times New Roman" w:hAnsi="Times New Roman"/>
        </w:rPr>
        <w:t xml:space="preserve"> and sustainable results. UNDP </w:t>
      </w:r>
      <w:r w:rsidR="00104B7C">
        <w:rPr>
          <w:rFonts w:ascii="Times New Roman" w:hAnsi="Times New Roman"/>
        </w:rPr>
        <w:t xml:space="preserve">also </w:t>
      </w:r>
      <w:r w:rsidR="0028012E" w:rsidRPr="00786888">
        <w:rPr>
          <w:rFonts w:ascii="Times New Roman" w:hAnsi="Times New Roman"/>
        </w:rPr>
        <w:t xml:space="preserve">needs to </w:t>
      </w:r>
      <w:r w:rsidR="006E1743" w:rsidRPr="00786888">
        <w:rPr>
          <w:rFonts w:ascii="Times New Roman" w:hAnsi="Times New Roman"/>
        </w:rPr>
        <w:t>more systematically address the needs of gender, youth and other marginalized groups in</w:t>
      </w:r>
      <w:r w:rsidR="00C7119E" w:rsidRPr="00786888">
        <w:rPr>
          <w:rFonts w:ascii="Times New Roman" w:hAnsi="Times New Roman"/>
        </w:rPr>
        <w:t xml:space="preserve"> </w:t>
      </w:r>
      <w:r w:rsidR="006E1743" w:rsidRPr="00786888">
        <w:rPr>
          <w:rFonts w:ascii="Times New Roman" w:hAnsi="Times New Roman"/>
        </w:rPr>
        <w:t xml:space="preserve">programmes, </w:t>
      </w:r>
      <w:r w:rsidR="00827437" w:rsidRPr="00786888">
        <w:rPr>
          <w:rFonts w:ascii="Times New Roman" w:hAnsi="Times New Roman"/>
        </w:rPr>
        <w:t xml:space="preserve">develop </w:t>
      </w:r>
      <w:r w:rsidR="00113061">
        <w:rPr>
          <w:rFonts w:ascii="Times New Roman" w:hAnsi="Times New Roman"/>
        </w:rPr>
        <w:t xml:space="preserve">and build on </w:t>
      </w:r>
      <w:r w:rsidR="00827437" w:rsidRPr="00786888">
        <w:rPr>
          <w:rFonts w:ascii="Times New Roman" w:hAnsi="Times New Roman"/>
        </w:rPr>
        <w:t>strategic partnerships</w:t>
      </w:r>
      <w:r w:rsidR="00113061">
        <w:rPr>
          <w:rFonts w:ascii="Times New Roman" w:hAnsi="Times New Roman"/>
        </w:rPr>
        <w:t>,</w:t>
      </w:r>
      <w:r w:rsidR="00827437" w:rsidRPr="00786888">
        <w:rPr>
          <w:rFonts w:ascii="Times New Roman" w:hAnsi="Times New Roman"/>
        </w:rPr>
        <w:t xml:space="preserve"> and progress on mobilizing funds from the private sector</w:t>
      </w:r>
      <w:r w:rsidR="0028012E" w:rsidRPr="00786888">
        <w:rPr>
          <w:rFonts w:ascii="Times New Roman" w:hAnsi="Times New Roman"/>
        </w:rPr>
        <w:t>, international financial institutions and government</w:t>
      </w:r>
      <w:r w:rsidR="00B54CCB">
        <w:rPr>
          <w:rFonts w:ascii="Times New Roman" w:hAnsi="Times New Roman"/>
        </w:rPr>
        <w:t>s</w:t>
      </w:r>
      <w:r w:rsidR="0028012E" w:rsidRPr="00786888">
        <w:rPr>
          <w:rFonts w:ascii="Times New Roman" w:hAnsi="Times New Roman"/>
        </w:rPr>
        <w:t>.</w:t>
      </w:r>
      <w:r w:rsidR="00827437" w:rsidRPr="00786888">
        <w:rPr>
          <w:rFonts w:ascii="Times New Roman" w:hAnsi="Times New Roman"/>
        </w:rPr>
        <w:t xml:space="preserve"> </w:t>
      </w:r>
    </w:p>
    <w:p w14:paraId="50ED71F8" w14:textId="77777777" w:rsidR="003B26F8" w:rsidRDefault="003B26F8" w:rsidP="00314C45">
      <w:pPr>
        <w:spacing w:after="0" w:line="240" w:lineRule="auto"/>
        <w:jc w:val="both"/>
        <w:rPr>
          <w:rFonts w:ascii="Times New Roman" w:eastAsia="Times New Roman" w:hAnsi="Times New Roman"/>
          <w:spacing w:val="4"/>
          <w:w w:val="103"/>
          <w:kern w:val="14"/>
          <w:lang w:val="en-GB"/>
        </w:rPr>
      </w:pPr>
      <w:bookmarkStart w:id="1" w:name="_Hlk4148796"/>
    </w:p>
    <w:p w14:paraId="5F9D78E0" w14:textId="665BC0EF" w:rsidR="00ED7EF8" w:rsidRDefault="00D63404" w:rsidP="00314C45">
      <w:pPr>
        <w:spacing w:after="0" w:line="240" w:lineRule="auto"/>
        <w:jc w:val="both"/>
        <w:rPr>
          <w:rFonts w:ascii="Times New Roman" w:hAnsi="Times New Roman"/>
        </w:rPr>
      </w:pPr>
      <w:r>
        <w:rPr>
          <w:rFonts w:ascii="Times New Roman" w:eastAsia="Times New Roman,Batang" w:hAnsi="Times New Roman"/>
          <w:lang w:eastAsia="ko-KR"/>
        </w:rPr>
        <w:t xml:space="preserve">UNDP welcomed the </w:t>
      </w:r>
      <w:r w:rsidR="00EB700C" w:rsidRPr="007727F2">
        <w:rPr>
          <w:rFonts w:ascii="Times New Roman" w:eastAsia="Times New Roman,Batang" w:hAnsi="Times New Roman"/>
          <w:b/>
          <w:lang w:eastAsia="ko-KR"/>
        </w:rPr>
        <w:t>Independent country programme evaluation synthesis</w:t>
      </w:r>
      <w:r>
        <w:rPr>
          <w:rFonts w:ascii="Times New Roman" w:eastAsia="Times New Roman,Batang" w:hAnsi="Times New Roman"/>
          <w:lang w:eastAsia="ko-KR"/>
        </w:rPr>
        <w:t xml:space="preserve"> prepared by the IEO, </w:t>
      </w:r>
      <w:r w:rsidR="00DC5FBB">
        <w:rPr>
          <w:rFonts w:ascii="Times New Roman" w:eastAsia="Times New Roman,Batang" w:hAnsi="Times New Roman"/>
          <w:lang w:eastAsia="ko-KR"/>
        </w:rPr>
        <w:t xml:space="preserve">which </w:t>
      </w:r>
      <w:r w:rsidR="00EB700C" w:rsidRPr="00AC7478">
        <w:rPr>
          <w:rFonts w:ascii="Times New Roman" w:eastAsia="Times New Roman,Batang" w:hAnsi="Times New Roman"/>
          <w:lang w:eastAsia="ko-KR"/>
        </w:rPr>
        <w:t xml:space="preserve">reflect on findings, conclusions and lessons learned from 105 assessments of development results (ADRs) conducted in 93 countries between 2002 and 2016. </w:t>
      </w:r>
      <w:r w:rsidR="00443E9F">
        <w:rPr>
          <w:rFonts w:ascii="Times New Roman" w:eastAsia="Times New Roman,Batang" w:hAnsi="Times New Roman"/>
          <w:lang w:eastAsia="ko-KR"/>
        </w:rPr>
        <w:t>Con</w:t>
      </w:r>
      <w:r w:rsidR="00443E9F" w:rsidRPr="00AC7478">
        <w:rPr>
          <w:rFonts w:ascii="Times New Roman" w:eastAsia="Times New Roman,Batang" w:hAnsi="Times New Roman"/>
          <w:lang w:eastAsia="ko-KR"/>
        </w:rPr>
        <w:t>sidering</w:t>
      </w:r>
      <w:r w:rsidR="00443E9F">
        <w:rPr>
          <w:rFonts w:ascii="Times New Roman" w:eastAsia="Times New Roman,Batang" w:hAnsi="Times New Roman"/>
          <w:lang w:eastAsia="ko-KR"/>
        </w:rPr>
        <w:t xml:space="preserve"> the long </w:t>
      </w:r>
      <w:r w:rsidR="00DF04AA" w:rsidRPr="00AC7478">
        <w:rPr>
          <w:rFonts w:ascii="Times New Roman" w:eastAsia="Times New Roman,Batang" w:hAnsi="Times New Roman"/>
          <w:lang w:eastAsia="ko-KR"/>
        </w:rPr>
        <w:t xml:space="preserve">timespan and wide number of </w:t>
      </w:r>
      <w:r w:rsidR="00766B2A" w:rsidRPr="00AC7478">
        <w:rPr>
          <w:rFonts w:ascii="Times New Roman" w:eastAsia="Times New Roman,Batang" w:hAnsi="Times New Roman"/>
          <w:lang w:eastAsia="ko-KR"/>
        </w:rPr>
        <w:t>countr</w:t>
      </w:r>
      <w:r w:rsidR="00766B2A">
        <w:rPr>
          <w:rFonts w:ascii="Times New Roman" w:eastAsia="Times New Roman,Batang" w:hAnsi="Times New Roman"/>
          <w:lang w:eastAsia="ko-KR"/>
        </w:rPr>
        <w:t>y</w:t>
      </w:r>
      <w:r w:rsidR="00DF04AA" w:rsidRPr="00AC7478">
        <w:rPr>
          <w:rFonts w:ascii="Times New Roman" w:eastAsia="Times New Roman,Batang" w:hAnsi="Times New Roman"/>
          <w:lang w:eastAsia="ko-KR"/>
        </w:rPr>
        <w:t xml:space="preserve"> programmes covered, </w:t>
      </w:r>
      <w:r w:rsidR="00443E9F">
        <w:rPr>
          <w:rFonts w:ascii="Times New Roman" w:eastAsia="Times New Roman,Batang" w:hAnsi="Times New Roman"/>
          <w:lang w:eastAsia="ko-KR"/>
        </w:rPr>
        <w:t>the</w:t>
      </w:r>
      <w:r w:rsidR="00DF04AA" w:rsidRPr="00AC7478">
        <w:rPr>
          <w:rFonts w:ascii="Times New Roman" w:eastAsia="Times New Roman,Batang" w:hAnsi="Times New Roman"/>
          <w:lang w:eastAsia="ko-KR"/>
        </w:rPr>
        <w:t xml:space="preserve"> findings </w:t>
      </w:r>
      <w:r w:rsidR="00443E9F">
        <w:rPr>
          <w:rFonts w:ascii="Times New Roman" w:eastAsia="Times New Roman,Batang" w:hAnsi="Times New Roman"/>
          <w:lang w:eastAsia="ko-KR"/>
        </w:rPr>
        <w:t xml:space="preserve">are </w:t>
      </w:r>
      <w:r w:rsidR="00DF04AA" w:rsidRPr="00AC7478">
        <w:rPr>
          <w:rFonts w:ascii="Times New Roman" w:eastAsia="Times New Roman,Batang" w:hAnsi="Times New Roman"/>
          <w:lang w:eastAsia="ko-KR"/>
        </w:rPr>
        <w:t>very useful and informative</w:t>
      </w:r>
      <w:r w:rsidR="008741B0" w:rsidRPr="00AC7478">
        <w:rPr>
          <w:rFonts w:ascii="Times New Roman" w:eastAsia="Times New Roman,Batang" w:hAnsi="Times New Roman"/>
          <w:lang w:eastAsia="ko-KR"/>
        </w:rPr>
        <w:t>.</w:t>
      </w:r>
      <w:r w:rsidR="00AC7478" w:rsidRPr="00AC7478">
        <w:rPr>
          <w:rFonts w:ascii="Times New Roman" w:eastAsia="Times New Roman,Batang" w:hAnsi="Times New Roman"/>
          <w:lang w:eastAsia="ko-KR"/>
        </w:rPr>
        <w:t xml:space="preserve"> UNDP</w:t>
      </w:r>
      <w:r w:rsidR="00443E9F">
        <w:rPr>
          <w:rFonts w:ascii="Times New Roman" w:eastAsia="Times New Roman,Batang" w:hAnsi="Times New Roman"/>
          <w:lang w:eastAsia="ko-KR"/>
        </w:rPr>
        <w:t xml:space="preserve">’s </w:t>
      </w:r>
      <w:r w:rsidR="00AC7478" w:rsidRPr="00AC7478">
        <w:rPr>
          <w:rFonts w:ascii="Times New Roman" w:hAnsi="Times New Roman"/>
          <w:color w:val="000000"/>
        </w:rPr>
        <w:t>contribution has been espe</w:t>
      </w:r>
      <w:r w:rsidR="00AC7478" w:rsidRPr="00AC7478">
        <w:rPr>
          <w:rFonts w:ascii="Times New Roman" w:hAnsi="Times New Roman"/>
          <w:color w:val="000000"/>
        </w:rPr>
        <w:softHyphen/>
        <w:t>cially noteworthy in the areas of governance and poverty reduction</w:t>
      </w:r>
      <w:r w:rsidR="00EE375B">
        <w:rPr>
          <w:rFonts w:ascii="Times New Roman" w:hAnsi="Times New Roman"/>
          <w:color w:val="000000"/>
        </w:rPr>
        <w:t xml:space="preserve">, </w:t>
      </w:r>
      <w:r w:rsidR="00DC5FBB">
        <w:rPr>
          <w:rFonts w:ascii="Times New Roman" w:hAnsi="Times New Roman"/>
          <w:color w:val="000000"/>
        </w:rPr>
        <w:t>as well as</w:t>
      </w:r>
      <w:r w:rsidR="00EE375B">
        <w:rPr>
          <w:rFonts w:ascii="Times New Roman" w:hAnsi="Times New Roman"/>
          <w:color w:val="000000"/>
        </w:rPr>
        <w:t xml:space="preserve"> e</w:t>
      </w:r>
      <w:r w:rsidR="00AC7478" w:rsidRPr="00AC7478">
        <w:rPr>
          <w:rFonts w:ascii="Times New Roman" w:hAnsi="Times New Roman"/>
          <w:color w:val="000000"/>
        </w:rPr>
        <w:t xml:space="preserve">nvironment and disaster risk reduction </w:t>
      </w:r>
      <w:r w:rsidR="00DC5FBB">
        <w:rPr>
          <w:rFonts w:ascii="Times New Roman" w:hAnsi="Times New Roman"/>
          <w:color w:val="000000"/>
        </w:rPr>
        <w:t>through</w:t>
      </w:r>
      <w:r w:rsidR="00AC7478" w:rsidRPr="00AC7478">
        <w:rPr>
          <w:rFonts w:ascii="Times New Roman" w:hAnsi="Times New Roman"/>
          <w:color w:val="000000"/>
        </w:rPr>
        <w:t xml:space="preserve"> for example through the ver</w:t>
      </w:r>
      <w:r w:rsidR="00AC7478" w:rsidRPr="00AC7478">
        <w:rPr>
          <w:rFonts w:ascii="Times New Roman" w:hAnsi="Times New Roman"/>
          <w:color w:val="000000"/>
        </w:rPr>
        <w:softHyphen/>
        <w:t>tical funds</w:t>
      </w:r>
      <w:r w:rsidR="00EE375B">
        <w:rPr>
          <w:rFonts w:ascii="Times New Roman" w:hAnsi="Times New Roman"/>
          <w:color w:val="000000"/>
        </w:rPr>
        <w:t xml:space="preserve">, while </w:t>
      </w:r>
      <w:r w:rsidR="00AC7478" w:rsidRPr="00AC7478">
        <w:rPr>
          <w:rFonts w:ascii="Times New Roman" w:hAnsi="Times New Roman"/>
          <w:color w:val="000000"/>
        </w:rPr>
        <w:t xml:space="preserve">gender equality and women’s empowerment, long-term sustainability and </w:t>
      </w:r>
      <w:r w:rsidR="00DC5FBB">
        <w:rPr>
          <w:rFonts w:ascii="Times New Roman" w:hAnsi="Times New Roman"/>
          <w:color w:val="000000"/>
        </w:rPr>
        <w:t>monitoring and evaluation (</w:t>
      </w:r>
      <w:r w:rsidR="00AC7478" w:rsidRPr="00AC7478">
        <w:rPr>
          <w:rFonts w:ascii="Times New Roman" w:hAnsi="Times New Roman"/>
          <w:color w:val="000000"/>
        </w:rPr>
        <w:t>M&amp;E</w:t>
      </w:r>
      <w:r w:rsidR="00DC5FBB">
        <w:rPr>
          <w:rFonts w:ascii="Times New Roman" w:hAnsi="Times New Roman"/>
          <w:color w:val="000000"/>
        </w:rPr>
        <w:t>)</w:t>
      </w:r>
      <w:r w:rsidR="00AC7478" w:rsidRPr="00AC7478">
        <w:rPr>
          <w:rFonts w:ascii="Times New Roman" w:hAnsi="Times New Roman"/>
          <w:color w:val="000000"/>
        </w:rPr>
        <w:t xml:space="preserve"> practices </w:t>
      </w:r>
      <w:r w:rsidR="00EE375B">
        <w:rPr>
          <w:rFonts w:ascii="Times New Roman" w:hAnsi="Times New Roman"/>
          <w:color w:val="000000"/>
        </w:rPr>
        <w:t>are weaker</w:t>
      </w:r>
      <w:r w:rsidR="00B1741D">
        <w:rPr>
          <w:rFonts w:ascii="Times New Roman" w:hAnsi="Times New Roman"/>
          <w:color w:val="000000"/>
        </w:rPr>
        <w:t xml:space="preserve"> areas of programmatic work</w:t>
      </w:r>
      <w:r w:rsidR="00AC7478" w:rsidRPr="00AC7478">
        <w:rPr>
          <w:rFonts w:ascii="Times New Roman" w:hAnsi="Times New Roman"/>
          <w:color w:val="000000"/>
        </w:rPr>
        <w:t xml:space="preserve">. </w:t>
      </w:r>
      <w:bookmarkEnd w:id="1"/>
      <w:r w:rsidR="00A3054D">
        <w:rPr>
          <w:rFonts w:ascii="Times New Roman" w:hAnsi="Times New Roman"/>
        </w:rPr>
        <w:t xml:space="preserve">Findings from the synthesis </w:t>
      </w:r>
      <w:r w:rsidR="00DC5FBB">
        <w:rPr>
          <w:rFonts w:ascii="Times New Roman" w:hAnsi="Times New Roman"/>
        </w:rPr>
        <w:t>have been</w:t>
      </w:r>
      <w:r w:rsidR="00A3054D">
        <w:rPr>
          <w:rFonts w:ascii="Times New Roman" w:hAnsi="Times New Roman"/>
        </w:rPr>
        <w:t xml:space="preserve"> considered in the management response to the evaluation of UNDP support to poverty reduction in the </w:t>
      </w:r>
      <w:r w:rsidR="00752D38">
        <w:rPr>
          <w:rFonts w:ascii="Times New Roman" w:hAnsi="Times New Roman"/>
        </w:rPr>
        <w:t>LDCs</w:t>
      </w:r>
      <w:r w:rsidR="00A3054D" w:rsidRPr="009C3955">
        <w:rPr>
          <w:rFonts w:ascii="Times New Roman" w:hAnsi="Times New Roman"/>
        </w:rPr>
        <w:t xml:space="preserve">. </w:t>
      </w:r>
    </w:p>
    <w:p w14:paraId="5C7AF02D" w14:textId="77777777" w:rsidR="00847E56" w:rsidRPr="00AC7478" w:rsidRDefault="00847E56" w:rsidP="00314C45">
      <w:pPr>
        <w:spacing w:after="0" w:line="240" w:lineRule="auto"/>
        <w:jc w:val="both"/>
        <w:rPr>
          <w:rFonts w:ascii="Times New Roman" w:eastAsia="Times New Roman,Batang" w:hAnsi="Times New Roman"/>
          <w:lang w:eastAsia="ko-KR"/>
        </w:rPr>
      </w:pPr>
    </w:p>
    <w:p w14:paraId="06DD8A59" w14:textId="50B3B8C5" w:rsidR="00752D38" w:rsidRDefault="004D131B" w:rsidP="00314C45">
      <w:pPr>
        <w:spacing w:after="0" w:line="240" w:lineRule="auto"/>
        <w:jc w:val="both"/>
        <w:rPr>
          <w:rFonts w:ascii="Times New Roman" w:hAnsi="Times New Roman"/>
        </w:rPr>
      </w:pPr>
      <w:r>
        <w:rPr>
          <w:rFonts w:ascii="Times New Roman" w:hAnsi="Times New Roman"/>
        </w:rPr>
        <w:t xml:space="preserve">The consultative process through which the </w:t>
      </w:r>
      <w:hyperlink r:id="rId18" w:history="1">
        <w:r w:rsidR="005D2A75" w:rsidRPr="007727F2">
          <w:rPr>
            <w:rStyle w:val="Hyperlink"/>
            <w:rFonts w:ascii="Times New Roman" w:hAnsi="Times New Roman"/>
            <w:b/>
            <w:color w:val="auto"/>
            <w:u w:val="none"/>
          </w:rPr>
          <w:t>evaluation guidelines</w:t>
        </w:r>
      </w:hyperlink>
      <w:r>
        <w:rPr>
          <w:rFonts w:ascii="Times New Roman" w:hAnsi="Times New Roman"/>
        </w:rPr>
        <w:t xml:space="preserve"> were revised by the IEO is appreciated. </w:t>
      </w:r>
      <w:r w:rsidR="005D2A75" w:rsidRPr="00D62F0E">
        <w:rPr>
          <w:rFonts w:ascii="Times New Roman" w:hAnsi="Times New Roman"/>
        </w:rPr>
        <w:t xml:space="preserve"> </w:t>
      </w:r>
      <w:r w:rsidR="00013457">
        <w:rPr>
          <w:rFonts w:ascii="Times New Roman" w:hAnsi="Times New Roman"/>
        </w:rPr>
        <w:t>With</w:t>
      </w:r>
      <w:r w:rsidR="005D2A75" w:rsidRPr="00E10BE3">
        <w:rPr>
          <w:rFonts w:ascii="Times New Roman" w:hAnsi="Times New Roman"/>
        </w:rPr>
        <w:t xml:space="preserve"> the </w:t>
      </w:r>
      <w:r w:rsidR="00C60408" w:rsidRPr="00E10BE3">
        <w:rPr>
          <w:rFonts w:ascii="Times New Roman" w:hAnsi="Times New Roman"/>
        </w:rPr>
        <w:t xml:space="preserve">new guidelines, </w:t>
      </w:r>
      <w:r w:rsidR="00227936" w:rsidRPr="00E10BE3">
        <w:rPr>
          <w:rFonts w:ascii="Times New Roman" w:hAnsi="Times New Roman"/>
        </w:rPr>
        <w:t>which build</w:t>
      </w:r>
      <w:r w:rsidR="00C60408" w:rsidRPr="00E10BE3">
        <w:rPr>
          <w:rFonts w:ascii="Times New Roman" w:hAnsi="Times New Roman"/>
        </w:rPr>
        <w:t xml:space="preserve"> on the evaluation chapter of the </w:t>
      </w:r>
      <w:r w:rsidR="00317753" w:rsidRPr="00E10BE3">
        <w:rPr>
          <w:rFonts w:ascii="Times New Roman" w:hAnsi="Times New Roman"/>
        </w:rPr>
        <w:t>‘Yellow Handbook’</w:t>
      </w:r>
      <w:r w:rsidR="0041429E">
        <w:rPr>
          <w:rFonts w:ascii="Times New Roman" w:hAnsi="Times New Roman"/>
        </w:rPr>
        <w:t>,</w:t>
      </w:r>
      <w:r w:rsidR="00D63404">
        <w:rPr>
          <w:rFonts w:ascii="Times New Roman" w:hAnsi="Times New Roman"/>
        </w:rPr>
        <w:t xml:space="preserve"> and </w:t>
      </w:r>
      <w:r w:rsidR="00227936" w:rsidRPr="00E10BE3">
        <w:rPr>
          <w:rFonts w:ascii="Times New Roman" w:hAnsi="Times New Roman"/>
        </w:rPr>
        <w:t>the 2016 Evaluation Policy</w:t>
      </w:r>
      <w:r w:rsidR="0041429E">
        <w:rPr>
          <w:rFonts w:ascii="Times New Roman" w:hAnsi="Times New Roman"/>
        </w:rPr>
        <w:t xml:space="preserve"> </w:t>
      </w:r>
      <w:r w:rsidR="00227936" w:rsidRPr="00E10BE3">
        <w:rPr>
          <w:rFonts w:ascii="Times New Roman" w:hAnsi="Times New Roman"/>
        </w:rPr>
        <w:t xml:space="preserve">UNDP </w:t>
      </w:r>
      <w:r w:rsidR="00013457">
        <w:rPr>
          <w:rFonts w:ascii="Times New Roman" w:hAnsi="Times New Roman"/>
        </w:rPr>
        <w:t xml:space="preserve">is provided </w:t>
      </w:r>
      <w:r w:rsidR="00227936" w:rsidRPr="00E10BE3">
        <w:rPr>
          <w:rFonts w:ascii="Times New Roman" w:hAnsi="Times New Roman"/>
        </w:rPr>
        <w:t>with a solid framework</w:t>
      </w:r>
      <w:r w:rsidR="00013457">
        <w:rPr>
          <w:rFonts w:ascii="Times New Roman" w:hAnsi="Times New Roman"/>
        </w:rPr>
        <w:t xml:space="preserve"> for the evaluation function</w:t>
      </w:r>
      <w:r w:rsidR="00227936" w:rsidRPr="00E10BE3">
        <w:rPr>
          <w:rFonts w:ascii="Times New Roman" w:hAnsi="Times New Roman"/>
        </w:rPr>
        <w:t xml:space="preserve">. </w:t>
      </w:r>
      <w:r>
        <w:rPr>
          <w:rFonts w:ascii="Times New Roman" w:hAnsi="Times New Roman"/>
        </w:rPr>
        <w:t>T</w:t>
      </w:r>
      <w:r w:rsidR="00317753" w:rsidRPr="00E10BE3">
        <w:rPr>
          <w:rStyle w:val="EmailStyle24"/>
          <w:rFonts w:ascii="Times New Roman" w:hAnsi="Times New Roman" w:cs="Times New Roman"/>
          <w:bCs/>
          <w:color w:val="auto"/>
        </w:rPr>
        <w:t xml:space="preserve">he increased emphasis on management accountability and </w:t>
      </w:r>
      <w:r w:rsidR="00EC74F1">
        <w:rPr>
          <w:rStyle w:val="EmailStyle24"/>
          <w:rFonts w:ascii="Times New Roman" w:hAnsi="Times New Roman" w:cs="Times New Roman"/>
          <w:bCs/>
          <w:color w:val="auto"/>
        </w:rPr>
        <w:t xml:space="preserve">the </w:t>
      </w:r>
      <w:r w:rsidR="00317753" w:rsidRPr="00E10BE3">
        <w:rPr>
          <w:rStyle w:val="EmailStyle24"/>
          <w:rFonts w:ascii="Times New Roman" w:hAnsi="Times New Roman" w:cs="Times New Roman"/>
          <w:bCs/>
          <w:color w:val="auto"/>
        </w:rPr>
        <w:t>clear manag</w:t>
      </w:r>
      <w:r w:rsidR="00EC74F1">
        <w:rPr>
          <w:rStyle w:val="EmailStyle24"/>
          <w:rFonts w:ascii="Times New Roman" w:hAnsi="Times New Roman" w:cs="Times New Roman"/>
          <w:bCs/>
          <w:color w:val="auto"/>
        </w:rPr>
        <w:t>ement process for</w:t>
      </w:r>
      <w:r w:rsidR="00317753" w:rsidRPr="00E10BE3">
        <w:rPr>
          <w:rStyle w:val="EmailStyle24"/>
          <w:rFonts w:ascii="Times New Roman" w:hAnsi="Times New Roman" w:cs="Times New Roman"/>
          <w:bCs/>
          <w:color w:val="auto"/>
        </w:rPr>
        <w:t xml:space="preserve"> decentralized evaluations</w:t>
      </w:r>
      <w:r w:rsidR="00EC74F1">
        <w:rPr>
          <w:rStyle w:val="EmailStyle24"/>
          <w:rFonts w:ascii="Times New Roman" w:hAnsi="Times New Roman" w:cs="Times New Roman"/>
          <w:bCs/>
          <w:color w:val="auto"/>
        </w:rPr>
        <w:t xml:space="preserve"> is particularly welcomed and</w:t>
      </w:r>
      <w:r w:rsidR="00317753" w:rsidRPr="00E10BE3">
        <w:rPr>
          <w:rStyle w:val="EmailStyle24"/>
          <w:rFonts w:ascii="Times New Roman" w:hAnsi="Times New Roman" w:cs="Times New Roman"/>
          <w:bCs/>
          <w:color w:val="auto"/>
        </w:rPr>
        <w:t xml:space="preserve"> will be critical for changing the evaluation culture, increasing quality and safeguarding independence.</w:t>
      </w:r>
      <w:r w:rsidR="00227936" w:rsidRPr="00E10BE3">
        <w:rPr>
          <w:rStyle w:val="EmailStyle24"/>
          <w:rFonts w:ascii="Times New Roman" w:hAnsi="Times New Roman" w:cs="Times New Roman"/>
          <w:bCs/>
          <w:color w:val="auto"/>
        </w:rPr>
        <w:t xml:space="preserve"> </w:t>
      </w:r>
      <w:r w:rsidR="00227936" w:rsidRPr="00E10BE3">
        <w:rPr>
          <w:rFonts w:ascii="Times New Roman" w:hAnsi="Times New Roman"/>
        </w:rPr>
        <w:t>The guidelines, launched in January 2019, will be rolled out by the IEO</w:t>
      </w:r>
      <w:r w:rsidR="00B1741D">
        <w:rPr>
          <w:rFonts w:ascii="Times New Roman" w:hAnsi="Times New Roman"/>
        </w:rPr>
        <w:t>,</w:t>
      </w:r>
      <w:r w:rsidR="00227936" w:rsidRPr="00E10BE3">
        <w:rPr>
          <w:rFonts w:ascii="Times New Roman" w:hAnsi="Times New Roman"/>
        </w:rPr>
        <w:t xml:space="preserve"> BPPS</w:t>
      </w:r>
      <w:r w:rsidR="00B1741D">
        <w:rPr>
          <w:rFonts w:ascii="Times New Roman" w:hAnsi="Times New Roman"/>
        </w:rPr>
        <w:t xml:space="preserve"> and Regional Bureaus</w:t>
      </w:r>
      <w:r w:rsidR="00227936" w:rsidRPr="00E10BE3">
        <w:rPr>
          <w:rFonts w:ascii="Times New Roman" w:hAnsi="Times New Roman"/>
        </w:rPr>
        <w:t xml:space="preserve"> through webinars and regional workshops. </w:t>
      </w:r>
    </w:p>
    <w:p w14:paraId="1A7EEC68" w14:textId="1240052F" w:rsidR="00C55530" w:rsidRDefault="00C55530" w:rsidP="00D4779D">
      <w:pPr>
        <w:spacing w:after="0"/>
        <w:jc w:val="both"/>
        <w:rPr>
          <w:rFonts w:ascii="Times New Roman" w:eastAsia="Times New Roman,Batang" w:hAnsi="Times New Roman"/>
          <w:b/>
          <w:sz w:val="24"/>
          <w:szCs w:val="24"/>
          <w:u w:val="single"/>
          <w:lang w:eastAsia="ko-KR"/>
        </w:rPr>
      </w:pPr>
    </w:p>
    <w:p w14:paraId="21325AA7" w14:textId="77777777" w:rsidR="001778A2" w:rsidRPr="001778A2" w:rsidRDefault="001778A2" w:rsidP="001778A2">
      <w:pPr>
        <w:spacing w:after="0" w:line="240" w:lineRule="auto"/>
        <w:jc w:val="both"/>
        <w:rPr>
          <w:rFonts w:ascii="Times New Roman" w:eastAsia="Times New Roman" w:hAnsi="Times New Roman"/>
        </w:rPr>
      </w:pPr>
      <w:r w:rsidRPr="001778A2">
        <w:rPr>
          <w:rFonts w:ascii="Times New Roman" w:hAnsi="Times New Roman"/>
        </w:rPr>
        <w:lastRenderedPageBreak/>
        <w:t xml:space="preserve">In addition, in relation to the successful </w:t>
      </w:r>
      <w:r w:rsidRPr="001778A2">
        <w:rPr>
          <w:rFonts w:ascii="Times New Roman" w:eastAsia="Times New Roman" w:hAnsi="Times New Roman"/>
          <w:b/>
          <w:bCs/>
          <w:lang w:val="en-GB"/>
        </w:rPr>
        <w:t xml:space="preserve">National Evaluation Capacities Conference </w:t>
      </w:r>
      <w:r w:rsidRPr="001778A2">
        <w:rPr>
          <w:rFonts w:ascii="Times New Roman" w:eastAsia="Times New Roman" w:hAnsi="Times New Roman"/>
          <w:bCs/>
          <w:lang w:val="en-GB"/>
        </w:rPr>
        <w:t xml:space="preserve">held in Istanbul, Turkey in 2017, the Regional Bureau for </w:t>
      </w:r>
      <w:r w:rsidRPr="001778A2">
        <w:rPr>
          <w:rFonts w:ascii="Times New Roman" w:hAnsi="Times New Roman"/>
        </w:rPr>
        <w:t xml:space="preserve">Europe and the Commonwealth of Independent States (CIS) and the Government of Turkey worked very closely with the IEO. </w:t>
      </w:r>
      <w:r w:rsidRPr="001778A2">
        <w:rPr>
          <w:rFonts w:ascii="Times New Roman" w:hAnsi="Times New Roman"/>
          <w:vertAlign w:val="superscript"/>
        </w:rPr>
        <w:footnoteReference w:id="3"/>
      </w:r>
    </w:p>
    <w:p w14:paraId="273CDF4A" w14:textId="77777777" w:rsidR="000A5CDE" w:rsidRDefault="000A5CDE" w:rsidP="00D4779D">
      <w:pPr>
        <w:spacing w:after="0"/>
        <w:jc w:val="both"/>
        <w:rPr>
          <w:rFonts w:ascii="Times New Roman" w:eastAsia="Times New Roman,Batang" w:hAnsi="Times New Roman"/>
          <w:b/>
          <w:sz w:val="24"/>
          <w:szCs w:val="24"/>
          <w:u w:val="single"/>
          <w:lang w:eastAsia="ko-KR"/>
        </w:rPr>
      </w:pPr>
    </w:p>
    <w:p w14:paraId="21F1A1D4" w14:textId="4E1CCB06" w:rsidR="00CC42DF" w:rsidRDefault="000A5CDE" w:rsidP="00D4779D">
      <w:pPr>
        <w:spacing w:after="0"/>
        <w:jc w:val="both"/>
        <w:rPr>
          <w:rFonts w:ascii="Times New Roman" w:eastAsia="Times New Roman,Batang" w:hAnsi="Times New Roman"/>
          <w:b/>
          <w:sz w:val="24"/>
          <w:szCs w:val="24"/>
          <w:u w:val="single"/>
          <w:lang w:eastAsia="ko-KR"/>
        </w:rPr>
      </w:pPr>
      <w:r>
        <w:rPr>
          <w:rFonts w:ascii="Times New Roman" w:eastAsia="Times New Roman,Batang" w:hAnsi="Times New Roman"/>
          <w:b/>
          <w:sz w:val="24"/>
          <w:szCs w:val="24"/>
          <w:u w:val="single"/>
          <w:lang w:eastAsia="ko-KR"/>
        </w:rPr>
        <w:t>D</w:t>
      </w:r>
      <w:r w:rsidR="00D4779D" w:rsidRPr="00D4779D">
        <w:rPr>
          <w:rFonts w:ascii="Times New Roman" w:eastAsia="Times New Roman,Batang" w:hAnsi="Times New Roman"/>
          <w:b/>
          <w:sz w:val="24"/>
          <w:szCs w:val="24"/>
          <w:u w:val="single"/>
          <w:lang w:eastAsia="ko-KR"/>
        </w:rPr>
        <w:t>ecentralized evaluation</w:t>
      </w:r>
      <w:r>
        <w:rPr>
          <w:rFonts w:ascii="Times New Roman" w:eastAsia="Times New Roman,Batang" w:hAnsi="Times New Roman"/>
          <w:b/>
          <w:sz w:val="24"/>
          <w:szCs w:val="24"/>
          <w:u w:val="single"/>
          <w:lang w:eastAsia="ko-KR"/>
        </w:rPr>
        <w:t>s</w:t>
      </w:r>
    </w:p>
    <w:p w14:paraId="47E491E3" w14:textId="77777777" w:rsidR="000A5CDE" w:rsidRDefault="000A5CDE" w:rsidP="00D4779D">
      <w:pPr>
        <w:spacing w:after="0"/>
        <w:jc w:val="both"/>
        <w:rPr>
          <w:rFonts w:ascii="Times New Roman" w:eastAsia="Times New Roman,Batang" w:hAnsi="Times New Roman"/>
          <w:b/>
          <w:sz w:val="24"/>
          <w:szCs w:val="24"/>
          <w:u w:val="single"/>
          <w:lang w:eastAsia="ko-KR"/>
        </w:rPr>
      </w:pPr>
    </w:p>
    <w:p w14:paraId="05E45FD0" w14:textId="3F9D6383" w:rsidR="00D4779D" w:rsidRPr="00474BDB" w:rsidRDefault="00D4779D" w:rsidP="0041429E">
      <w:pPr>
        <w:spacing w:after="0" w:line="240" w:lineRule="auto"/>
        <w:jc w:val="both"/>
        <w:rPr>
          <w:rFonts w:ascii="Times New Roman" w:eastAsia="Times New Roman,Batang" w:hAnsi="Times New Roman"/>
          <w:lang w:eastAsia="ko-KR"/>
        </w:rPr>
      </w:pPr>
      <w:r w:rsidRPr="00D674E3">
        <w:rPr>
          <w:rFonts w:ascii="Times New Roman" w:eastAsia="Times New Roman,Batang" w:hAnsi="Times New Roman"/>
          <w:lang w:eastAsia="ko-KR"/>
        </w:rPr>
        <w:t xml:space="preserve">As of </w:t>
      </w:r>
      <w:r w:rsidR="00766B2A" w:rsidRPr="00D674E3">
        <w:rPr>
          <w:rFonts w:ascii="Times New Roman" w:eastAsia="Times New Roman,Batang" w:hAnsi="Times New Roman"/>
          <w:lang w:eastAsia="ko-KR"/>
        </w:rPr>
        <w:t>January 31st, 2019,</w:t>
      </w:r>
      <w:r w:rsidRPr="00D674E3">
        <w:rPr>
          <w:rFonts w:ascii="Times New Roman" w:eastAsia="Times New Roman,Batang" w:hAnsi="Times New Roman"/>
          <w:lang w:eastAsia="ko-KR"/>
        </w:rPr>
        <w:t xml:space="preserve"> 283 decentralized evaluations had been completed in 2018. </w:t>
      </w:r>
      <w:r w:rsidRPr="00474BDB">
        <w:rPr>
          <w:rFonts w:ascii="Times New Roman" w:eastAsia="Times New Roman,Batang" w:hAnsi="Times New Roman"/>
          <w:lang w:eastAsia="ko-KR"/>
        </w:rPr>
        <w:t>Out of these</w:t>
      </w:r>
      <w:r w:rsidR="00B5257F">
        <w:rPr>
          <w:rFonts w:ascii="Times New Roman" w:eastAsia="Times New Roman,Batang" w:hAnsi="Times New Roman"/>
          <w:lang w:eastAsia="ko-KR"/>
        </w:rPr>
        <w:t xml:space="preserve"> evaluations</w:t>
      </w:r>
      <w:r w:rsidRPr="00474BDB">
        <w:rPr>
          <w:rFonts w:ascii="Times New Roman" w:eastAsia="Times New Roman,Batang" w:hAnsi="Times New Roman"/>
          <w:lang w:eastAsia="ko-KR"/>
        </w:rPr>
        <w:t xml:space="preserve">, </w:t>
      </w:r>
      <w:r>
        <w:rPr>
          <w:rFonts w:ascii="Times New Roman" w:eastAsia="Times New Roman,Batang" w:hAnsi="Times New Roman"/>
          <w:lang w:eastAsia="ko-KR"/>
        </w:rPr>
        <w:t>24</w:t>
      </w:r>
      <w:r w:rsidR="00AF75A1">
        <w:rPr>
          <w:rFonts w:ascii="Times New Roman" w:eastAsia="Times New Roman,Batang" w:hAnsi="Times New Roman"/>
          <w:lang w:eastAsia="ko-KR"/>
        </w:rPr>
        <w:t>7</w:t>
      </w:r>
      <w:r>
        <w:rPr>
          <w:rFonts w:ascii="Times New Roman" w:eastAsia="Times New Roman,Batang" w:hAnsi="Times New Roman"/>
          <w:lang w:eastAsia="ko-KR"/>
        </w:rPr>
        <w:t xml:space="preserve"> were project evaluations, 2</w:t>
      </w:r>
      <w:r w:rsidR="00454617">
        <w:rPr>
          <w:rFonts w:ascii="Times New Roman" w:eastAsia="Times New Roman,Batang" w:hAnsi="Times New Roman"/>
          <w:lang w:eastAsia="ko-KR"/>
        </w:rPr>
        <w:t>1</w:t>
      </w:r>
      <w:r>
        <w:rPr>
          <w:rFonts w:ascii="Times New Roman" w:eastAsia="Times New Roman,Batang" w:hAnsi="Times New Roman"/>
          <w:lang w:eastAsia="ko-KR"/>
        </w:rPr>
        <w:t xml:space="preserve"> outcome evaluations</w:t>
      </w:r>
      <w:r w:rsidR="00454617">
        <w:rPr>
          <w:rFonts w:ascii="Times New Roman" w:eastAsia="Times New Roman,Batang" w:hAnsi="Times New Roman"/>
          <w:lang w:eastAsia="ko-KR"/>
        </w:rPr>
        <w:t xml:space="preserve"> and 15 </w:t>
      </w:r>
      <w:r w:rsidR="00AF75A1">
        <w:rPr>
          <w:rFonts w:ascii="Times New Roman" w:eastAsia="Times New Roman,Batang" w:hAnsi="Times New Roman"/>
          <w:lang w:eastAsia="ko-KR"/>
        </w:rPr>
        <w:t xml:space="preserve">were </w:t>
      </w:r>
      <w:r w:rsidR="00454617">
        <w:rPr>
          <w:rFonts w:ascii="Times New Roman" w:eastAsia="Times New Roman,Batang" w:hAnsi="Times New Roman"/>
          <w:lang w:eastAsia="ko-KR"/>
        </w:rPr>
        <w:t>UNDAF</w:t>
      </w:r>
      <w:r>
        <w:rPr>
          <w:rFonts w:ascii="Times New Roman" w:eastAsia="Times New Roman,Batang" w:hAnsi="Times New Roman"/>
          <w:lang w:eastAsia="ko-KR"/>
        </w:rPr>
        <w:t xml:space="preserve">, thematic </w:t>
      </w:r>
      <w:r w:rsidR="00454617">
        <w:rPr>
          <w:rFonts w:ascii="Times New Roman" w:eastAsia="Times New Roman,Batang" w:hAnsi="Times New Roman"/>
          <w:lang w:eastAsia="ko-KR"/>
        </w:rPr>
        <w:t xml:space="preserve">or country programme </w:t>
      </w:r>
      <w:r>
        <w:rPr>
          <w:rFonts w:ascii="Times New Roman" w:eastAsia="Times New Roman,Batang" w:hAnsi="Times New Roman"/>
          <w:lang w:eastAsia="ko-KR"/>
        </w:rPr>
        <w:t>evaluations. The distribution between the regions can be seen in</w:t>
      </w:r>
      <w:bookmarkStart w:id="2" w:name="_GoBack"/>
      <w:bookmarkEnd w:id="2"/>
      <w:r>
        <w:rPr>
          <w:rFonts w:ascii="Times New Roman" w:eastAsia="Times New Roman,Batang" w:hAnsi="Times New Roman"/>
          <w:lang w:eastAsia="ko-KR"/>
        </w:rPr>
        <w:t xml:space="preserve"> the graph below.</w:t>
      </w:r>
    </w:p>
    <w:p w14:paraId="253C52FB" w14:textId="77777777" w:rsidR="00D4779D" w:rsidRDefault="00D4779D" w:rsidP="00D4779D">
      <w:pPr>
        <w:spacing w:after="0"/>
        <w:jc w:val="both"/>
        <w:rPr>
          <w:rFonts w:ascii="Times New Roman" w:eastAsia="Times New Roman,Batang" w:hAnsi="Times New Roman"/>
          <w:b/>
          <w:sz w:val="24"/>
          <w:szCs w:val="24"/>
          <w:lang w:eastAsia="ko-KR"/>
        </w:rPr>
      </w:pPr>
    </w:p>
    <w:p w14:paraId="1648254D" w14:textId="77777777" w:rsidR="00D4779D" w:rsidRDefault="00D4779D" w:rsidP="00D4779D">
      <w:pPr>
        <w:spacing w:after="0"/>
        <w:jc w:val="center"/>
        <w:rPr>
          <w:rFonts w:ascii="Times New Roman" w:eastAsia="Times New Roman,Batang" w:hAnsi="Times New Roman"/>
          <w:b/>
          <w:sz w:val="24"/>
          <w:szCs w:val="24"/>
          <w:lang w:eastAsia="ko-KR"/>
        </w:rPr>
      </w:pPr>
      <w:r>
        <w:rPr>
          <w:noProof/>
        </w:rPr>
        <w:drawing>
          <wp:inline distT="0" distB="0" distL="0" distR="0" wp14:anchorId="21A340BF" wp14:editId="3FD9D4DC">
            <wp:extent cx="6126480" cy="2720340"/>
            <wp:effectExtent l="0" t="0" r="7620" b="3810"/>
            <wp:docPr id="16" name="Chart 16">
              <a:extLst xmlns:a="http://schemas.openxmlformats.org/drawingml/2006/main">
                <a:ext uri="{FF2B5EF4-FFF2-40B4-BE49-F238E27FC236}">
                  <a16:creationId xmlns:a16="http://schemas.microsoft.com/office/drawing/2014/main" id="{5FAC29E2-F532-4322-8017-C613027382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CBC4B3" w14:textId="77777777" w:rsidR="00D4779D" w:rsidRPr="00D5793E" w:rsidRDefault="00D4779D" w:rsidP="00D4779D">
      <w:pPr>
        <w:spacing w:after="0"/>
        <w:jc w:val="both"/>
        <w:rPr>
          <w:rFonts w:ascii="Times New Roman" w:eastAsia="Times New Roman,Batang" w:hAnsi="Times New Roman"/>
          <w:b/>
          <w:sz w:val="24"/>
          <w:szCs w:val="24"/>
          <w:lang w:eastAsia="ko-KR"/>
        </w:rPr>
      </w:pPr>
    </w:p>
    <w:p w14:paraId="3E0B7253" w14:textId="41A58623" w:rsidR="00D4779D" w:rsidRDefault="00D4779D" w:rsidP="00D4779D">
      <w:pPr>
        <w:spacing w:after="0"/>
        <w:rPr>
          <w:rFonts w:ascii="Times New Roman" w:eastAsia="Times New Roman,Batang" w:hAnsi="Times New Roman"/>
          <w:b/>
          <w:lang w:eastAsia="ko-KR"/>
        </w:rPr>
      </w:pPr>
      <w:r w:rsidRPr="005622BE">
        <w:rPr>
          <w:rFonts w:ascii="Times New Roman" w:eastAsia="Times New Roman,Batang" w:hAnsi="Times New Roman"/>
          <w:b/>
          <w:lang w:eastAsia="ko-KR"/>
        </w:rPr>
        <w:t>Quality of evaluations</w:t>
      </w:r>
    </w:p>
    <w:p w14:paraId="0617C835" w14:textId="77777777" w:rsidR="000A5CDE" w:rsidRDefault="000A5CDE" w:rsidP="00D4779D">
      <w:pPr>
        <w:spacing w:after="0"/>
        <w:rPr>
          <w:rFonts w:ascii="Times New Roman" w:eastAsia="Times New Roman,Batang" w:hAnsi="Times New Roman"/>
          <w:b/>
          <w:lang w:eastAsia="ko-KR"/>
        </w:rPr>
      </w:pPr>
    </w:p>
    <w:p w14:paraId="17809495" w14:textId="710A8B64" w:rsidR="004914A8" w:rsidRPr="00FE7C79" w:rsidRDefault="004914A8" w:rsidP="004914A8">
      <w:pPr>
        <w:spacing w:after="0" w:line="240" w:lineRule="auto"/>
        <w:jc w:val="both"/>
        <w:rPr>
          <w:rFonts w:ascii="Times New Roman" w:hAnsi="Times New Roman"/>
          <w:color w:val="000000" w:themeColor="text1"/>
        </w:rPr>
      </w:pPr>
      <w:r>
        <w:rPr>
          <w:rFonts w:ascii="Times New Roman" w:eastAsia="Times New Roman,Batang" w:hAnsi="Times New Roman"/>
          <w:lang w:eastAsia="ko-KR"/>
        </w:rPr>
        <w:t xml:space="preserve">Based on IEO’s annual quality assessment of decentralized evaluations since 2016, </w:t>
      </w:r>
      <w:r w:rsidR="00D4779D" w:rsidRPr="00F5331C">
        <w:rPr>
          <w:rFonts w:ascii="Times New Roman" w:eastAsia="Times New Roman,Batang" w:hAnsi="Times New Roman"/>
          <w:lang w:eastAsia="ko-KR"/>
        </w:rPr>
        <w:t xml:space="preserve">the percentage of reports </w:t>
      </w:r>
      <w:r w:rsidR="00D4779D" w:rsidRPr="00F5331C">
        <w:rPr>
          <w:rFonts w:ascii="Times New Roman" w:hAnsi="Times New Roman"/>
          <w:color w:val="000000" w:themeColor="text1"/>
        </w:rPr>
        <w:t>considered moderately satisfactory, satisfactory or highly satisfactory</w:t>
      </w:r>
      <w:r w:rsidR="00D4779D" w:rsidRPr="00F5331C">
        <w:rPr>
          <w:rFonts w:ascii="Times New Roman" w:eastAsia="Times New Roman,Batang" w:hAnsi="Times New Roman"/>
          <w:lang w:eastAsia="ko-KR"/>
        </w:rPr>
        <w:t xml:space="preserve"> has increased over the three consecutive years </w:t>
      </w:r>
      <w:r w:rsidR="00F127F3">
        <w:rPr>
          <w:rFonts w:ascii="Times New Roman" w:eastAsia="Times New Roman,Batang" w:hAnsi="Times New Roman"/>
          <w:lang w:eastAsia="ko-KR"/>
        </w:rPr>
        <w:t>-</w:t>
      </w:r>
      <w:r w:rsidR="00D4779D" w:rsidRPr="00F5331C">
        <w:rPr>
          <w:rFonts w:ascii="Times New Roman" w:eastAsia="Times New Roman,Batang" w:hAnsi="Times New Roman"/>
          <w:lang w:eastAsia="ko-KR"/>
        </w:rPr>
        <w:t xml:space="preserve"> from 72 percent in 2016 to 76 percent </w:t>
      </w:r>
      <w:r w:rsidR="00D4779D" w:rsidRPr="00F5331C">
        <w:rPr>
          <w:rFonts w:ascii="Times New Roman" w:hAnsi="Times New Roman"/>
          <w:color w:val="000000" w:themeColor="text1"/>
        </w:rPr>
        <w:t xml:space="preserve">in 2018. </w:t>
      </w:r>
      <w:r w:rsidR="00D569F9">
        <w:rPr>
          <w:rFonts w:ascii="Times New Roman" w:hAnsi="Times New Roman"/>
          <w:color w:val="000000" w:themeColor="text1"/>
        </w:rPr>
        <w:t>T</w:t>
      </w:r>
      <w:r w:rsidR="00D4779D" w:rsidRPr="00F5331C">
        <w:rPr>
          <w:rFonts w:ascii="Times New Roman" w:hAnsi="Times New Roman"/>
          <w:color w:val="000000" w:themeColor="text1"/>
        </w:rPr>
        <w:t xml:space="preserve">he percentage of evaluations rated satisfactory </w:t>
      </w:r>
      <w:r w:rsidR="00D569F9">
        <w:rPr>
          <w:rFonts w:ascii="Times New Roman" w:hAnsi="Times New Roman"/>
          <w:color w:val="000000" w:themeColor="text1"/>
        </w:rPr>
        <w:t xml:space="preserve">also </w:t>
      </w:r>
      <w:r w:rsidR="00D4779D" w:rsidRPr="00F5331C">
        <w:rPr>
          <w:rFonts w:ascii="Times New Roman" w:hAnsi="Times New Roman"/>
          <w:color w:val="000000" w:themeColor="text1"/>
        </w:rPr>
        <w:t xml:space="preserve">increased by 6 percent (from 19 to 25 percent) compared with 2017. </w:t>
      </w:r>
      <w:r w:rsidR="003A0FB9">
        <w:rPr>
          <w:rFonts w:ascii="Times New Roman" w:hAnsi="Times New Roman"/>
        </w:rPr>
        <w:t>In particular,</w:t>
      </w:r>
      <w:r w:rsidRPr="0032247C">
        <w:rPr>
          <w:rFonts w:ascii="Times New Roman" w:hAnsi="Times New Roman"/>
        </w:rPr>
        <w:t xml:space="preserve"> the Arab States and the Europe and CIS region</w:t>
      </w:r>
      <w:r w:rsidR="003A0FB9">
        <w:rPr>
          <w:rFonts w:ascii="Times New Roman" w:hAnsi="Times New Roman"/>
        </w:rPr>
        <w:t>s</w:t>
      </w:r>
      <w:r w:rsidRPr="0032247C">
        <w:rPr>
          <w:rFonts w:ascii="Times New Roman" w:hAnsi="Times New Roman"/>
        </w:rPr>
        <w:t xml:space="preserve"> ha</w:t>
      </w:r>
      <w:r>
        <w:rPr>
          <w:rFonts w:ascii="Times New Roman" w:hAnsi="Times New Roman"/>
        </w:rPr>
        <w:t>ve</w:t>
      </w:r>
      <w:r w:rsidRPr="0032247C">
        <w:rPr>
          <w:rFonts w:ascii="Times New Roman" w:hAnsi="Times New Roman"/>
        </w:rPr>
        <w:t xml:space="preserve"> </w:t>
      </w:r>
      <w:r w:rsidR="003A0FB9">
        <w:rPr>
          <w:rFonts w:ascii="Times New Roman" w:hAnsi="Times New Roman"/>
        </w:rPr>
        <w:t xml:space="preserve">significantly improved the </w:t>
      </w:r>
      <w:r w:rsidRPr="0032247C">
        <w:rPr>
          <w:rFonts w:ascii="Times New Roman" w:hAnsi="Times New Roman"/>
        </w:rPr>
        <w:t xml:space="preserve">quality </w:t>
      </w:r>
      <w:r w:rsidR="003A0FB9">
        <w:rPr>
          <w:rFonts w:ascii="Times New Roman" w:hAnsi="Times New Roman"/>
        </w:rPr>
        <w:t xml:space="preserve">of their </w:t>
      </w:r>
      <w:r w:rsidRPr="0032247C">
        <w:rPr>
          <w:rFonts w:ascii="Times New Roman" w:hAnsi="Times New Roman"/>
        </w:rPr>
        <w:t xml:space="preserve">evaluations (from 47 </w:t>
      </w:r>
      <w:r>
        <w:rPr>
          <w:rFonts w:ascii="Times New Roman" w:hAnsi="Times New Roman"/>
        </w:rPr>
        <w:t xml:space="preserve">in </w:t>
      </w:r>
      <w:r w:rsidRPr="0032247C">
        <w:rPr>
          <w:rFonts w:ascii="Times New Roman" w:hAnsi="Times New Roman"/>
        </w:rPr>
        <w:t>2016 to 65 percent in 2018 for</w:t>
      </w:r>
      <w:r>
        <w:rPr>
          <w:rFonts w:ascii="Times New Roman" w:hAnsi="Times New Roman"/>
        </w:rPr>
        <w:t xml:space="preserve"> the former</w:t>
      </w:r>
      <w:r w:rsidRPr="0032247C">
        <w:rPr>
          <w:rFonts w:ascii="Times New Roman" w:hAnsi="Times New Roman"/>
        </w:rPr>
        <w:t xml:space="preserve">, and </w:t>
      </w:r>
      <w:r>
        <w:rPr>
          <w:rFonts w:ascii="Times New Roman" w:hAnsi="Times New Roman"/>
        </w:rPr>
        <w:t xml:space="preserve">from </w:t>
      </w:r>
      <w:r w:rsidRPr="0032247C">
        <w:rPr>
          <w:rFonts w:ascii="Times New Roman" w:hAnsi="Times New Roman"/>
        </w:rPr>
        <w:t xml:space="preserve">65 to 83 percent in </w:t>
      </w:r>
      <w:r>
        <w:rPr>
          <w:rFonts w:ascii="Times New Roman" w:hAnsi="Times New Roman"/>
        </w:rPr>
        <w:t>the latter</w:t>
      </w:r>
      <w:r w:rsidRPr="0032247C">
        <w:rPr>
          <w:rFonts w:ascii="Times New Roman" w:hAnsi="Times New Roman"/>
        </w:rPr>
        <w:t xml:space="preserve">). </w:t>
      </w:r>
    </w:p>
    <w:p w14:paraId="6CEEA27A" w14:textId="77777777" w:rsidR="00D4779D" w:rsidRDefault="00D4779D" w:rsidP="00D4779D">
      <w:pPr>
        <w:spacing w:after="0"/>
        <w:jc w:val="both"/>
        <w:rPr>
          <w:rFonts w:ascii="Times New Roman" w:eastAsia="Times New Roman,Batang" w:hAnsi="Times New Roman"/>
          <w:highlight w:val="yellow"/>
          <w:lang w:eastAsia="ko-KR"/>
        </w:rPr>
      </w:pPr>
    </w:p>
    <w:p w14:paraId="19DC13D7" w14:textId="77777777" w:rsidR="00D4779D" w:rsidRDefault="00D4779D" w:rsidP="00D4779D">
      <w:pPr>
        <w:spacing w:after="0"/>
        <w:jc w:val="both"/>
        <w:rPr>
          <w:rFonts w:ascii="Times New Roman" w:eastAsia="Times New Roman,Batang" w:hAnsi="Times New Roman"/>
          <w:highlight w:val="yellow"/>
          <w:lang w:eastAsia="ko-KR"/>
        </w:rPr>
      </w:pPr>
      <w:r>
        <w:rPr>
          <w:noProof/>
        </w:rPr>
        <w:lastRenderedPageBreak/>
        <w:drawing>
          <wp:inline distT="0" distB="0" distL="0" distR="0" wp14:anchorId="4C930565" wp14:editId="7CCA4989">
            <wp:extent cx="6296660" cy="3217653"/>
            <wp:effectExtent l="0" t="0" r="8890" b="1905"/>
            <wp:docPr id="11" name="Chart 11">
              <a:extLst xmlns:a="http://schemas.openxmlformats.org/drawingml/2006/main">
                <a:ext uri="{FF2B5EF4-FFF2-40B4-BE49-F238E27FC236}">
                  <a16:creationId xmlns:a16="http://schemas.microsoft.com/office/drawing/2014/main" id="{6C9B222E-FAF3-436C-8892-EE7C90B01F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AF1D9C7" w14:textId="77777777" w:rsidR="00D4779D" w:rsidRPr="00B3310F" w:rsidRDefault="00D4779D" w:rsidP="00D4779D">
      <w:pPr>
        <w:spacing w:after="0"/>
        <w:jc w:val="both"/>
        <w:rPr>
          <w:rFonts w:ascii="Times New Roman" w:eastAsia="Times New Roman,Batang" w:hAnsi="Times New Roman"/>
          <w:lang w:eastAsia="ko-KR"/>
        </w:rPr>
      </w:pPr>
      <w:r>
        <w:rPr>
          <w:rFonts w:ascii="Times New Roman" w:eastAsia="Times New Roman,Batang" w:hAnsi="Times New Roman"/>
          <w:lang w:eastAsia="ko-KR"/>
        </w:rPr>
        <w:t>*</w:t>
      </w:r>
      <w:r w:rsidRPr="00B3310F">
        <w:rPr>
          <w:rFonts w:ascii="Times New Roman" w:eastAsia="Times New Roman,Batang" w:hAnsi="Times New Roman"/>
          <w:lang w:eastAsia="ko-KR"/>
        </w:rPr>
        <w:t>Number of evaluations quality assessed: 259 (2016), 287 (2017), 225 (2018)</w:t>
      </w:r>
    </w:p>
    <w:p w14:paraId="1B3C6363" w14:textId="77777777" w:rsidR="00D4779D" w:rsidRDefault="00D4779D" w:rsidP="00D4779D">
      <w:pPr>
        <w:spacing w:after="0" w:line="240" w:lineRule="auto"/>
        <w:jc w:val="both"/>
        <w:rPr>
          <w:rFonts w:ascii="Times New Roman" w:eastAsia="Times New Roman,Batang" w:hAnsi="Times New Roman"/>
          <w:highlight w:val="yellow"/>
          <w:lang w:eastAsia="ko-KR"/>
        </w:rPr>
      </w:pPr>
    </w:p>
    <w:p w14:paraId="577C431C" w14:textId="397D9621" w:rsidR="009347D6" w:rsidRDefault="00D4779D" w:rsidP="00D4779D">
      <w:pPr>
        <w:spacing w:after="0" w:line="240" w:lineRule="auto"/>
        <w:jc w:val="both"/>
        <w:rPr>
          <w:rFonts w:ascii="Times New Roman" w:hAnsi="Times New Roman"/>
        </w:rPr>
      </w:pPr>
      <w:r w:rsidRPr="0032247C">
        <w:rPr>
          <w:rFonts w:ascii="Times New Roman" w:eastAsia="Batang" w:hAnsi="Times New Roman"/>
          <w:lang w:eastAsia="ko-KR"/>
        </w:rPr>
        <w:t>The</w:t>
      </w:r>
      <w:r w:rsidR="00F127F3">
        <w:rPr>
          <w:rFonts w:ascii="Times New Roman" w:eastAsia="Batang" w:hAnsi="Times New Roman"/>
          <w:lang w:eastAsia="ko-KR"/>
        </w:rPr>
        <w:t xml:space="preserve"> highest rated report</w:t>
      </w:r>
      <w:r w:rsidRPr="0032247C">
        <w:rPr>
          <w:rFonts w:ascii="Times New Roman" w:eastAsia="Batang" w:hAnsi="Times New Roman"/>
          <w:lang w:eastAsia="ko-KR"/>
        </w:rPr>
        <w:t xml:space="preserve"> in 2018</w:t>
      </w:r>
      <w:r w:rsidR="00F127F3">
        <w:rPr>
          <w:rFonts w:ascii="Times New Roman" w:eastAsia="Batang" w:hAnsi="Times New Roman"/>
          <w:lang w:eastAsia="ko-KR"/>
        </w:rPr>
        <w:t xml:space="preserve"> was</w:t>
      </w:r>
      <w:r w:rsidRPr="0032247C">
        <w:rPr>
          <w:rFonts w:ascii="Times New Roman" w:eastAsia="Batang" w:hAnsi="Times New Roman"/>
          <w:lang w:eastAsia="ko-KR"/>
        </w:rPr>
        <w:t xml:space="preserve"> </w:t>
      </w:r>
      <w:r w:rsidRPr="00533BB3">
        <w:rPr>
          <w:rFonts w:ascii="Times New Roman" w:eastAsia="Batang" w:hAnsi="Times New Roman"/>
          <w:lang w:eastAsia="ko-KR"/>
        </w:rPr>
        <w:t xml:space="preserve">the </w:t>
      </w:r>
      <w:hyperlink r:id="rId21" w:history="1">
        <w:r w:rsidRPr="00533BB3">
          <w:rPr>
            <w:rStyle w:val="Hyperlink"/>
            <w:rFonts w:ascii="Times New Roman" w:eastAsia="Batang" w:hAnsi="Times New Roman"/>
            <w:i/>
            <w:color w:val="auto"/>
            <w:u w:val="none"/>
            <w:lang w:eastAsia="ko-KR"/>
          </w:rPr>
          <w:t>Local climate adaptive living facility evaluation</w:t>
        </w:r>
      </w:hyperlink>
      <w:r w:rsidRPr="00533BB3">
        <w:rPr>
          <w:rFonts w:ascii="Times New Roman" w:eastAsia="Batang" w:hAnsi="Times New Roman"/>
          <w:lang w:eastAsia="ko-KR"/>
        </w:rPr>
        <w:t xml:space="preserve">, by </w:t>
      </w:r>
      <w:r w:rsidRPr="0032247C">
        <w:rPr>
          <w:rFonts w:ascii="Times New Roman" w:eastAsia="Batang" w:hAnsi="Times New Roman"/>
          <w:lang w:eastAsia="ko-KR"/>
        </w:rPr>
        <w:t xml:space="preserve">UNCDF. </w:t>
      </w:r>
      <w:r w:rsidR="00201273">
        <w:rPr>
          <w:rFonts w:ascii="Times New Roman" w:hAnsi="Times New Roman"/>
        </w:rPr>
        <w:t>Th</w:t>
      </w:r>
      <w:r w:rsidR="00D569F9">
        <w:rPr>
          <w:rFonts w:ascii="Times New Roman" w:hAnsi="Times New Roman"/>
        </w:rPr>
        <w:t>is</w:t>
      </w:r>
      <w:r w:rsidR="00201273">
        <w:rPr>
          <w:rFonts w:ascii="Times New Roman" w:hAnsi="Times New Roman"/>
        </w:rPr>
        <w:t xml:space="preserve"> </w:t>
      </w:r>
      <w:r w:rsidRPr="0032247C">
        <w:rPr>
          <w:rFonts w:ascii="Times New Roman" w:hAnsi="Times New Roman"/>
        </w:rPr>
        <w:t xml:space="preserve">high-quality evaluation provides a very sound analysis and fair assessment </w:t>
      </w:r>
      <w:r w:rsidR="00533BB3">
        <w:rPr>
          <w:rFonts w:ascii="Times New Roman" w:hAnsi="Times New Roman"/>
        </w:rPr>
        <w:t>of key</w:t>
      </w:r>
      <w:r w:rsidRPr="0032247C">
        <w:rPr>
          <w:rFonts w:ascii="Times New Roman" w:hAnsi="Times New Roman"/>
        </w:rPr>
        <w:t xml:space="preserve"> strengths and weaknesses</w:t>
      </w:r>
      <w:r w:rsidR="00471F85">
        <w:rPr>
          <w:rFonts w:ascii="Times New Roman" w:hAnsi="Times New Roman"/>
        </w:rPr>
        <w:t xml:space="preserve"> </w:t>
      </w:r>
      <w:r w:rsidR="00201273">
        <w:rPr>
          <w:rFonts w:ascii="Times New Roman" w:hAnsi="Times New Roman"/>
        </w:rPr>
        <w:t xml:space="preserve">and can be used as a best practice example for learning. </w:t>
      </w:r>
      <w:r w:rsidR="00D569F9">
        <w:rPr>
          <w:rFonts w:ascii="Times New Roman" w:hAnsi="Times New Roman"/>
        </w:rPr>
        <w:t>Other g</w:t>
      </w:r>
      <w:r w:rsidR="00E07791">
        <w:rPr>
          <w:rFonts w:ascii="Times New Roman" w:hAnsi="Times New Roman"/>
        </w:rPr>
        <w:t>ood quality</w:t>
      </w:r>
      <w:r w:rsidR="00F41CD2">
        <w:rPr>
          <w:rFonts w:ascii="Times New Roman" w:hAnsi="Times New Roman"/>
        </w:rPr>
        <w:t xml:space="preserve"> evaluations conducted by Country Offices</w:t>
      </w:r>
      <w:r w:rsidR="00E07791">
        <w:rPr>
          <w:rFonts w:ascii="Times New Roman" w:hAnsi="Times New Roman"/>
        </w:rPr>
        <w:t xml:space="preserve"> </w:t>
      </w:r>
      <w:r w:rsidR="00E07791" w:rsidRPr="00D569F9">
        <w:rPr>
          <w:rFonts w:ascii="Times New Roman" w:hAnsi="Times New Roman"/>
        </w:rPr>
        <w:t>include</w:t>
      </w:r>
      <w:r w:rsidR="00F41CD2" w:rsidRPr="00D569F9">
        <w:rPr>
          <w:rFonts w:ascii="Times New Roman" w:hAnsi="Times New Roman"/>
        </w:rPr>
        <w:t xml:space="preserve">: </w:t>
      </w:r>
      <w:hyperlink r:id="rId22" w:history="1">
        <w:r w:rsidR="00AC0E94" w:rsidRPr="00D569F9">
          <w:rPr>
            <w:rStyle w:val="Hyperlink"/>
            <w:rFonts w:ascii="Times New Roman" w:hAnsi="Times New Roman"/>
            <w:i/>
            <w:color w:val="auto"/>
            <w:u w:val="none"/>
          </w:rPr>
          <w:t>Évaluation du Projet « Appui au Processus Électoral en Haïti Mis en œuvre par le PNUD</w:t>
        </w:r>
      </w:hyperlink>
      <w:r w:rsidR="00F41CD2" w:rsidRPr="00D569F9">
        <w:rPr>
          <w:rFonts w:ascii="Times New Roman" w:hAnsi="Times New Roman"/>
        </w:rPr>
        <w:t xml:space="preserve"> (Haiti), </w:t>
      </w:r>
      <w:hyperlink r:id="rId23" w:history="1">
        <w:r w:rsidR="00F41CD2" w:rsidRPr="00D569F9">
          <w:rPr>
            <w:rStyle w:val="Hyperlink"/>
            <w:rFonts w:ascii="Times New Roman" w:hAnsi="Times New Roman"/>
            <w:i/>
            <w:color w:val="auto"/>
            <w:u w:val="none"/>
          </w:rPr>
          <w:t>External Review and Mid-Term Evaluation of the Project "Afghanistan Access to Justice (AA2J)</w:t>
        </w:r>
      </w:hyperlink>
      <w:r w:rsidR="00F41CD2" w:rsidRPr="00D569F9">
        <w:rPr>
          <w:rFonts w:ascii="Times New Roman" w:hAnsi="Times New Roman"/>
        </w:rPr>
        <w:t xml:space="preserve"> (Afghanistan), </w:t>
      </w:r>
      <w:hyperlink r:id="rId24" w:history="1">
        <w:r w:rsidR="00F41CD2" w:rsidRPr="00D569F9">
          <w:rPr>
            <w:rStyle w:val="Hyperlink"/>
            <w:rFonts w:ascii="Times New Roman" w:hAnsi="Times New Roman"/>
            <w:i/>
            <w:color w:val="auto"/>
            <w:u w:val="none"/>
          </w:rPr>
          <w:t>Improving sustainability of PA system in desert ecosystems through promotion of biodiversity-compatible livelihoods in and around PA evaluation</w:t>
        </w:r>
      </w:hyperlink>
      <w:r w:rsidR="00F41CD2">
        <w:rPr>
          <w:rFonts w:ascii="Times New Roman" w:hAnsi="Times New Roman"/>
        </w:rPr>
        <w:t xml:space="preserve"> (</w:t>
      </w:r>
      <w:r w:rsidR="00F41CD2" w:rsidRPr="00BC61AB">
        <w:rPr>
          <w:rFonts w:ascii="Times New Roman" w:hAnsi="Times New Roman"/>
        </w:rPr>
        <w:t>Kazakhstan</w:t>
      </w:r>
      <w:r w:rsidR="00F41CD2">
        <w:rPr>
          <w:rFonts w:ascii="Times New Roman" w:hAnsi="Times New Roman"/>
        </w:rPr>
        <w:t>)</w:t>
      </w:r>
      <w:r w:rsidR="00F41CD2" w:rsidRPr="00BC61AB">
        <w:rPr>
          <w:rFonts w:ascii="Times New Roman" w:hAnsi="Times New Roman"/>
        </w:rPr>
        <w:t>,</w:t>
      </w:r>
      <w:r w:rsidR="00F41CD2" w:rsidRPr="00F41CD2">
        <w:rPr>
          <w:rFonts w:ascii="Times New Roman" w:hAnsi="Times New Roman"/>
        </w:rPr>
        <w:t xml:space="preserve"> </w:t>
      </w:r>
      <w:r w:rsidR="00F41CD2" w:rsidRPr="00BC61AB">
        <w:rPr>
          <w:rFonts w:ascii="Times New Roman" w:hAnsi="Times New Roman"/>
        </w:rPr>
        <w:t xml:space="preserve">and the </w:t>
      </w:r>
      <w:hyperlink r:id="rId25" w:history="1">
        <w:r w:rsidR="00F41CD2" w:rsidRPr="00BC61AB">
          <w:rPr>
            <w:rStyle w:val="Hyperlink"/>
            <w:rFonts w:ascii="Times New Roman" w:hAnsi="Times New Roman"/>
            <w:i/>
            <w:color w:val="auto"/>
            <w:u w:val="none"/>
          </w:rPr>
          <w:t>Terminal Evaluation of the Strengthening Climate Information and Early Warning Systems project</w:t>
        </w:r>
      </w:hyperlink>
      <w:r w:rsidR="00F41CD2">
        <w:rPr>
          <w:rFonts w:ascii="Times New Roman" w:hAnsi="Times New Roman"/>
        </w:rPr>
        <w:t xml:space="preserve"> (</w:t>
      </w:r>
      <w:r w:rsidR="00F41CD2" w:rsidRPr="00BC61AB">
        <w:rPr>
          <w:rFonts w:ascii="Times New Roman" w:hAnsi="Times New Roman"/>
        </w:rPr>
        <w:t>Malaw</w:t>
      </w:r>
      <w:r w:rsidR="00F41CD2">
        <w:rPr>
          <w:rFonts w:ascii="Times New Roman" w:hAnsi="Times New Roman"/>
        </w:rPr>
        <w:t xml:space="preserve">i). </w:t>
      </w:r>
    </w:p>
    <w:p w14:paraId="66A052A2" w14:textId="77777777" w:rsidR="009347D6" w:rsidRDefault="009347D6" w:rsidP="00D4779D">
      <w:pPr>
        <w:spacing w:after="0" w:line="240" w:lineRule="auto"/>
        <w:jc w:val="both"/>
        <w:rPr>
          <w:rFonts w:ascii="Times New Roman" w:hAnsi="Times New Roman"/>
        </w:rPr>
      </w:pPr>
    </w:p>
    <w:p w14:paraId="2A532D93" w14:textId="0C19ABC5" w:rsidR="00F00A91" w:rsidRDefault="009347D6" w:rsidP="00F00A91">
      <w:pPr>
        <w:spacing w:after="0" w:line="240" w:lineRule="auto"/>
        <w:jc w:val="both"/>
        <w:rPr>
          <w:rFonts w:ascii="Times New Roman" w:hAnsi="Times New Roman"/>
        </w:rPr>
      </w:pPr>
      <w:r>
        <w:rPr>
          <w:rFonts w:ascii="Times New Roman" w:hAnsi="Times New Roman"/>
        </w:rPr>
        <w:t xml:space="preserve">UNDP captures aspects of good practice from decentralized and independent evaluations to learn from and </w:t>
      </w:r>
      <w:r w:rsidR="00136069">
        <w:rPr>
          <w:rFonts w:ascii="Times New Roman" w:hAnsi="Times New Roman"/>
        </w:rPr>
        <w:t>to inform</w:t>
      </w:r>
      <w:r>
        <w:rPr>
          <w:rFonts w:ascii="Times New Roman" w:hAnsi="Times New Roman"/>
        </w:rPr>
        <w:t xml:space="preserve"> decision-making and programming. Examples of good quality evaluations are also referenced in the revised evaluation guidelines. </w:t>
      </w:r>
      <w:r w:rsidR="00F00A91">
        <w:rPr>
          <w:rFonts w:ascii="Times New Roman" w:hAnsi="Times New Roman"/>
        </w:rPr>
        <w:t>UNDP will undertake a detailed analysis of the QA findings, and strengthen</w:t>
      </w:r>
      <w:r w:rsidR="00F00A91">
        <w:rPr>
          <w:rFonts w:ascii="Times New Roman" w:eastAsia="Batang" w:hAnsi="Times New Roman"/>
          <w:lang w:eastAsia="ko-KR"/>
        </w:rPr>
        <w:t xml:space="preserve"> </w:t>
      </w:r>
      <w:r w:rsidR="00F00A91" w:rsidRPr="0032247C">
        <w:rPr>
          <w:rFonts w:ascii="Times New Roman" w:eastAsia="Batang" w:hAnsi="Times New Roman"/>
          <w:lang w:eastAsia="ko-KR"/>
        </w:rPr>
        <w:t>the extraction of</w:t>
      </w:r>
      <w:r w:rsidR="00F00A91" w:rsidRPr="00F5331C">
        <w:rPr>
          <w:rFonts w:ascii="Times New Roman" w:eastAsia="Batang" w:hAnsi="Times New Roman"/>
          <w:lang w:eastAsia="ko-KR"/>
        </w:rPr>
        <w:t xml:space="preserve"> </w:t>
      </w:r>
      <w:r w:rsidR="00F00A91">
        <w:rPr>
          <w:rFonts w:ascii="Times New Roman" w:eastAsia="Batang" w:hAnsi="Times New Roman"/>
          <w:lang w:eastAsia="ko-KR"/>
        </w:rPr>
        <w:t xml:space="preserve">evaluation </w:t>
      </w:r>
      <w:r w:rsidR="00F00A91" w:rsidRPr="00F5331C">
        <w:rPr>
          <w:rFonts w:ascii="Times New Roman" w:eastAsia="Batang" w:hAnsi="Times New Roman"/>
          <w:lang w:eastAsia="ko-KR"/>
        </w:rPr>
        <w:t xml:space="preserve">findings and </w:t>
      </w:r>
      <w:r w:rsidR="00F00A91" w:rsidRPr="00F5331C">
        <w:rPr>
          <w:rFonts w:ascii="Times New Roman" w:hAnsi="Times New Roman"/>
        </w:rPr>
        <w:t>lessons for the whole organization.</w:t>
      </w:r>
    </w:p>
    <w:p w14:paraId="4D23473F" w14:textId="77777777" w:rsidR="00D4779D" w:rsidRPr="0032247C" w:rsidRDefault="00D4779D" w:rsidP="00D4779D">
      <w:pPr>
        <w:spacing w:after="0" w:line="240" w:lineRule="auto"/>
        <w:jc w:val="both"/>
        <w:rPr>
          <w:rFonts w:ascii="Times New Roman" w:hAnsi="Times New Roman"/>
        </w:rPr>
      </w:pPr>
    </w:p>
    <w:p w14:paraId="5D7118B9" w14:textId="0ECE0BAD" w:rsidR="00D4779D" w:rsidRDefault="00D4779D" w:rsidP="00D4779D">
      <w:pPr>
        <w:spacing w:after="0" w:line="240" w:lineRule="auto"/>
        <w:jc w:val="both"/>
        <w:rPr>
          <w:rFonts w:ascii="Times New Roman" w:eastAsia="Batang" w:hAnsi="Times New Roman"/>
          <w:lang w:eastAsia="ko-KR"/>
        </w:rPr>
      </w:pPr>
      <w:r w:rsidRPr="0032247C">
        <w:rPr>
          <w:rFonts w:ascii="Times New Roman" w:eastAsia="Batang" w:hAnsi="Times New Roman"/>
          <w:lang w:eastAsia="ko-KR"/>
        </w:rPr>
        <w:t xml:space="preserve">To address the fact that around 24 percent of the evaluations conducted are of a quality short of UNDP’s minimum standards, UNDP reaffirms its commitment to further strengthen the </w:t>
      </w:r>
      <w:r w:rsidR="0050288E">
        <w:rPr>
          <w:rFonts w:ascii="Times New Roman" w:eastAsia="Batang" w:hAnsi="Times New Roman"/>
          <w:lang w:eastAsia="ko-KR"/>
        </w:rPr>
        <w:t>C</w:t>
      </w:r>
      <w:r w:rsidRPr="0032247C">
        <w:rPr>
          <w:rFonts w:ascii="Times New Roman" w:eastAsia="Batang" w:hAnsi="Times New Roman"/>
          <w:lang w:eastAsia="ko-KR"/>
        </w:rPr>
        <w:t xml:space="preserve">ountry </w:t>
      </w:r>
      <w:r w:rsidR="0050288E">
        <w:rPr>
          <w:rFonts w:ascii="Times New Roman" w:eastAsia="Batang" w:hAnsi="Times New Roman"/>
          <w:lang w:eastAsia="ko-KR"/>
        </w:rPr>
        <w:t>O</w:t>
      </w:r>
      <w:r w:rsidRPr="0032247C">
        <w:rPr>
          <w:rFonts w:ascii="Times New Roman" w:eastAsia="Batang" w:hAnsi="Times New Roman"/>
          <w:lang w:eastAsia="ko-KR"/>
        </w:rPr>
        <w:t>ffice</w:t>
      </w:r>
      <w:r w:rsidR="0050288E">
        <w:rPr>
          <w:rFonts w:ascii="Times New Roman" w:eastAsia="Batang" w:hAnsi="Times New Roman"/>
          <w:lang w:eastAsia="ko-KR"/>
        </w:rPr>
        <w:t xml:space="preserve">, Regional and Central bureaus </w:t>
      </w:r>
      <w:r w:rsidRPr="0032247C">
        <w:rPr>
          <w:rFonts w:ascii="Times New Roman" w:eastAsia="Batang" w:hAnsi="Times New Roman"/>
          <w:lang w:eastAsia="ko-KR"/>
        </w:rPr>
        <w:t>evaluation capacities through training on the revised evaluation guidelines</w:t>
      </w:r>
      <w:r w:rsidR="00AB6A4A">
        <w:rPr>
          <w:rFonts w:ascii="Times New Roman" w:eastAsia="Batang" w:hAnsi="Times New Roman"/>
          <w:lang w:eastAsia="ko-KR"/>
        </w:rPr>
        <w:t xml:space="preserve"> and</w:t>
      </w:r>
      <w:r w:rsidR="007D1E8F">
        <w:rPr>
          <w:rFonts w:ascii="Times New Roman" w:eastAsia="Batang" w:hAnsi="Times New Roman"/>
          <w:lang w:eastAsia="ko-KR"/>
        </w:rPr>
        <w:t xml:space="preserve"> </w:t>
      </w:r>
      <w:r w:rsidR="00AB6A4A">
        <w:rPr>
          <w:rFonts w:ascii="Times New Roman" w:eastAsia="Batang" w:hAnsi="Times New Roman"/>
          <w:lang w:eastAsia="ko-KR"/>
        </w:rPr>
        <w:t xml:space="preserve">international </w:t>
      </w:r>
      <w:r w:rsidR="007D1E8F">
        <w:rPr>
          <w:rFonts w:ascii="Times New Roman" w:eastAsia="Batang" w:hAnsi="Times New Roman"/>
          <w:lang w:eastAsia="ko-KR"/>
        </w:rPr>
        <w:t>norms and standards</w:t>
      </w:r>
      <w:r w:rsidR="0050288E">
        <w:rPr>
          <w:rFonts w:ascii="Times New Roman" w:eastAsia="Batang" w:hAnsi="Times New Roman"/>
          <w:lang w:eastAsia="ko-KR"/>
        </w:rPr>
        <w:t>, more analysis and</w:t>
      </w:r>
      <w:r w:rsidRPr="0032247C">
        <w:rPr>
          <w:rFonts w:ascii="Times New Roman" w:eastAsia="Batang" w:hAnsi="Times New Roman"/>
          <w:lang w:eastAsia="ko-KR"/>
        </w:rPr>
        <w:t xml:space="preserve"> improved quality assurance</w:t>
      </w:r>
      <w:r w:rsidR="0050288E">
        <w:rPr>
          <w:rFonts w:ascii="Times New Roman" w:eastAsia="Batang" w:hAnsi="Times New Roman"/>
          <w:lang w:eastAsia="ko-KR"/>
        </w:rPr>
        <w:t xml:space="preserve"> </w:t>
      </w:r>
      <w:r w:rsidRPr="0032247C">
        <w:rPr>
          <w:rFonts w:ascii="Times New Roman" w:eastAsia="Batang" w:hAnsi="Times New Roman"/>
          <w:lang w:eastAsia="ko-KR"/>
        </w:rPr>
        <w:t xml:space="preserve">and follow-up processes. </w:t>
      </w:r>
    </w:p>
    <w:p w14:paraId="5485AC0D" w14:textId="27264A36" w:rsidR="00492CDB" w:rsidRDefault="00492CDB" w:rsidP="00D4779D">
      <w:pPr>
        <w:spacing w:after="0" w:line="240" w:lineRule="auto"/>
        <w:jc w:val="both"/>
        <w:rPr>
          <w:rFonts w:ascii="Times New Roman" w:hAnsi="Times New Roman"/>
        </w:rPr>
      </w:pPr>
    </w:p>
    <w:p w14:paraId="02F9CB25" w14:textId="396CBD87" w:rsidR="00492CDB" w:rsidRDefault="00492CDB" w:rsidP="00D4779D">
      <w:pPr>
        <w:spacing w:after="0" w:line="240" w:lineRule="auto"/>
        <w:jc w:val="both"/>
        <w:rPr>
          <w:rFonts w:ascii="Times New Roman" w:hAnsi="Times New Roman"/>
        </w:rPr>
      </w:pPr>
      <w:r>
        <w:rPr>
          <w:rFonts w:ascii="Times New Roman" w:hAnsi="Times New Roman"/>
        </w:rPr>
        <w:t xml:space="preserve">When </w:t>
      </w:r>
      <w:r w:rsidR="00BB46AA">
        <w:rPr>
          <w:rFonts w:ascii="Times New Roman" w:hAnsi="Times New Roman"/>
        </w:rPr>
        <w:t>reviewing</w:t>
      </w:r>
      <w:r>
        <w:rPr>
          <w:rFonts w:ascii="Times New Roman" w:hAnsi="Times New Roman"/>
        </w:rPr>
        <w:t xml:space="preserve"> QA data across </w:t>
      </w:r>
      <w:r w:rsidR="00BB46AA" w:rsidRPr="0025294E">
        <w:rPr>
          <w:rFonts w:ascii="Times New Roman" w:hAnsi="Times New Roman"/>
        </w:rPr>
        <w:t>the period 2016-201</w:t>
      </w:r>
      <w:r w:rsidR="003771CD">
        <w:rPr>
          <w:rFonts w:ascii="Times New Roman" w:hAnsi="Times New Roman"/>
        </w:rPr>
        <w:t>8</w:t>
      </w:r>
      <w:r w:rsidR="00BB46AA" w:rsidRPr="0025294E">
        <w:rPr>
          <w:rFonts w:ascii="Times New Roman" w:hAnsi="Times New Roman"/>
        </w:rPr>
        <w:t xml:space="preserve">, it is clear that </w:t>
      </w:r>
      <w:r w:rsidR="00BB2C44">
        <w:rPr>
          <w:rFonts w:ascii="Times New Roman" w:hAnsi="Times New Roman"/>
        </w:rPr>
        <w:t xml:space="preserve">UNDP has improved the quality </w:t>
      </w:r>
      <w:r w:rsidR="001A44B3">
        <w:rPr>
          <w:rFonts w:ascii="Times New Roman" w:hAnsi="Times New Roman"/>
        </w:rPr>
        <w:t>i</w:t>
      </w:r>
      <w:r w:rsidR="00F97005">
        <w:rPr>
          <w:rFonts w:ascii="Times New Roman" w:hAnsi="Times New Roman"/>
        </w:rPr>
        <w:t xml:space="preserve">n three out the four sections highlighted in the graph below. </w:t>
      </w:r>
    </w:p>
    <w:p w14:paraId="6B50A757" w14:textId="1030AED1" w:rsidR="004906B8" w:rsidRDefault="004906B8" w:rsidP="00D4779D">
      <w:pPr>
        <w:spacing w:after="0" w:line="240" w:lineRule="auto"/>
        <w:jc w:val="both"/>
        <w:rPr>
          <w:rFonts w:ascii="Times New Roman" w:hAnsi="Times New Roman"/>
        </w:rPr>
      </w:pPr>
    </w:p>
    <w:p w14:paraId="36AF454B" w14:textId="12C31230" w:rsidR="004906B8" w:rsidRDefault="004906B8" w:rsidP="00D4779D">
      <w:pPr>
        <w:spacing w:after="0" w:line="240" w:lineRule="auto"/>
        <w:jc w:val="both"/>
        <w:rPr>
          <w:rFonts w:ascii="Times New Roman" w:hAnsi="Times New Roman"/>
        </w:rPr>
      </w:pPr>
      <w:r>
        <w:rPr>
          <w:noProof/>
        </w:rPr>
        <w:lastRenderedPageBreak/>
        <w:drawing>
          <wp:inline distT="0" distB="0" distL="0" distR="0" wp14:anchorId="609D66F8" wp14:editId="5CF31FF9">
            <wp:extent cx="6296025" cy="2905125"/>
            <wp:effectExtent l="0" t="0" r="9525" b="9525"/>
            <wp:docPr id="1" name="Chart 1">
              <a:extLst xmlns:a="http://schemas.openxmlformats.org/drawingml/2006/main">
                <a:ext uri="{FF2B5EF4-FFF2-40B4-BE49-F238E27FC236}">
                  <a16:creationId xmlns:a16="http://schemas.microsoft.com/office/drawing/2014/main" id="{06AE1308-68F4-4D0E-BFF0-0696EBD9B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6968058" w14:textId="72E19AB4" w:rsidR="00D4779D" w:rsidRDefault="00D4779D" w:rsidP="00D4779D">
      <w:pPr>
        <w:spacing w:after="0" w:line="240" w:lineRule="auto"/>
        <w:jc w:val="both"/>
        <w:rPr>
          <w:rFonts w:ascii="Times New Roman" w:hAnsi="Times New Roman"/>
          <w:highlight w:val="yellow"/>
        </w:rPr>
      </w:pPr>
    </w:p>
    <w:p w14:paraId="180FB37C" w14:textId="5529ED25" w:rsidR="00100803" w:rsidRPr="003771CD" w:rsidRDefault="00F97005" w:rsidP="00D4779D">
      <w:pPr>
        <w:spacing w:after="0" w:line="240" w:lineRule="auto"/>
        <w:jc w:val="both"/>
        <w:rPr>
          <w:rFonts w:ascii="Times New Roman" w:hAnsi="Times New Roman"/>
        </w:rPr>
      </w:pPr>
      <w:r>
        <w:rPr>
          <w:rFonts w:ascii="Times New Roman" w:hAnsi="Times New Roman"/>
        </w:rPr>
        <w:t>Areas of strength include</w:t>
      </w:r>
      <w:r w:rsidR="00904684" w:rsidRPr="003771CD">
        <w:rPr>
          <w:rFonts w:ascii="Times New Roman" w:hAnsi="Times New Roman"/>
        </w:rPr>
        <w:t xml:space="preserve"> </w:t>
      </w:r>
      <w:r w:rsidR="00A475D4" w:rsidRPr="003771CD">
        <w:rPr>
          <w:rFonts w:ascii="Times New Roman" w:hAnsi="Times New Roman"/>
        </w:rPr>
        <w:t>developing TORs that outline the focus, detail</w:t>
      </w:r>
      <w:r w:rsidR="00B6774A">
        <w:rPr>
          <w:rFonts w:ascii="Times New Roman" w:hAnsi="Times New Roman"/>
        </w:rPr>
        <w:t xml:space="preserve"> the</w:t>
      </w:r>
      <w:r w:rsidR="00A475D4" w:rsidRPr="003771CD">
        <w:rPr>
          <w:rFonts w:ascii="Times New Roman" w:hAnsi="Times New Roman"/>
        </w:rPr>
        <w:t xml:space="preserve"> timelines and </w:t>
      </w:r>
      <w:r w:rsidR="00B6774A">
        <w:rPr>
          <w:rFonts w:ascii="Times New Roman" w:hAnsi="Times New Roman"/>
        </w:rPr>
        <w:t xml:space="preserve">describe the </w:t>
      </w:r>
      <w:r w:rsidR="00A475D4" w:rsidRPr="003771CD">
        <w:rPr>
          <w:rFonts w:ascii="Times New Roman" w:hAnsi="Times New Roman"/>
        </w:rPr>
        <w:t>planned approaches. E</w:t>
      </w:r>
      <w:r w:rsidR="00904684" w:rsidRPr="003771CD">
        <w:rPr>
          <w:rFonts w:ascii="Times New Roman" w:hAnsi="Times New Roman"/>
        </w:rPr>
        <w:t>valuation reports</w:t>
      </w:r>
      <w:r w:rsidR="00A475D4" w:rsidRPr="003771CD">
        <w:rPr>
          <w:rFonts w:ascii="Times New Roman" w:hAnsi="Times New Roman"/>
        </w:rPr>
        <w:t xml:space="preserve"> are often good at</w:t>
      </w:r>
      <w:r w:rsidR="00904684" w:rsidRPr="003771CD">
        <w:rPr>
          <w:rFonts w:ascii="Times New Roman" w:hAnsi="Times New Roman"/>
        </w:rPr>
        <w:t xml:space="preserve"> address</w:t>
      </w:r>
      <w:r w:rsidR="00A475D4" w:rsidRPr="003771CD">
        <w:rPr>
          <w:rFonts w:ascii="Times New Roman" w:hAnsi="Times New Roman"/>
        </w:rPr>
        <w:t>ing</w:t>
      </w:r>
      <w:r w:rsidR="00904684" w:rsidRPr="003771CD">
        <w:rPr>
          <w:rFonts w:ascii="Times New Roman" w:hAnsi="Times New Roman"/>
        </w:rPr>
        <w:t xml:space="preserve"> </w:t>
      </w:r>
      <w:r w:rsidR="00B6774A">
        <w:rPr>
          <w:rFonts w:ascii="Times New Roman" w:hAnsi="Times New Roman"/>
        </w:rPr>
        <w:t xml:space="preserve">the </w:t>
      </w:r>
      <w:r w:rsidR="00904684" w:rsidRPr="003771CD">
        <w:rPr>
          <w:rFonts w:ascii="Times New Roman" w:hAnsi="Times New Roman"/>
        </w:rPr>
        <w:t xml:space="preserve">objectives outlined in TORs, draw linkages to national government strategies and plans, </w:t>
      </w:r>
      <w:r w:rsidR="00A475D4" w:rsidRPr="003771CD">
        <w:rPr>
          <w:rFonts w:ascii="Times New Roman" w:hAnsi="Times New Roman"/>
        </w:rPr>
        <w:t>and provid</w:t>
      </w:r>
      <w:r w:rsidR="00B6774A">
        <w:rPr>
          <w:rFonts w:ascii="Times New Roman" w:hAnsi="Times New Roman"/>
        </w:rPr>
        <w:t>e</w:t>
      </w:r>
      <w:r w:rsidR="00A475D4" w:rsidRPr="003771CD">
        <w:rPr>
          <w:rFonts w:ascii="Times New Roman" w:hAnsi="Times New Roman"/>
        </w:rPr>
        <w:t xml:space="preserve"> concise and logical findings. </w:t>
      </w:r>
      <w:r>
        <w:rPr>
          <w:rFonts w:ascii="Times New Roman" w:hAnsi="Times New Roman"/>
        </w:rPr>
        <w:t>While</w:t>
      </w:r>
      <w:r w:rsidR="00F81057">
        <w:rPr>
          <w:rFonts w:ascii="Times New Roman" w:hAnsi="Times New Roman"/>
        </w:rPr>
        <w:t xml:space="preserve"> the</w:t>
      </w:r>
      <w:r>
        <w:rPr>
          <w:rFonts w:ascii="Times New Roman" w:hAnsi="Times New Roman"/>
        </w:rPr>
        <w:t xml:space="preserve"> quality in addressing cross-cutting issues has improved (up from 53 to 60 </w:t>
      </w:r>
      <w:r w:rsidRPr="003C0227">
        <w:rPr>
          <w:rFonts w:ascii="Times New Roman" w:hAnsi="Times New Roman"/>
        </w:rPr>
        <w:t xml:space="preserve">percent) </w:t>
      </w:r>
      <w:r w:rsidR="003C0227" w:rsidRPr="003C0227">
        <w:rPr>
          <w:rFonts w:ascii="Times New Roman" w:hAnsi="Times New Roman"/>
        </w:rPr>
        <w:t xml:space="preserve">more </w:t>
      </w:r>
      <w:r w:rsidR="002E5524" w:rsidRPr="003C0227">
        <w:rPr>
          <w:rFonts w:ascii="Times New Roman" w:hAnsi="Times New Roman"/>
        </w:rPr>
        <w:t>is needed</w:t>
      </w:r>
      <w:r w:rsidR="00904684" w:rsidRPr="003C0227">
        <w:rPr>
          <w:rFonts w:ascii="Times New Roman" w:hAnsi="Times New Roman"/>
        </w:rPr>
        <w:t xml:space="preserve"> to ensur</w:t>
      </w:r>
      <w:r w:rsidRPr="003C0227">
        <w:rPr>
          <w:rFonts w:ascii="Times New Roman" w:hAnsi="Times New Roman"/>
        </w:rPr>
        <w:t>e</w:t>
      </w:r>
      <w:r w:rsidR="00904684" w:rsidRPr="003771CD">
        <w:rPr>
          <w:rFonts w:ascii="Times New Roman" w:hAnsi="Times New Roman"/>
        </w:rPr>
        <w:t xml:space="preserve"> that evaluations use gender-responsive methodologies and criteria and evaluation </w:t>
      </w:r>
      <w:r w:rsidR="00A475D4" w:rsidRPr="003771CD">
        <w:rPr>
          <w:rFonts w:ascii="Times New Roman" w:hAnsi="Times New Roman"/>
        </w:rPr>
        <w:t>q</w:t>
      </w:r>
      <w:r w:rsidR="00904684" w:rsidRPr="003771CD">
        <w:rPr>
          <w:rFonts w:ascii="Times New Roman" w:hAnsi="Times New Roman"/>
        </w:rPr>
        <w:t xml:space="preserve">uestions that specifically address how </w:t>
      </w:r>
      <w:r w:rsidR="003F6E22" w:rsidRPr="003771CD">
        <w:rPr>
          <w:rFonts w:ascii="Times New Roman" w:hAnsi="Times New Roman"/>
        </w:rPr>
        <w:t xml:space="preserve">gender equality and </w:t>
      </w:r>
      <w:r w:rsidR="003771CD" w:rsidRPr="003771CD">
        <w:rPr>
          <w:rFonts w:ascii="Times New Roman" w:hAnsi="Times New Roman"/>
        </w:rPr>
        <w:t xml:space="preserve">the empowerment of women </w:t>
      </w:r>
      <w:r w:rsidR="00904684" w:rsidRPr="003771CD">
        <w:rPr>
          <w:rFonts w:ascii="Times New Roman" w:hAnsi="Times New Roman"/>
        </w:rPr>
        <w:t>has been integrated into the design, planning, implementation of the intervention and the results achieved, draw linkages to the SDGs and include discussion on risks.</w:t>
      </w:r>
      <w:r w:rsidR="00A475D4" w:rsidRPr="003771CD">
        <w:rPr>
          <w:rFonts w:ascii="Times New Roman" w:hAnsi="Times New Roman"/>
        </w:rPr>
        <w:t xml:space="preserve"> </w:t>
      </w:r>
      <w:r w:rsidR="003771CD">
        <w:rPr>
          <w:rFonts w:ascii="Times New Roman" w:hAnsi="Times New Roman"/>
        </w:rPr>
        <w:t>QA</w:t>
      </w:r>
      <w:r w:rsidR="003B6B79" w:rsidRPr="003771CD">
        <w:rPr>
          <w:rFonts w:ascii="Times New Roman" w:hAnsi="Times New Roman"/>
        </w:rPr>
        <w:t xml:space="preserve"> reports for low quality evaluations often </w:t>
      </w:r>
      <w:r w:rsidR="00F81057">
        <w:rPr>
          <w:rFonts w:ascii="Times New Roman" w:hAnsi="Times New Roman"/>
        </w:rPr>
        <w:t xml:space="preserve">also </w:t>
      </w:r>
      <w:r w:rsidR="003B6B79" w:rsidRPr="003771CD">
        <w:rPr>
          <w:rFonts w:ascii="Times New Roman" w:hAnsi="Times New Roman"/>
        </w:rPr>
        <w:t>highlight the need to provide more detail</w:t>
      </w:r>
      <w:r w:rsidR="00B6774A">
        <w:rPr>
          <w:rFonts w:ascii="Times New Roman" w:hAnsi="Times New Roman"/>
        </w:rPr>
        <w:t>ed</w:t>
      </w:r>
      <w:r w:rsidR="0046670D" w:rsidRPr="003771CD">
        <w:rPr>
          <w:rFonts w:ascii="Times New Roman" w:hAnsi="Times New Roman"/>
        </w:rPr>
        <w:t xml:space="preserve"> explanation</w:t>
      </w:r>
      <w:r w:rsidR="003B6B79" w:rsidRPr="003771CD">
        <w:rPr>
          <w:rFonts w:ascii="Times New Roman" w:hAnsi="Times New Roman"/>
        </w:rPr>
        <w:t>s</w:t>
      </w:r>
      <w:r w:rsidR="0046670D" w:rsidRPr="003771CD">
        <w:rPr>
          <w:rFonts w:ascii="Times New Roman" w:hAnsi="Times New Roman"/>
        </w:rPr>
        <w:t xml:space="preserve"> of the project</w:t>
      </w:r>
      <w:r w:rsidR="00B6774A">
        <w:rPr>
          <w:rFonts w:ascii="Times New Roman" w:hAnsi="Times New Roman"/>
        </w:rPr>
        <w:t>s</w:t>
      </w:r>
      <w:r w:rsidR="00A56758" w:rsidRPr="003771CD">
        <w:rPr>
          <w:rFonts w:ascii="Times New Roman" w:hAnsi="Times New Roman"/>
        </w:rPr>
        <w:t xml:space="preserve">, </w:t>
      </w:r>
      <w:r w:rsidR="003B6B79" w:rsidRPr="003771CD">
        <w:rPr>
          <w:rFonts w:ascii="Times New Roman" w:hAnsi="Times New Roman"/>
        </w:rPr>
        <w:t xml:space="preserve">as well as </w:t>
      </w:r>
      <w:r w:rsidR="008A60DC" w:rsidRPr="003771CD">
        <w:rPr>
          <w:rFonts w:ascii="Times New Roman" w:hAnsi="Times New Roman"/>
        </w:rPr>
        <w:t xml:space="preserve">the </w:t>
      </w:r>
      <w:r w:rsidR="006C25DB" w:rsidRPr="003771CD">
        <w:rPr>
          <w:rFonts w:ascii="Times New Roman" w:hAnsi="Times New Roman"/>
        </w:rPr>
        <w:t>m</w:t>
      </w:r>
      <w:r w:rsidR="00B01535" w:rsidRPr="003771CD">
        <w:rPr>
          <w:rFonts w:ascii="Times New Roman" w:hAnsi="Times New Roman"/>
        </w:rPr>
        <w:t>ethodolog</w:t>
      </w:r>
      <w:r w:rsidR="008A60DC" w:rsidRPr="003771CD">
        <w:rPr>
          <w:rFonts w:ascii="Times New Roman" w:hAnsi="Times New Roman"/>
        </w:rPr>
        <w:t>ical approac</w:t>
      </w:r>
      <w:r w:rsidR="003B6B79" w:rsidRPr="003771CD">
        <w:rPr>
          <w:rFonts w:ascii="Times New Roman" w:hAnsi="Times New Roman"/>
        </w:rPr>
        <w:t>h</w:t>
      </w:r>
      <w:r w:rsidR="00B6774A">
        <w:rPr>
          <w:rFonts w:ascii="Times New Roman" w:hAnsi="Times New Roman"/>
        </w:rPr>
        <w:t xml:space="preserve"> </w:t>
      </w:r>
      <w:r w:rsidR="00AB534F" w:rsidRPr="003771CD">
        <w:rPr>
          <w:rFonts w:ascii="Times New Roman" w:hAnsi="Times New Roman"/>
        </w:rPr>
        <w:t>and analysis</w:t>
      </w:r>
      <w:r w:rsidR="008253A9" w:rsidRPr="003771CD">
        <w:rPr>
          <w:rFonts w:ascii="Times New Roman" w:hAnsi="Times New Roman"/>
        </w:rPr>
        <w:t xml:space="preserve">. </w:t>
      </w:r>
    </w:p>
    <w:p w14:paraId="7258EDA6" w14:textId="77777777" w:rsidR="00F97005" w:rsidRDefault="00F97005" w:rsidP="00D4779D">
      <w:pPr>
        <w:spacing w:after="0" w:line="240" w:lineRule="auto"/>
        <w:jc w:val="both"/>
        <w:rPr>
          <w:rFonts w:ascii="Times New Roman" w:hAnsi="Times New Roman"/>
          <w:b/>
        </w:rPr>
      </w:pPr>
    </w:p>
    <w:p w14:paraId="38AAF3EB" w14:textId="09338586" w:rsidR="00D4779D" w:rsidRDefault="00D4779D" w:rsidP="00D4779D">
      <w:pPr>
        <w:spacing w:after="0" w:line="240" w:lineRule="auto"/>
        <w:jc w:val="both"/>
        <w:rPr>
          <w:rFonts w:ascii="Times New Roman" w:hAnsi="Times New Roman"/>
          <w:b/>
        </w:rPr>
      </w:pPr>
      <w:r w:rsidRPr="005622BE">
        <w:rPr>
          <w:rFonts w:ascii="Times New Roman" w:hAnsi="Times New Roman"/>
          <w:b/>
        </w:rPr>
        <w:t>Investment in evaluation</w:t>
      </w:r>
    </w:p>
    <w:p w14:paraId="189629CB" w14:textId="77777777" w:rsidR="000A5CDE" w:rsidRDefault="000A5CDE" w:rsidP="00D4779D">
      <w:pPr>
        <w:spacing w:after="0" w:line="240" w:lineRule="auto"/>
        <w:jc w:val="both"/>
        <w:rPr>
          <w:rFonts w:ascii="Times New Roman" w:hAnsi="Times New Roman"/>
          <w:b/>
        </w:rPr>
      </w:pPr>
    </w:p>
    <w:p w14:paraId="115C591D" w14:textId="0B5B9445" w:rsidR="00D4779D" w:rsidRDefault="00D4779D" w:rsidP="00D4779D">
      <w:pPr>
        <w:spacing w:after="0" w:line="240" w:lineRule="auto"/>
        <w:jc w:val="both"/>
        <w:rPr>
          <w:rFonts w:ascii="Times New Roman" w:eastAsia="Batang" w:hAnsi="Times New Roman"/>
          <w:lang w:eastAsia="ko-KR"/>
        </w:rPr>
      </w:pPr>
      <w:r>
        <w:rPr>
          <w:rFonts w:ascii="Times New Roman" w:eastAsia="Batang" w:hAnsi="Times New Roman"/>
          <w:lang w:eastAsia="ko-KR"/>
        </w:rPr>
        <w:t xml:space="preserve">UNDP’s financial investment in the evaluation function continues to increase. The total </w:t>
      </w:r>
      <w:r w:rsidR="000B43DA">
        <w:rPr>
          <w:rFonts w:ascii="Times New Roman" w:eastAsia="Batang" w:hAnsi="Times New Roman"/>
          <w:lang w:eastAsia="ko-KR"/>
        </w:rPr>
        <w:t xml:space="preserve">2018 </w:t>
      </w:r>
      <w:r>
        <w:rPr>
          <w:rFonts w:ascii="Times New Roman" w:eastAsia="Batang" w:hAnsi="Times New Roman"/>
          <w:lang w:eastAsia="ko-KR"/>
        </w:rPr>
        <w:t xml:space="preserve">expenditures </w:t>
      </w:r>
      <w:r w:rsidR="000B43DA">
        <w:rPr>
          <w:rFonts w:ascii="Times New Roman" w:eastAsia="Batang" w:hAnsi="Times New Roman"/>
          <w:lang w:eastAsia="ko-KR"/>
        </w:rPr>
        <w:t xml:space="preserve">on evaluation across the organization </w:t>
      </w:r>
      <w:r>
        <w:rPr>
          <w:rFonts w:ascii="Times New Roman" w:eastAsia="Batang" w:hAnsi="Times New Roman"/>
          <w:lang w:eastAsia="ko-KR"/>
        </w:rPr>
        <w:t>of $22.08 million</w:t>
      </w:r>
      <w:r w:rsidR="000B43DA">
        <w:rPr>
          <w:rFonts w:ascii="Times New Roman" w:eastAsia="Batang" w:hAnsi="Times New Roman"/>
          <w:lang w:eastAsia="ko-KR"/>
        </w:rPr>
        <w:t xml:space="preserve"> indicates </w:t>
      </w:r>
      <w:r>
        <w:rPr>
          <w:rFonts w:ascii="Times New Roman" w:eastAsia="Batang" w:hAnsi="Times New Roman"/>
          <w:lang w:eastAsia="ko-KR"/>
        </w:rPr>
        <w:t xml:space="preserve">an increase </w:t>
      </w:r>
      <w:r w:rsidR="001560C2">
        <w:rPr>
          <w:rFonts w:ascii="Times New Roman" w:eastAsia="Batang" w:hAnsi="Times New Roman"/>
          <w:lang w:eastAsia="ko-KR"/>
        </w:rPr>
        <w:t xml:space="preserve">of </w:t>
      </w:r>
      <w:r>
        <w:rPr>
          <w:rFonts w:ascii="Times New Roman" w:eastAsia="Batang" w:hAnsi="Times New Roman"/>
          <w:lang w:eastAsia="ko-KR"/>
        </w:rPr>
        <w:t>11</w:t>
      </w:r>
      <w:r w:rsidR="005D4755">
        <w:rPr>
          <w:rFonts w:ascii="Times New Roman" w:eastAsia="Batang" w:hAnsi="Times New Roman"/>
          <w:lang w:eastAsia="ko-KR"/>
        </w:rPr>
        <w:t xml:space="preserve"> percent</w:t>
      </w:r>
      <w:r>
        <w:rPr>
          <w:rFonts w:ascii="Times New Roman" w:eastAsia="Batang" w:hAnsi="Times New Roman"/>
          <w:lang w:eastAsia="ko-KR"/>
        </w:rPr>
        <w:t xml:space="preserve"> compared with 2016 when UNDP spent $19.85 million on evaluation. UNDP</w:t>
      </w:r>
      <w:r w:rsidR="004C7870">
        <w:rPr>
          <w:rFonts w:ascii="Times New Roman" w:eastAsia="Batang" w:hAnsi="Times New Roman"/>
          <w:lang w:eastAsia="ko-KR"/>
        </w:rPr>
        <w:t xml:space="preserve">’s </w:t>
      </w:r>
      <w:r>
        <w:rPr>
          <w:rFonts w:ascii="Times New Roman" w:eastAsia="Batang" w:hAnsi="Times New Roman"/>
          <w:lang w:eastAsia="ko-KR"/>
        </w:rPr>
        <w:t xml:space="preserve">allocation to the IEO </w:t>
      </w:r>
      <w:r w:rsidR="004C7870">
        <w:rPr>
          <w:rFonts w:ascii="Times New Roman" w:eastAsia="Batang" w:hAnsi="Times New Roman"/>
          <w:lang w:eastAsia="ko-KR"/>
        </w:rPr>
        <w:t>continued to be</w:t>
      </w:r>
      <w:r>
        <w:rPr>
          <w:rFonts w:ascii="Times New Roman" w:eastAsia="Batang" w:hAnsi="Times New Roman"/>
          <w:lang w:eastAsia="ko-KR"/>
        </w:rPr>
        <w:t xml:space="preserve"> in line with the 0.2 percent </w:t>
      </w:r>
      <w:r w:rsidR="001560C2">
        <w:rPr>
          <w:rFonts w:ascii="Times New Roman" w:eastAsia="Batang" w:hAnsi="Times New Roman"/>
          <w:lang w:eastAsia="ko-KR"/>
        </w:rPr>
        <w:t>of core a</w:t>
      </w:r>
      <w:r w:rsidR="00876AB3">
        <w:rPr>
          <w:rFonts w:ascii="Times New Roman" w:eastAsia="Batang" w:hAnsi="Times New Roman"/>
          <w:lang w:eastAsia="ko-KR"/>
        </w:rPr>
        <w:t>n</w:t>
      </w:r>
      <w:r w:rsidR="001560C2">
        <w:rPr>
          <w:rFonts w:ascii="Times New Roman" w:eastAsia="Batang" w:hAnsi="Times New Roman"/>
          <w:lang w:eastAsia="ko-KR"/>
        </w:rPr>
        <w:t xml:space="preserve">d non-core programmatic resources </w:t>
      </w:r>
      <w:r>
        <w:rPr>
          <w:rFonts w:ascii="Times New Roman" w:eastAsia="Batang" w:hAnsi="Times New Roman"/>
          <w:lang w:eastAsia="ko-KR"/>
        </w:rPr>
        <w:t xml:space="preserve">financial commitment. </w:t>
      </w:r>
    </w:p>
    <w:p w14:paraId="1ED35FBD" w14:textId="77777777" w:rsidR="00D4779D" w:rsidRDefault="00D4779D" w:rsidP="00D4779D">
      <w:pPr>
        <w:spacing w:after="0"/>
        <w:jc w:val="both"/>
        <w:rPr>
          <w:rFonts w:ascii="Times New Roman" w:eastAsia="Batang" w:hAnsi="Times New Roman"/>
          <w:lang w:eastAsia="ko-KR"/>
        </w:rPr>
      </w:pPr>
    </w:p>
    <w:p w14:paraId="2E0CA3F6" w14:textId="77777777" w:rsidR="00D4779D" w:rsidRDefault="00D4779D" w:rsidP="00D4779D">
      <w:pPr>
        <w:spacing w:after="0"/>
        <w:jc w:val="center"/>
        <w:rPr>
          <w:rFonts w:ascii="Times New Roman" w:eastAsia="Batang" w:hAnsi="Times New Roman"/>
          <w:lang w:eastAsia="ko-KR"/>
        </w:rPr>
      </w:pPr>
      <w:r>
        <w:rPr>
          <w:rFonts w:ascii="Times New Roman" w:eastAsia="Batang" w:hAnsi="Times New Roman"/>
          <w:noProof/>
          <w:lang w:eastAsia="ko-KR"/>
        </w:rPr>
        <w:lastRenderedPageBreak/>
        <w:drawing>
          <wp:inline distT="0" distB="0" distL="0" distR="0" wp14:anchorId="004C9229" wp14:editId="02406E43">
            <wp:extent cx="4648200" cy="250825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5FAE717" w14:textId="77777777" w:rsidR="00D4779D" w:rsidRDefault="00D4779D" w:rsidP="00D4779D">
      <w:pPr>
        <w:spacing w:after="0"/>
        <w:jc w:val="both"/>
        <w:rPr>
          <w:rFonts w:ascii="Times New Roman" w:eastAsia="Batang" w:hAnsi="Times New Roman"/>
          <w:lang w:eastAsia="ko-KR"/>
        </w:rPr>
      </w:pPr>
    </w:p>
    <w:p w14:paraId="75802535" w14:textId="6354B84F" w:rsidR="00D4779D" w:rsidRPr="00261BD9" w:rsidRDefault="001560C2" w:rsidP="00D4779D">
      <w:pPr>
        <w:spacing w:after="0" w:line="240" w:lineRule="auto"/>
        <w:jc w:val="both"/>
        <w:rPr>
          <w:rFonts w:ascii="Times New Roman" w:eastAsia="Times New Roman" w:hAnsi="Times New Roman"/>
        </w:rPr>
      </w:pPr>
      <w:r>
        <w:rPr>
          <w:rFonts w:ascii="Times New Roman" w:eastAsia="Times New Roman" w:hAnsi="Times New Roman"/>
        </w:rPr>
        <w:t>H</w:t>
      </w:r>
      <w:r w:rsidR="00D4779D" w:rsidRPr="00261BD9">
        <w:rPr>
          <w:rFonts w:ascii="Times New Roman" w:eastAsia="Times New Roman" w:hAnsi="Times New Roman"/>
        </w:rPr>
        <w:t xml:space="preserve">igh-quality evaluations that are successfully undertaken and generate useful insights require an adequate investment of human and financial resources. </w:t>
      </w:r>
      <w:r w:rsidR="00D4779D" w:rsidRPr="00075281">
        <w:rPr>
          <w:rFonts w:ascii="Times New Roman" w:eastAsia="Times New Roman" w:hAnsi="Times New Roman"/>
        </w:rPr>
        <w:t>As allocations for decentralized evaluations are included in programme and project budgets, UNDP does not have a corporate ‘budget line’</w:t>
      </w:r>
      <w:r w:rsidR="00A27187">
        <w:rPr>
          <w:rFonts w:ascii="Times New Roman" w:eastAsia="Times New Roman" w:hAnsi="Times New Roman"/>
        </w:rPr>
        <w:t xml:space="preserve">, which makes </w:t>
      </w:r>
      <w:r w:rsidR="00D4779D" w:rsidRPr="00261BD9">
        <w:rPr>
          <w:rFonts w:ascii="Times New Roman" w:hAnsi="Times New Roman"/>
        </w:rPr>
        <w:t xml:space="preserve">it is difficult for the organization to influence the expenditures. Through capacity building and the revised evaluation </w:t>
      </w:r>
      <w:r w:rsidR="00D4779D" w:rsidRPr="005403CF">
        <w:rPr>
          <w:rFonts w:ascii="Times New Roman" w:hAnsi="Times New Roman"/>
        </w:rPr>
        <w:t xml:space="preserve">guidelines, UNDP </w:t>
      </w:r>
      <w:r w:rsidR="009F3F5A" w:rsidRPr="005403CF">
        <w:rPr>
          <w:rFonts w:ascii="Times New Roman" w:hAnsi="Times New Roman"/>
        </w:rPr>
        <w:t>is</w:t>
      </w:r>
      <w:r w:rsidR="00D4779D" w:rsidRPr="005403CF">
        <w:rPr>
          <w:rFonts w:ascii="Times New Roman" w:hAnsi="Times New Roman"/>
        </w:rPr>
        <w:t xml:space="preserve"> </w:t>
      </w:r>
      <w:r w:rsidR="003C0227" w:rsidRPr="005403CF">
        <w:rPr>
          <w:rFonts w:ascii="Times New Roman" w:hAnsi="Times New Roman"/>
        </w:rPr>
        <w:t xml:space="preserve">stressing </w:t>
      </w:r>
      <w:r w:rsidR="005403CF" w:rsidRPr="005403CF">
        <w:rPr>
          <w:rFonts w:ascii="Times New Roman" w:hAnsi="Times New Roman"/>
        </w:rPr>
        <w:t xml:space="preserve">to offices </w:t>
      </w:r>
      <w:r w:rsidR="000C5A84" w:rsidRPr="005403CF">
        <w:rPr>
          <w:rFonts w:ascii="Times New Roman" w:hAnsi="Times New Roman"/>
        </w:rPr>
        <w:t>the need</w:t>
      </w:r>
      <w:r w:rsidR="000C5A84" w:rsidRPr="000C5A84">
        <w:rPr>
          <w:rFonts w:ascii="Times New Roman" w:hAnsi="Times New Roman"/>
        </w:rPr>
        <w:t xml:space="preserve"> </w:t>
      </w:r>
      <w:r w:rsidR="00D4779D" w:rsidRPr="000C5A84">
        <w:rPr>
          <w:rFonts w:ascii="Times New Roman" w:hAnsi="Times New Roman"/>
        </w:rPr>
        <w:t xml:space="preserve">for strategic, </w:t>
      </w:r>
      <w:r w:rsidR="00A27187" w:rsidRPr="000C5A84">
        <w:rPr>
          <w:rFonts w:ascii="Times New Roman" w:hAnsi="Times New Roman"/>
        </w:rPr>
        <w:t>well</w:t>
      </w:r>
      <w:r w:rsidR="00A27187" w:rsidRPr="00261BD9">
        <w:rPr>
          <w:rFonts w:ascii="Times New Roman" w:hAnsi="Times New Roman"/>
        </w:rPr>
        <w:t>-resource</w:t>
      </w:r>
      <w:r w:rsidR="00A27187">
        <w:rPr>
          <w:rFonts w:ascii="Times New Roman" w:hAnsi="Times New Roman"/>
        </w:rPr>
        <w:t>d</w:t>
      </w:r>
      <w:r w:rsidR="00D4779D" w:rsidRPr="00261BD9">
        <w:rPr>
          <w:rFonts w:ascii="Times New Roman" w:hAnsi="Times New Roman"/>
        </w:rPr>
        <w:t xml:space="preserve"> evaluations </w:t>
      </w:r>
      <w:r w:rsidR="00A27187">
        <w:rPr>
          <w:rFonts w:ascii="Times New Roman" w:hAnsi="Times New Roman"/>
        </w:rPr>
        <w:t>that will</w:t>
      </w:r>
      <w:r w:rsidR="00D4779D" w:rsidRPr="00261BD9">
        <w:rPr>
          <w:rFonts w:ascii="Times New Roman" w:hAnsi="Times New Roman"/>
        </w:rPr>
        <w:t xml:space="preserve"> provid</w:t>
      </w:r>
      <w:r w:rsidR="00A27187">
        <w:rPr>
          <w:rFonts w:ascii="Times New Roman" w:hAnsi="Times New Roman"/>
        </w:rPr>
        <w:t>e</w:t>
      </w:r>
      <w:r w:rsidR="00D4779D" w:rsidRPr="00261BD9">
        <w:rPr>
          <w:rFonts w:ascii="Times New Roman" w:hAnsi="Times New Roman"/>
        </w:rPr>
        <w:t xml:space="preserve"> value for money</w:t>
      </w:r>
      <w:r w:rsidR="00A27187">
        <w:rPr>
          <w:rFonts w:ascii="Times New Roman" w:hAnsi="Times New Roman"/>
        </w:rPr>
        <w:t xml:space="preserve">. </w:t>
      </w:r>
    </w:p>
    <w:p w14:paraId="767428D7" w14:textId="77777777" w:rsidR="003670FB" w:rsidRDefault="003670FB" w:rsidP="00D4779D">
      <w:pPr>
        <w:spacing w:after="0" w:line="240" w:lineRule="auto"/>
        <w:rPr>
          <w:rFonts w:ascii="Times New Roman" w:eastAsia="Times New Roman,Batang" w:hAnsi="Times New Roman"/>
          <w:b/>
          <w:u w:val="single"/>
          <w:lang w:eastAsia="ko-KR"/>
        </w:rPr>
      </w:pPr>
    </w:p>
    <w:p w14:paraId="793967BD" w14:textId="4378F51C" w:rsidR="00D4779D" w:rsidRDefault="002F5239" w:rsidP="00D4779D">
      <w:pPr>
        <w:spacing w:after="0" w:line="240" w:lineRule="auto"/>
        <w:rPr>
          <w:rFonts w:ascii="Times New Roman" w:eastAsia="Times New Roman,Batang" w:hAnsi="Times New Roman"/>
          <w:b/>
          <w:lang w:eastAsia="ko-KR"/>
        </w:rPr>
      </w:pPr>
      <w:r>
        <w:rPr>
          <w:rFonts w:ascii="Times New Roman" w:eastAsia="Times New Roman,Batang" w:hAnsi="Times New Roman"/>
          <w:b/>
          <w:lang w:eastAsia="ko-KR"/>
        </w:rPr>
        <w:t>Evaluation plan</w:t>
      </w:r>
      <w:r w:rsidR="00D4779D" w:rsidRPr="002F5239">
        <w:rPr>
          <w:rFonts w:ascii="Times New Roman" w:eastAsia="Times New Roman,Batang" w:hAnsi="Times New Roman"/>
          <w:b/>
          <w:lang w:eastAsia="ko-KR"/>
        </w:rPr>
        <w:t xml:space="preserve"> implementation</w:t>
      </w:r>
    </w:p>
    <w:p w14:paraId="12600885" w14:textId="77777777" w:rsidR="000A5CDE" w:rsidRDefault="000A5CDE" w:rsidP="00D4779D">
      <w:pPr>
        <w:spacing w:after="0" w:line="240" w:lineRule="auto"/>
        <w:rPr>
          <w:rFonts w:ascii="Times New Roman" w:eastAsia="Times New Roman,Batang" w:hAnsi="Times New Roman"/>
          <w:b/>
          <w:lang w:eastAsia="ko-KR"/>
        </w:rPr>
      </w:pPr>
    </w:p>
    <w:p w14:paraId="5B978AC6" w14:textId="2B45A1E6" w:rsidR="00D4779D" w:rsidRDefault="00D4779D" w:rsidP="00D4779D">
      <w:pPr>
        <w:spacing w:after="0" w:line="240" w:lineRule="auto"/>
        <w:jc w:val="both"/>
        <w:rPr>
          <w:rFonts w:ascii="Times New Roman" w:hAnsi="Times New Roman"/>
        </w:rPr>
      </w:pPr>
      <w:r w:rsidRPr="00637729">
        <w:rPr>
          <w:rFonts w:ascii="Times New Roman" w:eastAsia="Times New Roman,Batang" w:hAnsi="Times New Roman"/>
          <w:lang w:eastAsia="ko-KR"/>
        </w:rPr>
        <w:t xml:space="preserve">UNDP </w:t>
      </w:r>
      <w:r w:rsidR="004B7536" w:rsidRPr="00637729">
        <w:rPr>
          <w:rFonts w:ascii="Times New Roman" w:eastAsia="Times New Roman,Batang" w:hAnsi="Times New Roman"/>
          <w:lang w:eastAsia="ko-KR"/>
        </w:rPr>
        <w:t>acknowledge</w:t>
      </w:r>
      <w:r w:rsidR="004B7536">
        <w:rPr>
          <w:rFonts w:ascii="Times New Roman" w:eastAsia="Times New Roman,Batang" w:hAnsi="Times New Roman"/>
          <w:lang w:eastAsia="ko-KR"/>
        </w:rPr>
        <w:t>s</w:t>
      </w:r>
      <w:r w:rsidR="004B7536" w:rsidRPr="00637729">
        <w:rPr>
          <w:rFonts w:ascii="Times New Roman" w:eastAsia="Times New Roman,Batang" w:hAnsi="Times New Roman"/>
          <w:lang w:eastAsia="ko-KR"/>
        </w:rPr>
        <w:t xml:space="preserve"> </w:t>
      </w:r>
      <w:r w:rsidR="004B7536">
        <w:rPr>
          <w:rFonts w:ascii="Times New Roman" w:eastAsia="Times New Roman,Batang" w:hAnsi="Times New Roman"/>
          <w:lang w:eastAsia="ko-KR"/>
        </w:rPr>
        <w:t>the</w:t>
      </w:r>
      <w:r w:rsidR="001560C2">
        <w:rPr>
          <w:rFonts w:ascii="Times New Roman" w:eastAsia="Times New Roman,Batang" w:hAnsi="Times New Roman"/>
          <w:lang w:eastAsia="ko-KR"/>
        </w:rPr>
        <w:t xml:space="preserve"> high number of</w:t>
      </w:r>
      <w:r w:rsidRPr="00637729">
        <w:rPr>
          <w:rFonts w:ascii="Times New Roman" w:eastAsia="Times New Roman,Batang" w:hAnsi="Times New Roman"/>
          <w:lang w:eastAsia="ko-KR"/>
        </w:rPr>
        <w:t xml:space="preserve"> changes </w:t>
      </w:r>
      <w:r w:rsidR="002F5239">
        <w:rPr>
          <w:rFonts w:ascii="Times New Roman" w:eastAsia="Times New Roman,Batang" w:hAnsi="Times New Roman"/>
          <w:lang w:eastAsia="ko-KR"/>
        </w:rPr>
        <w:t xml:space="preserve">made </w:t>
      </w:r>
      <w:r w:rsidRPr="00637729">
        <w:rPr>
          <w:rFonts w:ascii="Times New Roman" w:eastAsia="Times New Roman,Batang" w:hAnsi="Times New Roman"/>
          <w:lang w:eastAsia="ko-KR"/>
        </w:rPr>
        <w:t>to the evaluation plans throughout the year,</w:t>
      </w:r>
      <w:r w:rsidR="002F5239">
        <w:rPr>
          <w:rFonts w:ascii="Times New Roman" w:eastAsia="Times New Roman,Batang" w:hAnsi="Times New Roman"/>
          <w:lang w:eastAsia="ko-KR"/>
        </w:rPr>
        <w:t xml:space="preserve"> and </w:t>
      </w:r>
      <w:r w:rsidR="006E1882">
        <w:rPr>
          <w:rFonts w:ascii="Times New Roman" w:eastAsia="Times New Roman,Batang" w:hAnsi="Times New Roman"/>
          <w:lang w:eastAsia="ko-KR"/>
        </w:rPr>
        <w:t>particularly</w:t>
      </w:r>
      <w:r w:rsidRPr="00637729">
        <w:rPr>
          <w:rFonts w:ascii="Times New Roman" w:eastAsia="Times New Roman,Batang" w:hAnsi="Times New Roman"/>
          <w:lang w:eastAsia="ko-KR"/>
        </w:rPr>
        <w:t xml:space="preserve"> during the last quarter of the year. </w:t>
      </w:r>
      <w:r w:rsidR="006E1882">
        <w:rPr>
          <w:rFonts w:ascii="Times New Roman" w:eastAsia="Times New Roman,Batang" w:hAnsi="Times New Roman"/>
          <w:lang w:eastAsia="ko-KR"/>
        </w:rPr>
        <w:t>The fact</w:t>
      </w:r>
      <w:r w:rsidRPr="00637729">
        <w:rPr>
          <w:rFonts w:ascii="Times New Roman" w:eastAsia="Times New Roman,Batang" w:hAnsi="Times New Roman"/>
          <w:lang w:eastAsia="ko-KR"/>
        </w:rPr>
        <w:t xml:space="preserve"> that out of the 504 evaluations planned in July 20</w:t>
      </w:r>
      <w:r w:rsidR="0019225D">
        <w:rPr>
          <w:rFonts w:ascii="Times New Roman" w:eastAsia="Times New Roman,Batang" w:hAnsi="Times New Roman"/>
          <w:lang w:eastAsia="ko-KR"/>
        </w:rPr>
        <w:t>18</w:t>
      </w:r>
      <w:r w:rsidRPr="00637729">
        <w:rPr>
          <w:rFonts w:ascii="Times New Roman" w:eastAsia="Times New Roman,Batang" w:hAnsi="Times New Roman"/>
          <w:lang w:eastAsia="ko-KR"/>
        </w:rPr>
        <w:t xml:space="preserve">, only 283 (or 56 percent) </w:t>
      </w:r>
      <w:r w:rsidR="001560C2">
        <w:rPr>
          <w:rFonts w:ascii="Times New Roman" w:eastAsia="Times New Roman,Batang" w:hAnsi="Times New Roman"/>
          <w:lang w:eastAsia="ko-KR"/>
        </w:rPr>
        <w:t xml:space="preserve">of </w:t>
      </w:r>
      <w:r w:rsidRPr="00637729">
        <w:rPr>
          <w:rFonts w:ascii="Times New Roman" w:eastAsia="Times New Roman,Batang" w:hAnsi="Times New Roman"/>
          <w:lang w:eastAsia="ko-KR"/>
        </w:rPr>
        <w:t>evaluations were completed</w:t>
      </w:r>
      <w:r>
        <w:rPr>
          <w:rFonts w:ascii="Times New Roman" w:eastAsia="Times New Roman,Batang" w:hAnsi="Times New Roman"/>
          <w:lang w:eastAsia="ko-KR"/>
        </w:rPr>
        <w:t xml:space="preserve">, and </w:t>
      </w:r>
      <w:r>
        <w:rPr>
          <w:rFonts w:ascii="Times New Roman" w:hAnsi="Times New Roman"/>
        </w:rPr>
        <w:t xml:space="preserve">that a large </w:t>
      </w:r>
      <w:r w:rsidR="001560C2">
        <w:rPr>
          <w:rFonts w:ascii="Times New Roman" w:hAnsi="Times New Roman"/>
        </w:rPr>
        <w:t xml:space="preserve">number </w:t>
      </w:r>
      <w:r>
        <w:rPr>
          <w:rFonts w:ascii="Times New Roman" w:hAnsi="Times New Roman"/>
        </w:rPr>
        <w:t xml:space="preserve">of the conducted decentralized evaluations are </w:t>
      </w:r>
      <w:r w:rsidR="001560C2">
        <w:rPr>
          <w:rFonts w:ascii="Times New Roman" w:hAnsi="Times New Roman"/>
        </w:rPr>
        <w:t>mandatory</w:t>
      </w:r>
      <w:r w:rsidR="006E1882">
        <w:rPr>
          <w:rFonts w:ascii="Times New Roman" w:hAnsi="Times New Roman"/>
        </w:rPr>
        <w:t xml:space="preserve"> is also noted</w:t>
      </w:r>
      <w:r>
        <w:rPr>
          <w:rFonts w:ascii="Times New Roman" w:hAnsi="Times New Roman"/>
        </w:rPr>
        <w:t xml:space="preserve">. </w:t>
      </w:r>
      <w:r w:rsidRPr="00637729">
        <w:rPr>
          <w:rFonts w:ascii="Times New Roman" w:eastAsia="Times New Roman,Batang" w:hAnsi="Times New Roman"/>
          <w:lang w:eastAsia="ko-KR"/>
        </w:rPr>
        <w:t>T</w:t>
      </w:r>
      <w:r w:rsidRPr="00637729">
        <w:rPr>
          <w:rFonts w:ascii="Times New Roman" w:hAnsi="Times New Roman"/>
        </w:rPr>
        <w:t>here</w:t>
      </w:r>
      <w:r>
        <w:rPr>
          <w:rFonts w:ascii="Times New Roman" w:hAnsi="Times New Roman"/>
        </w:rPr>
        <w:t xml:space="preserve"> </w:t>
      </w:r>
      <w:r w:rsidRPr="00637729">
        <w:rPr>
          <w:rFonts w:ascii="Times New Roman" w:hAnsi="Times New Roman"/>
        </w:rPr>
        <w:t xml:space="preserve">is scope </w:t>
      </w:r>
      <w:r w:rsidR="00657674">
        <w:rPr>
          <w:rFonts w:ascii="Times New Roman" w:hAnsi="Times New Roman"/>
        </w:rPr>
        <w:t xml:space="preserve">for </w:t>
      </w:r>
      <w:r w:rsidRPr="00637729">
        <w:rPr>
          <w:rFonts w:ascii="Times New Roman" w:hAnsi="Times New Roman"/>
        </w:rPr>
        <w:t>improv</w:t>
      </w:r>
      <w:r w:rsidR="00657674">
        <w:rPr>
          <w:rFonts w:ascii="Times New Roman" w:hAnsi="Times New Roman"/>
        </w:rPr>
        <w:t>ing</w:t>
      </w:r>
      <w:r w:rsidRPr="00637729">
        <w:rPr>
          <w:rFonts w:ascii="Times New Roman" w:hAnsi="Times New Roman"/>
        </w:rPr>
        <w:t xml:space="preserve"> evaluation plan </w:t>
      </w:r>
      <w:r>
        <w:rPr>
          <w:rFonts w:ascii="Times New Roman" w:hAnsi="Times New Roman"/>
        </w:rPr>
        <w:t xml:space="preserve">design, </w:t>
      </w:r>
      <w:r w:rsidRPr="00637729">
        <w:rPr>
          <w:rFonts w:ascii="Times New Roman" w:hAnsi="Times New Roman"/>
        </w:rPr>
        <w:t xml:space="preserve">implementation and review, </w:t>
      </w:r>
      <w:r>
        <w:rPr>
          <w:rFonts w:ascii="Times New Roman" w:hAnsi="Times New Roman"/>
        </w:rPr>
        <w:t xml:space="preserve">as well as </w:t>
      </w:r>
      <w:r w:rsidR="006E1882">
        <w:rPr>
          <w:rFonts w:ascii="Times New Roman" w:hAnsi="Times New Roman"/>
        </w:rPr>
        <w:t>strengthen</w:t>
      </w:r>
      <w:r w:rsidR="00657674">
        <w:rPr>
          <w:rFonts w:ascii="Times New Roman" w:hAnsi="Times New Roman"/>
        </w:rPr>
        <w:t>ing</w:t>
      </w:r>
      <w:r w:rsidR="006E1882">
        <w:rPr>
          <w:rFonts w:ascii="Times New Roman" w:hAnsi="Times New Roman"/>
        </w:rPr>
        <w:t xml:space="preserve"> the </w:t>
      </w:r>
      <w:r>
        <w:rPr>
          <w:rFonts w:ascii="Times New Roman" w:hAnsi="Times New Roman"/>
        </w:rPr>
        <w:t xml:space="preserve">oversight functions, </w:t>
      </w:r>
      <w:r w:rsidRPr="00637729">
        <w:rPr>
          <w:rFonts w:ascii="Times New Roman" w:hAnsi="Times New Roman"/>
        </w:rPr>
        <w:t xml:space="preserve">which </w:t>
      </w:r>
      <w:r w:rsidR="00657674">
        <w:rPr>
          <w:rFonts w:ascii="Times New Roman" w:hAnsi="Times New Roman"/>
        </w:rPr>
        <w:t>is being addressed</w:t>
      </w:r>
      <w:r w:rsidRPr="00637729">
        <w:rPr>
          <w:rFonts w:ascii="Times New Roman" w:hAnsi="Times New Roman"/>
        </w:rPr>
        <w:t xml:space="preserve"> through </w:t>
      </w:r>
      <w:r>
        <w:rPr>
          <w:rFonts w:ascii="Times New Roman" w:hAnsi="Times New Roman"/>
        </w:rPr>
        <w:t>the revised evaluation guidelines</w:t>
      </w:r>
      <w:r w:rsidR="00635F97">
        <w:rPr>
          <w:rFonts w:ascii="Times New Roman" w:hAnsi="Times New Roman"/>
        </w:rPr>
        <w:t xml:space="preserve">, </w:t>
      </w:r>
      <w:r w:rsidRPr="00637729">
        <w:rPr>
          <w:rFonts w:ascii="Times New Roman" w:hAnsi="Times New Roman"/>
        </w:rPr>
        <w:t>capacity building</w:t>
      </w:r>
      <w:r w:rsidR="00635F97">
        <w:rPr>
          <w:rFonts w:ascii="Times New Roman" w:hAnsi="Times New Roman"/>
        </w:rPr>
        <w:t xml:space="preserve"> and internal review of processes</w:t>
      </w:r>
      <w:r>
        <w:rPr>
          <w:rFonts w:ascii="Times New Roman" w:hAnsi="Times New Roman"/>
        </w:rPr>
        <w:t>.</w:t>
      </w:r>
    </w:p>
    <w:p w14:paraId="5FB3BBB3" w14:textId="77777777" w:rsidR="00D4779D" w:rsidRDefault="00D4779D" w:rsidP="00D4779D">
      <w:pPr>
        <w:spacing w:after="0" w:line="240" w:lineRule="auto"/>
        <w:jc w:val="both"/>
        <w:rPr>
          <w:rFonts w:ascii="Times New Roman" w:hAnsi="Times New Roman"/>
        </w:rPr>
      </w:pPr>
    </w:p>
    <w:p w14:paraId="688109A7" w14:textId="2AFA7EC5" w:rsidR="00D4779D" w:rsidRDefault="001560C2" w:rsidP="00D4779D">
      <w:pPr>
        <w:spacing w:after="0" w:line="240" w:lineRule="auto"/>
        <w:jc w:val="both"/>
        <w:rPr>
          <w:rFonts w:ascii="Times New Roman" w:hAnsi="Times New Roman"/>
        </w:rPr>
      </w:pPr>
      <w:r>
        <w:rPr>
          <w:rFonts w:ascii="Times New Roman" w:hAnsi="Times New Roman"/>
        </w:rPr>
        <w:t>P</w:t>
      </w:r>
      <w:r w:rsidR="00D4779D">
        <w:rPr>
          <w:rFonts w:ascii="Times New Roman" w:hAnsi="Times New Roman"/>
        </w:rPr>
        <w:t xml:space="preserve">rioritization and strategic planning </w:t>
      </w:r>
      <w:r>
        <w:rPr>
          <w:rFonts w:ascii="Times New Roman" w:hAnsi="Times New Roman"/>
        </w:rPr>
        <w:t xml:space="preserve">are important </w:t>
      </w:r>
      <w:r w:rsidR="00D4779D">
        <w:rPr>
          <w:rFonts w:ascii="Times New Roman" w:hAnsi="Times New Roman"/>
        </w:rPr>
        <w:t xml:space="preserve">to ensure that Country Offices develop evaluation plans that are strategic, practical and realistically </w:t>
      </w:r>
      <w:r w:rsidR="00635F97">
        <w:rPr>
          <w:rFonts w:ascii="Times New Roman" w:hAnsi="Times New Roman"/>
        </w:rPr>
        <w:t xml:space="preserve">planned and </w:t>
      </w:r>
      <w:r w:rsidR="00D4779D">
        <w:rPr>
          <w:rFonts w:ascii="Times New Roman" w:hAnsi="Times New Roman"/>
        </w:rPr>
        <w:t xml:space="preserve">budgeted according to </w:t>
      </w:r>
      <w:r w:rsidR="00635F97">
        <w:rPr>
          <w:rFonts w:ascii="Times New Roman" w:hAnsi="Times New Roman"/>
        </w:rPr>
        <w:t xml:space="preserve">the </w:t>
      </w:r>
      <w:r w:rsidR="00D4779D">
        <w:rPr>
          <w:rFonts w:ascii="Times New Roman" w:hAnsi="Times New Roman"/>
        </w:rPr>
        <w:t xml:space="preserve">realities of the country office’s budget and human resources. In 2018, UNDP had across 120 country offices a total of 146 full time equivalents (FTEs) on M&amp;E, </w:t>
      </w:r>
      <w:r w:rsidR="00B6498C">
        <w:rPr>
          <w:rFonts w:ascii="Times New Roman" w:hAnsi="Times New Roman"/>
        </w:rPr>
        <w:t xml:space="preserve">out of which </w:t>
      </w:r>
      <w:r w:rsidR="00D4779D">
        <w:rPr>
          <w:rFonts w:ascii="Times New Roman" w:hAnsi="Times New Roman"/>
        </w:rPr>
        <w:t>51.34 (or 35 percent) w</w:t>
      </w:r>
      <w:r w:rsidR="00B6498C">
        <w:rPr>
          <w:rFonts w:ascii="Times New Roman" w:hAnsi="Times New Roman"/>
        </w:rPr>
        <w:t>ere</w:t>
      </w:r>
      <w:r w:rsidR="00D4779D">
        <w:rPr>
          <w:rFonts w:ascii="Times New Roman" w:hAnsi="Times New Roman"/>
        </w:rPr>
        <w:t xml:space="preserve"> dedicated solely to the evaluation function. This represents an increase compared with 2016, when out of 137 FTEs, 38.26 (or 27.9 percent) covered evaluation. </w:t>
      </w:r>
      <w:r w:rsidR="006C35EF">
        <w:rPr>
          <w:rFonts w:ascii="Times New Roman" w:hAnsi="Times New Roman"/>
        </w:rPr>
        <w:t xml:space="preserve">The </w:t>
      </w:r>
      <w:r w:rsidR="006C35EF" w:rsidRPr="005F5FEB">
        <w:rPr>
          <w:rFonts w:ascii="Times New Roman" w:hAnsi="Times New Roman"/>
        </w:rPr>
        <w:t>Global Policy Network</w:t>
      </w:r>
      <w:r w:rsidR="006C35EF">
        <w:rPr>
          <w:rFonts w:ascii="Times New Roman" w:hAnsi="Times New Roman"/>
        </w:rPr>
        <w:t xml:space="preserve"> (GPN), </w:t>
      </w:r>
      <w:bookmarkStart w:id="3" w:name="_Hlk4681470"/>
      <w:r w:rsidR="006C35EF">
        <w:rPr>
          <w:rFonts w:ascii="Times New Roman" w:hAnsi="Times New Roman"/>
        </w:rPr>
        <w:t xml:space="preserve">the Decentralized Evaluation Knowledge Network (which currently has 209 members) </w:t>
      </w:r>
      <w:bookmarkEnd w:id="3"/>
      <w:r w:rsidR="006C35EF" w:rsidRPr="005F5FEB">
        <w:rPr>
          <w:rFonts w:ascii="Times New Roman" w:hAnsi="Times New Roman"/>
        </w:rPr>
        <w:t xml:space="preserve">and </w:t>
      </w:r>
      <w:r w:rsidR="006C35EF">
        <w:rPr>
          <w:rFonts w:ascii="Times New Roman" w:hAnsi="Times New Roman"/>
        </w:rPr>
        <w:t xml:space="preserve">the </w:t>
      </w:r>
      <w:r w:rsidR="006C35EF" w:rsidRPr="005F5FEB">
        <w:rPr>
          <w:rFonts w:ascii="Times New Roman" w:hAnsi="Times New Roman"/>
        </w:rPr>
        <w:t>Communities of Practice for the six signature solutions</w:t>
      </w:r>
      <w:r w:rsidR="006C35EF">
        <w:rPr>
          <w:rFonts w:ascii="Times New Roman" w:hAnsi="Times New Roman"/>
        </w:rPr>
        <w:t xml:space="preserve"> will help </w:t>
      </w:r>
      <w:r w:rsidR="00D4779D" w:rsidRPr="005F5FEB">
        <w:rPr>
          <w:rFonts w:ascii="Times New Roman" w:hAnsi="Times New Roman"/>
        </w:rPr>
        <w:t>bolster a culture of learning and knowledge sharing based on evaluation evidence</w:t>
      </w:r>
      <w:r w:rsidR="006C35EF">
        <w:rPr>
          <w:rFonts w:ascii="Times New Roman" w:hAnsi="Times New Roman"/>
        </w:rPr>
        <w:t>.</w:t>
      </w:r>
    </w:p>
    <w:p w14:paraId="45C6E981" w14:textId="77777777" w:rsidR="00691713" w:rsidRPr="00B875B5" w:rsidRDefault="00691713" w:rsidP="00D4779D">
      <w:pPr>
        <w:spacing w:after="0" w:line="240" w:lineRule="auto"/>
        <w:jc w:val="both"/>
        <w:rPr>
          <w:rFonts w:ascii="Times New Roman" w:hAnsi="Times New Roman"/>
        </w:rPr>
      </w:pPr>
    </w:p>
    <w:p w14:paraId="4F0C854F" w14:textId="6E4894D6" w:rsidR="00B82C0A" w:rsidRDefault="00B82C0A" w:rsidP="00314C45">
      <w:pPr>
        <w:spacing w:after="0" w:line="240" w:lineRule="auto"/>
        <w:jc w:val="both"/>
        <w:rPr>
          <w:rFonts w:ascii="Times New Roman" w:eastAsia="Times New Roman,Batang" w:hAnsi="Times New Roman"/>
          <w:b/>
          <w:lang w:eastAsia="ko-KR"/>
        </w:rPr>
      </w:pPr>
      <w:r w:rsidRPr="00B82C0A">
        <w:rPr>
          <w:rFonts w:ascii="Times New Roman" w:eastAsia="Times New Roman,Batang" w:hAnsi="Times New Roman"/>
          <w:b/>
          <w:lang w:eastAsia="ko-KR"/>
        </w:rPr>
        <w:t>Status of implementation for management responses to independent and decentralized evaluations</w:t>
      </w:r>
    </w:p>
    <w:p w14:paraId="7182D6D7" w14:textId="77777777" w:rsidR="000A5CDE" w:rsidRDefault="000A5CDE" w:rsidP="00314C45">
      <w:pPr>
        <w:spacing w:after="0" w:line="240" w:lineRule="auto"/>
        <w:jc w:val="both"/>
        <w:rPr>
          <w:rFonts w:ascii="Times New Roman" w:eastAsia="Times New Roman,Batang" w:hAnsi="Times New Roman"/>
          <w:b/>
          <w:lang w:eastAsia="ko-KR"/>
        </w:rPr>
      </w:pPr>
    </w:p>
    <w:p w14:paraId="5FAA87AC" w14:textId="079C4CB3" w:rsidR="00691713" w:rsidRDefault="00177AE2" w:rsidP="00A335BA">
      <w:pPr>
        <w:spacing w:after="0" w:line="240" w:lineRule="auto"/>
        <w:jc w:val="both"/>
        <w:rPr>
          <w:rFonts w:ascii="Times New Roman" w:eastAsia="Times New Roman,Batang" w:hAnsi="Times New Roman"/>
          <w:lang w:eastAsia="ko-KR"/>
        </w:rPr>
      </w:pPr>
      <w:r>
        <w:rPr>
          <w:rFonts w:ascii="Times New Roman" w:eastAsia="Times New Roman,Batang" w:hAnsi="Times New Roman"/>
          <w:lang w:eastAsia="ko-KR"/>
        </w:rPr>
        <w:t>Over the last five years (2014-18)</w:t>
      </w:r>
      <w:r w:rsidR="00A335BA" w:rsidRPr="00B525B0">
        <w:rPr>
          <w:rFonts w:ascii="Times New Roman" w:eastAsia="Times New Roman,Batang" w:hAnsi="Times New Roman"/>
          <w:lang w:eastAsia="ko-KR"/>
        </w:rPr>
        <w:t>,</w:t>
      </w:r>
      <w:r w:rsidR="00A335BA">
        <w:rPr>
          <w:rFonts w:ascii="Times New Roman" w:eastAsia="Times New Roman,Batang" w:hAnsi="Times New Roman"/>
          <w:lang w:eastAsia="ko-KR"/>
        </w:rPr>
        <w:t xml:space="preserve"> the</w:t>
      </w:r>
      <w:r w:rsidR="00A335BA" w:rsidRPr="00B525B0">
        <w:rPr>
          <w:rFonts w:ascii="Times New Roman" w:eastAsia="Times New Roman,Batang" w:hAnsi="Times New Roman"/>
          <w:lang w:eastAsia="ko-KR"/>
        </w:rPr>
        <w:t xml:space="preserve"> IEO </w:t>
      </w:r>
      <w:r w:rsidR="00A335BA" w:rsidRPr="00A40C7B">
        <w:rPr>
          <w:rFonts w:ascii="Times New Roman" w:eastAsia="Times New Roman,Batang" w:hAnsi="Times New Roman"/>
          <w:lang w:eastAsia="ko-KR"/>
        </w:rPr>
        <w:t xml:space="preserve">conducted </w:t>
      </w:r>
      <w:r w:rsidR="00E03BB1" w:rsidRPr="00A40C7B">
        <w:rPr>
          <w:rFonts w:ascii="Times New Roman" w:eastAsia="Times New Roman,Batang" w:hAnsi="Times New Roman"/>
          <w:lang w:eastAsia="ko-KR"/>
        </w:rPr>
        <w:t>46</w:t>
      </w:r>
      <w:r w:rsidR="00A335BA" w:rsidRPr="00A40C7B">
        <w:rPr>
          <w:rFonts w:ascii="Times New Roman" w:eastAsia="Times New Roman,Batang" w:hAnsi="Times New Roman"/>
          <w:lang w:eastAsia="ko-KR"/>
        </w:rPr>
        <w:t xml:space="preserve"> in</w:t>
      </w:r>
      <w:r w:rsidR="00A335BA" w:rsidRPr="00B525B0">
        <w:rPr>
          <w:rFonts w:ascii="Times New Roman" w:eastAsia="Times New Roman,Batang" w:hAnsi="Times New Roman"/>
          <w:lang w:eastAsia="ko-KR"/>
        </w:rPr>
        <w:t>dependent evaluations</w:t>
      </w:r>
      <w:r w:rsidR="00691713">
        <w:rPr>
          <w:rFonts w:ascii="Times New Roman" w:eastAsia="Times New Roman,Batang" w:hAnsi="Times New Roman"/>
          <w:lang w:eastAsia="ko-KR"/>
        </w:rPr>
        <w:t xml:space="preserve"> including 12 thematic evaluations, 33 ADRs/ICPEs and one other.</w:t>
      </w:r>
      <w:r w:rsidR="00EB1493">
        <w:rPr>
          <w:rFonts w:ascii="Times New Roman" w:eastAsia="Times New Roman,Batang" w:hAnsi="Times New Roman"/>
          <w:lang w:eastAsia="ko-KR"/>
        </w:rPr>
        <w:t xml:space="preserve"> A</w:t>
      </w:r>
      <w:r w:rsidR="00FB3DF7">
        <w:rPr>
          <w:rFonts w:ascii="Times New Roman" w:eastAsia="Times New Roman,Batang" w:hAnsi="Times New Roman"/>
          <w:lang w:eastAsia="ko-KR"/>
        </w:rPr>
        <w:t xml:space="preserve">s of </w:t>
      </w:r>
      <w:r w:rsidR="00504026">
        <w:rPr>
          <w:rFonts w:ascii="Times New Roman" w:eastAsia="Times New Roman,Batang" w:hAnsi="Times New Roman"/>
          <w:lang w:eastAsia="ko-KR"/>
        </w:rPr>
        <w:t xml:space="preserve">April </w:t>
      </w:r>
      <w:r w:rsidR="00FB3DF7">
        <w:rPr>
          <w:rFonts w:ascii="Times New Roman" w:eastAsia="Times New Roman,Batang" w:hAnsi="Times New Roman"/>
          <w:lang w:eastAsia="ko-KR"/>
        </w:rPr>
        <w:t xml:space="preserve">2019, </w:t>
      </w:r>
      <w:r w:rsidR="00D87C56">
        <w:rPr>
          <w:rFonts w:ascii="Times New Roman" w:eastAsia="Times New Roman,Batang" w:hAnsi="Times New Roman"/>
          <w:lang w:eastAsia="ko-KR"/>
        </w:rPr>
        <w:t>100% of</w:t>
      </w:r>
      <w:r w:rsidR="00EB1493" w:rsidRPr="005A3DEF">
        <w:rPr>
          <w:rFonts w:ascii="Times New Roman" w:eastAsia="Times New Roman,Batang" w:hAnsi="Times New Roman"/>
          <w:lang w:eastAsia="ko-KR"/>
        </w:rPr>
        <w:t xml:space="preserve"> independent (thematic and other) evaluations </w:t>
      </w:r>
      <w:r w:rsidR="00D87C56">
        <w:rPr>
          <w:rFonts w:ascii="Times New Roman" w:eastAsia="Times New Roman,Batang" w:hAnsi="Times New Roman"/>
          <w:lang w:eastAsia="ko-KR"/>
        </w:rPr>
        <w:t>and</w:t>
      </w:r>
      <w:r w:rsidR="00EB1493">
        <w:rPr>
          <w:rFonts w:ascii="Times New Roman" w:eastAsia="Times New Roman,Batang" w:hAnsi="Times New Roman"/>
          <w:lang w:eastAsia="ko-KR"/>
        </w:rPr>
        <w:t xml:space="preserve"> </w:t>
      </w:r>
      <w:r w:rsidR="00D87C56">
        <w:rPr>
          <w:rFonts w:ascii="Times New Roman" w:eastAsia="Times New Roman,Batang" w:hAnsi="Times New Roman"/>
          <w:lang w:eastAsia="ko-KR"/>
        </w:rPr>
        <w:t>94% of</w:t>
      </w:r>
      <w:r w:rsidR="00EB1493">
        <w:rPr>
          <w:rFonts w:ascii="Times New Roman" w:eastAsia="Times New Roman,Batang" w:hAnsi="Times New Roman"/>
          <w:lang w:eastAsia="ko-KR"/>
        </w:rPr>
        <w:t xml:space="preserve"> ADRs/ICPEs </w:t>
      </w:r>
      <w:r w:rsidR="00EB1493" w:rsidRPr="00E8083E">
        <w:rPr>
          <w:rFonts w:ascii="Times New Roman" w:eastAsia="Times New Roman,Batang" w:hAnsi="Times New Roman"/>
          <w:lang w:eastAsia="ko-KR"/>
        </w:rPr>
        <w:t>have a management response</w:t>
      </w:r>
      <w:r w:rsidR="00E344E5">
        <w:rPr>
          <w:rFonts w:ascii="Times New Roman" w:eastAsia="Times New Roman,Batang" w:hAnsi="Times New Roman"/>
          <w:lang w:eastAsia="ko-KR"/>
        </w:rPr>
        <w:t xml:space="preserve">. </w:t>
      </w:r>
      <w:r w:rsidR="00D7553D">
        <w:rPr>
          <w:rFonts w:ascii="Times New Roman" w:hAnsi="Times New Roman"/>
        </w:rPr>
        <w:t>A</w:t>
      </w:r>
      <w:r w:rsidR="00FB3DF7" w:rsidRPr="00FB3DF7">
        <w:rPr>
          <w:rFonts w:ascii="Times New Roman" w:hAnsi="Times New Roman"/>
        </w:rPr>
        <w:t xml:space="preserve">ll management responses to </w:t>
      </w:r>
      <w:r w:rsidR="00663B5B">
        <w:rPr>
          <w:rFonts w:ascii="Times New Roman" w:hAnsi="Times New Roman"/>
        </w:rPr>
        <w:t xml:space="preserve">thematic </w:t>
      </w:r>
      <w:r w:rsidR="00FB3DF7" w:rsidRPr="00FB3DF7">
        <w:rPr>
          <w:rFonts w:ascii="Times New Roman" w:hAnsi="Times New Roman"/>
        </w:rPr>
        <w:t>evaluations conducted before 201</w:t>
      </w:r>
      <w:r w:rsidR="00DF1F2F">
        <w:rPr>
          <w:rFonts w:ascii="Times New Roman" w:hAnsi="Times New Roman"/>
        </w:rPr>
        <w:t>7</w:t>
      </w:r>
      <w:r w:rsidR="00FB3DF7" w:rsidRPr="00FB3DF7">
        <w:rPr>
          <w:rFonts w:ascii="Times New Roman" w:hAnsi="Times New Roman"/>
        </w:rPr>
        <w:t xml:space="preserve"> have been completely </w:t>
      </w:r>
      <w:r w:rsidR="00FB3DF7" w:rsidRPr="00D73008">
        <w:rPr>
          <w:rFonts w:ascii="Times New Roman" w:hAnsi="Times New Roman"/>
        </w:rPr>
        <w:t>implemented</w:t>
      </w:r>
      <w:r w:rsidR="00663B5B" w:rsidRPr="00D73008">
        <w:rPr>
          <w:rFonts w:ascii="Times New Roman" w:hAnsi="Times New Roman"/>
        </w:rPr>
        <w:t>, while 12</w:t>
      </w:r>
      <w:r w:rsidR="00663B5B" w:rsidRPr="00D73008">
        <w:rPr>
          <w:rFonts w:ascii="Times New Roman" w:eastAsia="Times New Roman,Batang" w:hAnsi="Times New Roman"/>
          <w:lang w:eastAsia="ko-KR"/>
        </w:rPr>
        <w:t xml:space="preserve"> of the ADR/ICPE management responses have been completely implemented.</w:t>
      </w:r>
    </w:p>
    <w:p w14:paraId="3800D016" w14:textId="77777777" w:rsidR="00DE02B1" w:rsidRDefault="00DE02B1" w:rsidP="00A335BA">
      <w:pPr>
        <w:spacing w:after="0" w:line="240" w:lineRule="auto"/>
        <w:jc w:val="both"/>
        <w:rPr>
          <w:rFonts w:ascii="Times New Roman" w:eastAsia="Times New Roman,Batang" w:hAnsi="Times New Roman"/>
          <w:lang w:eastAsia="ko-KR"/>
        </w:rPr>
      </w:pPr>
    </w:p>
    <w:p w14:paraId="177C40E6" w14:textId="6739C90A" w:rsidR="00DE02B1" w:rsidRDefault="00A40C7B" w:rsidP="00A335BA">
      <w:pPr>
        <w:spacing w:after="0" w:line="240" w:lineRule="auto"/>
        <w:jc w:val="both"/>
        <w:rPr>
          <w:rFonts w:ascii="Times New Roman" w:eastAsia="Times New Roman,Batang" w:hAnsi="Times New Roman"/>
          <w:lang w:eastAsia="ko-KR"/>
        </w:rPr>
      </w:pPr>
      <w:r w:rsidRPr="005A3DEF">
        <w:rPr>
          <w:rFonts w:ascii="Times New Roman" w:eastAsia="Times New Roman,Batang" w:hAnsi="Times New Roman"/>
          <w:lang w:eastAsia="ko-KR"/>
        </w:rPr>
        <w:lastRenderedPageBreak/>
        <w:t>Out of the key actions planned</w:t>
      </w:r>
      <w:r w:rsidR="005A51C0">
        <w:rPr>
          <w:rFonts w:ascii="Times New Roman" w:eastAsia="Times New Roman,Batang" w:hAnsi="Times New Roman"/>
          <w:lang w:eastAsia="ko-KR"/>
        </w:rPr>
        <w:t xml:space="preserve"> for independent evaluations (thematic and other)</w:t>
      </w:r>
      <w:r w:rsidRPr="005A3DEF">
        <w:rPr>
          <w:rFonts w:ascii="Times New Roman" w:eastAsia="Times New Roman,Batang" w:hAnsi="Times New Roman"/>
          <w:lang w:eastAsia="ko-KR"/>
        </w:rPr>
        <w:t xml:space="preserve">, </w:t>
      </w:r>
      <w:r w:rsidR="00E344E5" w:rsidRPr="00FB3DF7">
        <w:rPr>
          <w:rFonts w:ascii="Times New Roman" w:eastAsia="Times New Roman,Batang" w:hAnsi="Times New Roman"/>
          <w:lang w:eastAsia="ko-KR"/>
        </w:rPr>
        <w:t xml:space="preserve">66 </w:t>
      </w:r>
      <w:r w:rsidR="007555B5" w:rsidRPr="00FB3DF7">
        <w:rPr>
          <w:rFonts w:ascii="Times New Roman" w:eastAsia="Times New Roman,Batang" w:hAnsi="Times New Roman"/>
          <w:lang w:eastAsia="ko-KR"/>
        </w:rPr>
        <w:t>percent</w:t>
      </w:r>
      <w:r w:rsidRPr="00FB3DF7">
        <w:rPr>
          <w:rFonts w:ascii="Times New Roman" w:eastAsia="Times New Roman,Batang" w:hAnsi="Times New Roman"/>
          <w:lang w:eastAsia="ko-KR"/>
        </w:rPr>
        <w:t xml:space="preserve"> ha</w:t>
      </w:r>
      <w:r w:rsidR="00DD2C99" w:rsidRPr="00FB3DF7">
        <w:rPr>
          <w:rFonts w:ascii="Times New Roman" w:eastAsia="Times New Roman,Batang" w:hAnsi="Times New Roman"/>
          <w:lang w:eastAsia="ko-KR"/>
        </w:rPr>
        <w:t>d</w:t>
      </w:r>
      <w:r w:rsidRPr="00FB3DF7">
        <w:rPr>
          <w:rFonts w:ascii="Times New Roman" w:eastAsia="Times New Roman,Batang" w:hAnsi="Times New Roman"/>
          <w:lang w:eastAsia="ko-KR"/>
        </w:rPr>
        <w:t xml:space="preserve"> been completed, </w:t>
      </w:r>
      <w:r w:rsidR="00E344E5" w:rsidRPr="00FB3DF7">
        <w:rPr>
          <w:rFonts w:ascii="Times New Roman" w:eastAsia="Times New Roman,Batang" w:hAnsi="Times New Roman"/>
          <w:lang w:eastAsia="ko-KR"/>
        </w:rPr>
        <w:t>3</w:t>
      </w:r>
      <w:r w:rsidR="00D87C56">
        <w:rPr>
          <w:rFonts w:ascii="Times New Roman" w:eastAsia="Times New Roman,Batang" w:hAnsi="Times New Roman"/>
          <w:lang w:eastAsia="ko-KR"/>
        </w:rPr>
        <w:t>1</w:t>
      </w:r>
      <w:r w:rsidR="007555B5" w:rsidRPr="00FB3DF7">
        <w:rPr>
          <w:rFonts w:ascii="Times New Roman" w:eastAsia="Times New Roman,Batang" w:hAnsi="Times New Roman"/>
          <w:lang w:eastAsia="ko-KR"/>
        </w:rPr>
        <w:t xml:space="preserve"> percent</w:t>
      </w:r>
      <w:r w:rsidR="007D1712" w:rsidRPr="00FB3DF7">
        <w:rPr>
          <w:rFonts w:ascii="Times New Roman" w:eastAsia="Times New Roman,Batang" w:hAnsi="Times New Roman"/>
          <w:lang w:eastAsia="ko-KR"/>
        </w:rPr>
        <w:t xml:space="preserve"> </w:t>
      </w:r>
      <w:r w:rsidR="00DD2C99" w:rsidRPr="00FB3DF7">
        <w:rPr>
          <w:rFonts w:ascii="Times New Roman" w:eastAsia="Times New Roman,Batang" w:hAnsi="Times New Roman"/>
          <w:lang w:eastAsia="ko-KR"/>
        </w:rPr>
        <w:t>were</w:t>
      </w:r>
      <w:r w:rsidR="007D1712" w:rsidRPr="00FB3DF7">
        <w:rPr>
          <w:rFonts w:ascii="Times New Roman" w:eastAsia="Times New Roman,Batang" w:hAnsi="Times New Roman"/>
          <w:lang w:eastAsia="ko-KR"/>
        </w:rPr>
        <w:t xml:space="preserve"> ongoing, </w:t>
      </w:r>
      <w:r w:rsidR="009900B1" w:rsidRPr="00FB3DF7">
        <w:rPr>
          <w:rFonts w:ascii="Times New Roman" w:eastAsia="Times New Roman,Batang" w:hAnsi="Times New Roman"/>
          <w:lang w:eastAsia="ko-KR"/>
        </w:rPr>
        <w:t>two</w:t>
      </w:r>
      <w:r w:rsidR="007555B5" w:rsidRPr="00FB3DF7">
        <w:rPr>
          <w:rFonts w:ascii="Times New Roman" w:eastAsia="Times New Roman,Batang" w:hAnsi="Times New Roman"/>
          <w:lang w:eastAsia="ko-KR"/>
        </w:rPr>
        <w:t xml:space="preserve"> percent</w:t>
      </w:r>
      <w:r w:rsidR="007D1712" w:rsidRPr="00FB3DF7">
        <w:rPr>
          <w:rFonts w:ascii="Times New Roman" w:eastAsia="Times New Roman,Batang" w:hAnsi="Times New Roman"/>
          <w:lang w:eastAsia="ko-KR"/>
        </w:rPr>
        <w:t xml:space="preserve"> ha</w:t>
      </w:r>
      <w:r w:rsidR="00DD2C99" w:rsidRPr="00FB3DF7">
        <w:rPr>
          <w:rFonts w:ascii="Times New Roman" w:eastAsia="Times New Roman,Batang" w:hAnsi="Times New Roman"/>
          <w:lang w:eastAsia="ko-KR"/>
        </w:rPr>
        <w:t>d</w:t>
      </w:r>
      <w:r w:rsidR="007D1712" w:rsidRPr="00FB3DF7">
        <w:rPr>
          <w:rFonts w:ascii="Times New Roman" w:eastAsia="Times New Roman,Batang" w:hAnsi="Times New Roman"/>
          <w:lang w:eastAsia="ko-KR"/>
        </w:rPr>
        <w:t xml:space="preserve"> not yet been initiated, </w:t>
      </w:r>
      <w:r w:rsidR="00FB3DF7" w:rsidRPr="00FB3DF7">
        <w:rPr>
          <w:rFonts w:ascii="Times New Roman" w:eastAsia="Times New Roman,Batang" w:hAnsi="Times New Roman"/>
          <w:lang w:eastAsia="ko-KR"/>
        </w:rPr>
        <w:t>zero</w:t>
      </w:r>
      <w:r w:rsidR="00DD2C99" w:rsidRPr="00FB3DF7">
        <w:rPr>
          <w:rFonts w:ascii="Times New Roman" w:eastAsia="Times New Roman,Batang" w:hAnsi="Times New Roman"/>
          <w:lang w:eastAsia="ko-KR"/>
        </w:rPr>
        <w:t xml:space="preserve"> </w:t>
      </w:r>
      <w:r w:rsidR="007555B5" w:rsidRPr="00FB3DF7">
        <w:rPr>
          <w:rFonts w:ascii="Times New Roman" w:eastAsia="Times New Roman,Batang" w:hAnsi="Times New Roman"/>
          <w:lang w:eastAsia="ko-KR"/>
        </w:rPr>
        <w:t>percent</w:t>
      </w:r>
      <w:r w:rsidR="007D1712" w:rsidRPr="00FB3DF7">
        <w:rPr>
          <w:rFonts w:ascii="Times New Roman" w:eastAsia="Times New Roman,Batang" w:hAnsi="Times New Roman"/>
          <w:lang w:eastAsia="ko-KR"/>
        </w:rPr>
        <w:t xml:space="preserve"> </w:t>
      </w:r>
      <w:r w:rsidR="00DD2C99" w:rsidRPr="00FB3DF7">
        <w:rPr>
          <w:rFonts w:ascii="Times New Roman" w:eastAsia="Times New Roman,Batang" w:hAnsi="Times New Roman"/>
          <w:lang w:eastAsia="ko-KR"/>
        </w:rPr>
        <w:t>wa</w:t>
      </w:r>
      <w:r w:rsidR="007D1712" w:rsidRPr="00FB3DF7">
        <w:rPr>
          <w:rFonts w:ascii="Times New Roman" w:eastAsia="Times New Roman,Batang" w:hAnsi="Times New Roman"/>
          <w:lang w:eastAsia="ko-KR"/>
        </w:rPr>
        <w:t xml:space="preserve">s </w:t>
      </w:r>
      <w:r w:rsidR="007555B5" w:rsidRPr="00FB3DF7">
        <w:rPr>
          <w:rFonts w:ascii="Times New Roman" w:eastAsia="Times New Roman,Batang" w:hAnsi="Times New Roman"/>
          <w:lang w:eastAsia="ko-KR"/>
        </w:rPr>
        <w:t>overdue,</w:t>
      </w:r>
      <w:r w:rsidR="007D1712" w:rsidRPr="00FB3DF7">
        <w:rPr>
          <w:rFonts w:ascii="Times New Roman" w:eastAsia="Times New Roman,Batang" w:hAnsi="Times New Roman"/>
          <w:lang w:eastAsia="ko-KR"/>
        </w:rPr>
        <w:t xml:space="preserve"> and </w:t>
      </w:r>
      <w:r w:rsidR="009900B1" w:rsidRPr="00FB3DF7">
        <w:rPr>
          <w:rFonts w:ascii="Times New Roman" w:eastAsia="Times New Roman,Batang" w:hAnsi="Times New Roman"/>
          <w:lang w:eastAsia="ko-KR"/>
        </w:rPr>
        <w:t>one</w:t>
      </w:r>
      <w:r w:rsidR="007555B5" w:rsidRPr="00FB3DF7">
        <w:rPr>
          <w:rFonts w:ascii="Times New Roman" w:eastAsia="Times New Roman,Batang" w:hAnsi="Times New Roman"/>
          <w:lang w:eastAsia="ko-KR"/>
        </w:rPr>
        <w:t xml:space="preserve"> percent</w:t>
      </w:r>
      <w:r w:rsidR="007D1712" w:rsidRPr="00FB3DF7">
        <w:rPr>
          <w:rFonts w:ascii="Times New Roman" w:eastAsia="Times New Roman,Batang" w:hAnsi="Times New Roman"/>
          <w:lang w:eastAsia="ko-KR"/>
        </w:rPr>
        <w:t xml:space="preserve"> </w:t>
      </w:r>
      <w:r w:rsidR="00DD2C99" w:rsidRPr="00FB3DF7">
        <w:rPr>
          <w:rFonts w:ascii="Times New Roman" w:eastAsia="Times New Roman,Batang" w:hAnsi="Times New Roman"/>
          <w:lang w:eastAsia="ko-KR"/>
        </w:rPr>
        <w:t>w</w:t>
      </w:r>
      <w:r w:rsidR="009900B1" w:rsidRPr="00FB3DF7">
        <w:rPr>
          <w:rFonts w:ascii="Times New Roman" w:eastAsia="Times New Roman,Batang" w:hAnsi="Times New Roman"/>
          <w:lang w:eastAsia="ko-KR"/>
        </w:rPr>
        <w:t>as</w:t>
      </w:r>
      <w:r w:rsidR="007D1712" w:rsidRPr="00FB3DF7">
        <w:rPr>
          <w:rFonts w:ascii="Times New Roman" w:eastAsia="Times New Roman,Batang" w:hAnsi="Times New Roman"/>
          <w:lang w:eastAsia="ko-KR"/>
        </w:rPr>
        <w:t xml:space="preserve"> no longer applicable</w:t>
      </w:r>
      <w:r w:rsidR="00FB3DF7" w:rsidRPr="00FB3DF7">
        <w:rPr>
          <w:rStyle w:val="FootnoteReference"/>
          <w:rFonts w:ascii="Times New Roman" w:eastAsia="Times New Roman,Batang" w:hAnsi="Times New Roman"/>
          <w:lang w:eastAsia="ko-KR"/>
        </w:rPr>
        <w:footnoteReference w:id="4"/>
      </w:r>
      <w:r w:rsidR="007D1712" w:rsidRPr="00FB3DF7">
        <w:rPr>
          <w:rFonts w:ascii="Times New Roman" w:eastAsia="Times New Roman,Batang" w:hAnsi="Times New Roman"/>
          <w:lang w:eastAsia="ko-KR"/>
        </w:rPr>
        <w:t xml:space="preserve">. </w:t>
      </w:r>
    </w:p>
    <w:p w14:paraId="69664C4C" w14:textId="77777777" w:rsidR="00DE02B1" w:rsidRDefault="00DE02B1" w:rsidP="00A335BA">
      <w:pPr>
        <w:spacing w:after="0" w:line="240" w:lineRule="auto"/>
        <w:jc w:val="both"/>
        <w:rPr>
          <w:rFonts w:ascii="Times New Roman" w:eastAsia="Times New Roman,Batang" w:hAnsi="Times New Roman"/>
          <w:lang w:eastAsia="ko-KR"/>
        </w:rPr>
      </w:pPr>
    </w:p>
    <w:p w14:paraId="5CD784A5" w14:textId="14D27885" w:rsidR="00A335BA" w:rsidRPr="00E8083E" w:rsidRDefault="005A51C0" w:rsidP="00A335BA">
      <w:pPr>
        <w:spacing w:after="0" w:line="240" w:lineRule="auto"/>
        <w:jc w:val="both"/>
        <w:rPr>
          <w:rFonts w:ascii="Times New Roman" w:eastAsia="Times New Roman,Batang" w:hAnsi="Times New Roman"/>
          <w:lang w:eastAsia="ko-KR"/>
        </w:rPr>
      </w:pPr>
      <w:r>
        <w:rPr>
          <w:rFonts w:ascii="Times New Roman" w:eastAsia="Times New Roman,Batang" w:hAnsi="Times New Roman"/>
          <w:lang w:eastAsia="ko-KR"/>
        </w:rPr>
        <w:t xml:space="preserve">For </w:t>
      </w:r>
      <w:r w:rsidR="004C19BE">
        <w:rPr>
          <w:rFonts w:ascii="Times New Roman" w:eastAsia="Times New Roman,Batang" w:hAnsi="Times New Roman"/>
          <w:lang w:eastAsia="ko-KR"/>
        </w:rPr>
        <w:t>t</w:t>
      </w:r>
      <w:r w:rsidR="00E62F84" w:rsidRPr="00E8083E">
        <w:rPr>
          <w:rFonts w:ascii="Times New Roman" w:eastAsia="Times New Roman,Batang" w:hAnsi="Times New Roman"/>
          <w:lang w:eastAsia="ko-KR"/>
        </w:rPr>
        <w:t xml:space="preserve">he </w:t>
      </w:r>
      <w:r>
        <w:rPr>
          <w:rFonts w:ascii="Times New Roman" w:eastAsia="Times New Roman,Batang" w:hAnsi="Times New Roman"/>
          <w:lang w:eastAsia="ko-KR"/>
        </w:rPr>
        <w:t>29</w:t>
      </w:r>
      <w:r w:rsidR="00E62F84" w:rsidRPr="00E8083E">
        <w:rPr>
          <w:rFonts w:ascii="Times New Roman" w:eastAsia="Times New Roman,Batang" w:hAnsi="Times New Roman"/>
          <w:lang w:eastAsia="ko-KR"/>
        </w:rPr>
        <w:t xml:space="preserve"> ADRs/ICPEs</w:t>
      </w:r>
      <w:r>
        <w:rPr>
          <w:rFonts w:ascii="Times New Roman" w:eastAsia="Times New Roman,Batang" w:hAnsi="Times New Roman"/>
          <w:lang w:eastAsia="ko-KR"/>
        </w:rPr>
        <w:t xml:space="preserve"> available in ERC as of December 31</w:t>
      </w:r>
      <w:r w:rsidRPr="005A51C0">
        <w:rPr>
          <w:rFonts w:ascii="Times New Roman" w:eastAsia="Times New Roman,Batang" w:hAnsi="Times New Roman"/>
          <w:vertAlign w:val="superscript"/>
          <w:lang w:eastAsia="ko-KR"/>
        </w:rPr>
        <w:t>st</w:t>
      </w:r>
      <w:r>
        <w:rPr>
          <w:rFonts w:ascii="Times New Roman" w:eastAsia="Times New Roman,Batang" w:hAnsi="Times New Roman"/>
          <w:lang w:eastAsia="ko-KR"/>
        </w:rPr>
        <w:t xml:space="preserve"> 2018</w:t>
      </w:r>
      <w:r w:rsidR="00663B5B">
        <w:rPr>
          <w:rStyle w:val="FootnoteReference"/>
          <w:rFonts w:ascii="Times New Roman" w:eastAsia="Times New Roman,Batang" w:hAnsi="Times New Roman"/>
          <w:lang w:eastAsia="ko-KR"/>
        </w:rPr>
        <w:footnoteReference w:id="5"/>
      </w:r>
      <w:r>
        <w:rPr>
          <w:rFonts w:ascii="Times New Roman" w:eastAsia="Times New Roman,Batang" w:hAnsi="Times New Roman"/>
          <w:lang w:eastAsia="ko-KR"/>
        </w:rPr>
        <w:t xml:space="preserve">, </w:t>
      </w:r>
      <w:r w:rsidR="004C19BE">
        <w:rPr>
          <w:rFonts w:ascii="Times New Roman" w:eastAsia="Times New Roman,Batang" w:hAnsi="Times New Roman"/>
          <w:lang w:eastAsia="ko-KR"/>
        </w:rPr>
        <w:t xml:space="preserve">57 </w:t>
      </w:r>
      <w:r w:rsidR="0098667C">
        <w:rPr>
          <w:rFonts w:ascii="Times New Roman" w:eastAsia="Times New Roman,Batang" w:hAnsi="Times New Roman"/>
          <w:lang w:eastAsia="ko-KR"/>
        </w:rPr>
        <w:t>percent</w:t>
      </w:r>
      <w:r w:rsidR="00A335BA" w:rsidRPr="00E8083E">
        <w:rPr>
          <w:rFonts w:ascii="Times New Roman" w:eastAsia="Times New Roman,Batang" w:hAnsi="Times New Roman"/>
          <w:lang w:eastAsia="ko-KR"/>
        </w:rPr>
        <w:t xml:space="preserve"> had been completed, </w:t>
      </w:r>
      <w:r w:rsidR="004C19BE">
        <w:rPr>
          <w:rFonts w:ascii="Times New Roman" w:eastAsia="Times New Roman,Batang" w:hAnsi="Times New Roman"/>
          <w:lang w:eastAsia="ko-KR"/>
        </w:rPr>
        <w:t xml:space="preserve">17 </w:t>
      </w:r>
      <w:r w:rsidR="0098667C">
        <w:rPr>
          <w:rFonts w:ascii="Times New Roman" w:eastAsia="Times New Roman,Batang" w:hAnsi="Times New Roman"/>
          <w:lang w:eastAsia="ko-KR"/>
        </w:rPr>
        <w:t>percent</w:t>
      </w:r>
      <w:r w:rsidR="00A335BA" w:rsidRPr="00E8083E">
        <w:rPr>
          <w:rFonts w:ascii="Times New Roman" w:eastAsia="Times New Roman,Batang" w:hAnsi="Times New Roman"/>
          <w:lang w:eastAsia="ko-KR"/>
        </w:rPr>
        <w:t xml:space="preserve"> were ongoing, </w:t>
      </w:r>
      <w:r w:rsidR="004C19BE">
        <w:rPr>
          <w:rFonts w:ascii="Times New Roman" w:eastAsia="Times New Roman,Batang" w:hAnsi="Times New Roman"/>
          <w:lang w:eastAsia="ko-KR"/>
        </w:rPr>
        <w:t xml:space="preserve">two </w:t>
      </w:r>
      <w:r w:rsidR="0098667C">
        <w:rPr>
          <w:rFonts w:ascii="Times New Roman" w:eastAsia="Times New Roman,Batang" w:hAnsi="Times New Roman"/>
          <w:lang w:eastAsia="ko-KR"/>
        </w:rPr>
        <w:t>percent</w:t>
      </w:r>
      <w:r w:rsidR="00A335BA" w:rsidRPr="00E8083E">
        <w:rPr>
          <w:rFonts w:ascii="Times New Roman" w:eastAsia="Times New Roman,Batang" w:hAnsi="Times New Roman"/>
          <w:lang w:eastAsia="ko-KR"/>
        </w:rPr>
        <w:t xml:space="preserve"> had not yet been initiated, </w:t>
      </w:r>
      <w:r w:rsidR="004C19BE">
        <w:rPr>
          <w:rFonts w:ascii="Times New Roman" w:eastAsia="Times New Roman,Batang" w:hAnsi="Times New Roman"/>
          <w:lang w:eastAsia="ko-KR"/>
        </w:rPr>
        <w:t xml:space="preserve">23 </w:t>
      </w:r>
      <w:r w:rsidR="0098667C">
        <w:rPr>
          <w:rFonts w:ascii="Times New Roman" w:eastAsia="Times New Roman,Batang" w:hAnsi="Times New Roman"/>
          <w:lang w:eastAsia="ko-KR"/>
        </w:rPr>
        <w:t>percent</w:t>
      </w:r>
      <w:r w:rsidR="00A335BA" w:rsidRPr="00E8083E">
        <w:rPr>
          <w:rFonts w:ascii="Times New Roman" w:eastAsia="Times New Roman,Batang" w:hAnsi="Times New Roman"/>
          <w:lang w:eastAsia="ko-KR"/>
        </w:rPr>
        <w:t xml:space="preserve"> were </w:t>
      </w:r>
      <w:r w:rsidR="0098667C" w:rsidRPr="00E8083E">
        <w:rPr>
          <w:rFonts w:ascii="Times New Roman" w:eastAsia="Times New Roman,Batang" w:hAnsi="Times New Roman"/>
          <w:lang w:eastAsia="ko-KR"/>
        </w:rPr>
        <w:t>overdue,</w:t>
      </w:r>
      <w:r w:rsidR="00A335BA" w:rsidRPr="00E8083E">
        <w:rPr>
          <w:rFonts w:ascii="Times New Roman" w:eastAsia="Times New Roman,Batang" w:hAnsi="Times New Roman"/>
          <w:lang w:eastAsia="ko-KR"/>
        </w:rPr>
        <w:t xml:space="preserve"> and </w:t>
      </w:r>
      <w:r w:rsidR="004C19BE">
        <w:rPr>
          <w:rFonts w:ascii="Times New Roman" w:eastAsia="Times New Roman,Batang" w:hAnsi="Times New Roman"/>
          <w:lang w:eastAsia="ko-KR"/>
        </w:rPr>
        <w:t>one</w:t>
      </w:r>
      <w:r w:rsidR="0098667C">
        <w:rPr>
          <w:rFonts w:ascii="Times New Roman" w:eastAsia="Times New Roman,Batang" w:hAnsi="Times New Roman"/>
          <w:lang w:eastAsia="ko-KR"/>
        </w:rPr>
        <w:t xml:space="preserve"> percent</w:t>
      </w:r>
      <w:r w:rsidR="00A335BA" w:rsidRPr="00E8083E">
        <w:rPr>
          <w:rFonts w:ascii="Times New Roman" w:eastAsia="Times New Roman,Batang" w:hAnsi="Times New Roman"/>
          <w:lang w:eastAsia="ko-KR"/>
        </w:rPr>
        <w:t xml:space="preserve"> w</w:t>
      </w:r>
      <w:r w:rsidR="004C19BE">
        <w:rPr>
          <w:rFonts w:ascii="Times New Roman" w:eastAsia="Times New Roman,Batang" w:hAnsi="Times New Roman"/>
          <w:lang w:eastAsia="ko-KR"/>
        </w:rPr>
        <w:t>as</w:t>
      </w:r>
      <w:r w:rsidR="00A335BA" w:rsidRPr="00E8083E">
        <w:rPr>
          <w:rFonts w:ascii="Times New Roman" w:eastAsia="Times New Roman,Batang" w:hAnsi="Times New Roman"/>
          <w:lang w:eastAsia="ko-KR"/>
        </w:rPr>
        <w:t xml:space="preserve"> no longer applicable</w:t>
      </w:r>
      <w:r w:rsidR="00A335BA" w:rsidRPr="00E8083E">
        <w:rPr>
          <w:rStyle w:val="FootnoteReference"/>
          <w:rFonts w:ascii="Times New Roman" w:eastAsia="Times New Roman,Batang" w:hAnsi="Times New Roman"/>
          <w:lang w:eastAsia="ko-KR"/>
        </w:rPr>
        <w:footnoteReference w:id="6"/>
      </w:r>
      <w:r w:rsidR="00A335BA" w:rsidRPr="00E8083E">
        <w:rPr>
          <w:rFonts w:ascii="Times New Roman" w:eastAsia="Times New Roman,Batang" w:hAnsi="Times New Roman"/>
          <w:lang w:eastAsia="ko-KR"/>
        </w:rPr>
        <w:t xml:space="preserve">. </w:t>
      </w:r>
    </w:p>
    <w:p w14:paraId="162E60EB" w14:textId="77777777" w:rsidR="00A335BA" w:rsidRPr="00A40C7B" w:rsidRDefault="00A335BA" w:rsidP="00B82C0A">
      <w:pPr>
        <w:spacing w:after="0" w:line="240" w:lineRule="auto"/>
        <w:jc w:val="both"/>
        <w:rPr>
          <w:rFonts w:ascii="Times New Roman" w:eastAsia="Times New Roman,Batang" w:hAnsi="Times New Roman"/>
          <w:color w:val="FF0000"/>
          <w:lang w:eastAsia="ko-KR"/>
        </w:rPr>
      </w:pPr>
    </w:p>
    <w:p w14:paraId="5EDD7EFA" w14:textId="62FFD2CF" w:rsidR="00B82C0A" w:rsidRPr="00A40C7B" w:rsidRDefault="00AF1D17" w:rsidP="00B82C0A">
      <w:pPr>
        <w:spacing w:after="0" w:line="240" w:lineRule="auto"/>
        <w:jc w:val="both"/>
        <w:rPr>
          <w:rFonts w:ascii="Times New Roman" w:eastAsia="Times New Roman,Batang" w:hAnsi="Times New Roman"/>
          <w:color w:val="FF0000"/>
          <w:lang w:eastAsia="ko-KR"/>
        </w:rPr>
      </w:pPr>
      <w:r w:rsidRPr="00C16EF2">
        <w:rPr>
          <w:rFonts w:ascii="Times New Roman" w:eastAsia="Times New Roman,Batang" w:hAnsi="Times New Roman"/>
          <w:lang w:eastAsia="ko-KR"/>
        </w:rPr>
        <w:t>During the same timeframe</w:t>
      </w:r>
      <w:r w:rsidR="00B82C0A" w:rsidRPr="00C16EF2">
        <w:rPr>
          <w:rFonts w:ascii="Times New Roman" w:eastAsia="Times New Roman,Batang" w:hAnsi="Times New Roman"/>
          <w:lang w:eastAsia="ko-KR"/>
        </w:rPr>
        <w:t xml:space="preserve">, UNDP </w:t>
      </w:r>
      <w:r w:rsidR="00F455CB">
        <w:rPr>
          <w:rFonts w:ascii="Times New Roman" w:eastAsia="Times New Roman,Batang" w:hAnsi="Times New Roman"/>
          <w:lang w:eastAsia="ko-KR"/>
        </w:rPr>
        <w:t>had as of December 31</w:t>
      </w:r>
      <w:r w:rsidR="00F455CB" w:rsidRPr="00F455CB">
        <w:rPr>
          <w:rFonts w:ascii="Times New Roman" w:eastAsia="Times New Roman,Batang" w:hAnsi="Times New Roman"/>
          <w:vertAlign w:val="superscript"/>
          <w:lang w:eastAsia="ko-KR"/>
        </w:rPr>
        <w:t>st</w:t>
      </w:r>
      <w:r w:rsidR="00F455CB">
        <w:rPr>
          <w:rFonts w:ascii="Times New Roman" w:eastAsia="Times New Roman,Batang" w:hAnsi="Times New Roman"/>
          <w:vertAlign w:val="superscript"/>
          <w:lang w:eastAsia="ko-KR"/>
        </w:rPr>
        <w:t xml:space="preserve"> </w:t>
      </w:r>
      <w:r w:rsidR="00F455CB">
        <w:rPr>
          <w:rFonts w:ascii="Times New Roman" w:eastAsia="Times New Roman,Batang" w:hAnsi="Times New Roman"/>
          <w:lang w:eastAsia="ko-KR"/>
        </w:rPr>
        <w:t xml:space="preserve">2018 </w:t>
      </w:r>
      <w:r w:rsidR="00B82C0A" w:rsidRPr="00C16EF2">
        <w:rPr>
          <w:rFonts w:ascii="Times New Roman" w:eastAsia="Times New Roman,Batang" w:hAnsi="Times New Roman"/>
          <w:lang w:eastAsia="ko-KR"/>
        </w:rPr>
        <w:t xml:space="preserve">completed </w:t>
      </w:r>
      <w:r w:rsidR="00C4466D" w:rsidRPr="00C16EF2">
        <w:rPr>
          <w:rFonts w:ascii="Times New Roman" w:eastAsia="Times New Roman,Batang" w:hAnsi="Times New Roman"/>
          <w:lang w:eastAsia="ko-KR"/>
        </w:rPr>
        <w:t>1,531</w:t>
      </w:r>
      <w:r w:rsidR="00B82C0A" w:rsidRPr="00C16EF2">
        <w:rPr>
          <w:rFonts w:ascii="Times New Roman" w:eastAsia="Times New Roman,Batang" w:hAnsi="Times New Roman"/>
          <w:lang w:eastAsia="ko-KR"/>
        </w:rPr>
        <w:t xml:space="preserve"> decentralized evaluations, out of which </w:t>
      </w:r>
      <w:r w:rsidR="00C16EF2" w:rsidRPr="00C16EF2">
        <w:rPr>
          <w:rFonts w:ascii="Times New Roman" w:eastAsia="Times New Roman,Batang" w:hAnsi="Times New Roman"/>
          <w:lang w:eastAsia="ko-KR"/>
        </w:rPr>
        <w:t>97</w:t>
      </w:r>
      <w:r w:rsidR="0098667C" w:rsidRPr="00C16EF2">
        <w:rPr>
          <w:rFonts w:ascii="Times New Roman" w:eastAsia="Times New Roman,Batang" w:hAnsi="Times New Roman"/>
          <w:lang w:eastAsia="ko-KR"/>
        </w:rPr>
        <w:t xml:space="preserve"> percent</w:t>
      </w:r>
      <w:r w:rsidR="00B82C0A" w:rsidRPr="00C16EF2">
        <w:rPr>
          <w:rFonts w:ascii="Times New Roman" w:eastAsia="Times New Roman,Batang" w:hAnsi="Times New Roman"/>
          <w:lang w:eastAsia="ko-KR"/>
        </w:rPr>
        <w:t xml:space="preserve"> ha</w:t>
      </w:r>
      <w:r w:rsidR="002F3BC6">
        <w:rPr>
          <w:rFonts w:ascii="Times New Roman" w:eastAsia="Times New Roman,Batang" w:hAnsi="Times New Roman"/>
          <w:lang w:eastAsia="ko-KR"/>
        </w:rPr>
        <w:t>d</w:t>
      </w:r>
      <w:r w:rsidR="00B82C0A" w:rsidRPr="00C16EF2">
        <w:rPr>
          <w:rFonts w:ascii="Times New Roman" w:eastAsia="Times New Roman,Batang" w:hAnsi="Times New Roman"/>
          <w:lang w:eastAsia="ko-KR"/>
        </w:rPr>
        <w:t xml:space="preserve"> a management response. Out of the key actions planned, 6</w:t>
      </w:r>
      <w:r w:rsidR="00C16EF2" w:rsidRPr="00C16EF2">
        <w:rPr>
          <w:rFonts w:ascii="Times New Roman" w:eastAsia="Times New Roman,Batang" w:hAnsi="Times New Roman"/>
          <w:lang w:eastAsia="ko-KR"/>
        </w:rPr>
        <w:t>6</w:t>
      </w:r>
      <w:r w:rsidR="0098667C" w:rsidRPr="00C16EF2">
        <w:rPr>
          <w:rFonts w:ascii="Times New Roman" w:eastAsia="Times New Roman,Batang" w:hAnsi="Times New Roman"/>
          <w:lang w:eastAsia="ko-KR"/>
        </w:rPr>
        <w:t xml:space="preserve"> percent</w:t>
      </w:r>
      <w:r w:rsidR="00B82C0A" w:rsidRPr="00C16EF2">
        <w:rPr>
          <w:rFonts w:ascii="Times New Roman" w:eastAsia="Times New Roman,Batang" w:hAnsi="Times New Roman"/>
          <w:lang w:eastAsia="ko-KR"/>
        </w:rPr>
        <w:t xml:space="preserve"> had been completed, </w:t>
      </w:r>
      <w:r w:rsidR="00C16EF2" w:rsidRPr="00C16EF2">
        <w:rPr>
          <w:rFonts w:ascii="Times New Roman" w:eastAsia="Times New Roman,Batang" w:hAnsi="Times New Roman"/>
          <w:lang w:eastAsia="ko-KR"/>
        </w:rPr>
        <w:t xml:space="preserve">15 </w:t>
      </w:r>
      <w:r w:rsidR="0098667C" w:rsidRPr="00C16EF2">
        <w:rPr>
          <w:rFonts w:ascii="Times New Roman" w:eastAsia="Times New Roman,Batang" w:hAnsi="Times New Roman"/>
          <w:lang w:eastAsia="ko-KR"/>
        </w:rPr>
        <w:t>percent</w:t>
      </w:r>
      <w:r w:rsidR="00B82C0A" w:rsidRPr="00C16EF2">
        <w:rPr>
          <w:rFonts w:ascii="Times New Roman" w:eastAsia="Times New Roman,Batang" w:hAnsi="Times New Roman"/>
          <w:lang w:eastAsia="ko-KR"/>
        </w:rPr>
        <w:t xml:space="preserve"> </w:t>
      </w:r>
      <w:r w:rsidR="00F577A5">
        <w:rPr>
          <w:rFonts w:ascii="Times New Roman" w:eastAsia="Times New Roman,Batang" w:hAnsi="Times New Roman"/>
          <w:lang w:eastAsia="ko-KR"/>
        </w:rPr>
        <w:t>were</w:t>
      </w:r>
      <w:r w:rsidR="00B82C0A" w:rsidRPr="00C16EF2">
        <w:rPr>
          <w:rFonts w:ascii="Times New Roman" w:eastAsia="Times New Roman,Batang" w:hAnsi="Times New Roman"/>
          <w:lang w:eastAsia="ko-KR"/>
        </w:rPr>
        <w:t xml:space="preserve"> ongoing, </w:t>
      </w:r>
      <w:r w:rsidR="002525F3" w:rsidRPr="00C16EF2">
        <w:rPr>
          <w:rFonts w:ascii="Times New Roman" w:eastAsia="Times New Roman,Batang" w:hAnsi="Times New Roman"/>
          <w:lang w:eastAsia="ko-KR"/>
        </w:rPr>
        <w:t>5</w:t>
      </w:r>
      <w:r w:rsidR="0098667C" w:rsidRPr="00C16EF2">
        <w:rPr>
          <w:rFonts w:ascii="Times New Roman" w:eastAsia="Times New Roman,Batang" w:hAnsi="Times New Roman"/>
          <w:lang w:eastAsia="ko-KR"/>
        </w:rPr>
        <w:t xml:space="preserve"> percent</w:t>
      </w:r>
      <w:r w:rsidR="00B82C0A" w:rsidRPr="00C16EF2">
        <w:rPr>
          <w:rFonts w:ascii="Times New Roman" w:eastAsia="Times New Roman,Batang" w:hAnsi="Times New Roman"/>
          <w:lang w:eastAsia="ko-KR"/>
        </w:rPr>
        <w:t xml:space="preserve"> ha</w:t>
      </w:r>
      <w:r w:rsidR="00F577A5">
        <w:rPr>
          <w:rFonts w:ascii="Times New Roman" w:eastAsia="Times New Roman,Batang" w:hAnsi="Times New Roman"/>
          <w:lang w:eastAsia="ko-KR"/>
        </w:rPr>
        <w:t>d</w:t>
      </w:r>
      <w:r w:rsidR="00B82C0A" w:rsidRPr="00C16EF2">
        <w:rPr>
          <w:rFonts w:ascii="Times New Roman" w:eastAsia="Times New Roman,Batang" w:hAnsi="Times New Roman"/>
          <w:lang w:eastAsia="ko-KR"/>
        </w:rPr>
        <w:t xml:space="preserve"> not yet been initiated, 8</w:t>
      </w:r>
      <w:r w:rsidR="0098667C" w:rsidRPr="00C16EF2">
        <w:rPr>
          <w:rFonts w:ascii="Times New Roman" w:eastAsia="Times New Roman,Batang" w:hAnsi="Times New Roman"/>
          <w:lang w:eastAsia="ko-KR"/>
        </w:rPr>
        <w:t xml:space="preserve"> percent</w:t>
      </w:r>
      <w:r w:rsidR="00B82C0A" w:rsidRPr="00C16EF2">
        <w:rPr>
          <w:rFonts w:ascii="Times New Roman" w:eastAsia="Times New Roman,Batang" w:hAnsi="Times New Roman"/>
          <w:lang w:eastAsia="ko-KR"/>
        </w:rPr>
        <w:t xml:space="preserve"> were </w:t>
      </w:r>
      <w:r w:rsidR="0098667C" w:rsidRPr="00C16EF2">
        <w:rPr>
          <w:rFonts w:ascii="Times New Roman" w:eastAsia="Times New Roman,Batang" w:hAnsi="Times New Roman"/>
          <w:lang w:eastAsia="ko-KR"/>
        </w:rPr>
        <w:t>overdue,</w:t>
      </w:r>
      <w:r w:rsidR="00B82C0A" w:rsidRPr="00C16EF2">
        <w:rPr>
          <w:rFonts w:ascii="Times New Roman" w:eastAsia="Times New Roman,Batang" w:hAnsi="Times New Roman"/>
          <w:lang w:eastAsia="ko-KR"/>
        </w:rPr>
        <w:t xml:space="preserve"> and </w:t>
      </w:r>
      <w:r w:rsidR="002525F3" w:rsidRPr="00C16EF2">
        <w:rPr>
          <w:rFonts w:ascii="Times New Roman" w:eastAsia="Times New Roman,Batang" w:hAnsi="Times New Roman"/>
          <w:lang w:eastAsia="ko-KR"/>
        </w:rPr>
        <w:t>6</w:t>
      </w:r>
      <w:r w:rsidR="0098667C" w:rsidRPr="00C16EF2">
        <w:rPr>
          <w:rFonts w:ascii="Times New Roman" w:eastAsia="Times New Roman,Batang" w:hAnsi="Times New Roman"/>
          <w:lang w:eastAsia="ko-KR"/>
        </w:rPr>
        <w:t xml:space="preserve"> percent</w:t>
      </w:r>
      <w:r w:rsidR="00B82C0A" w:rsidRPr="00C16EF2">
        <w:rPr>
          <w:rFonts w:ascii="Times New Roman" w:eastAsia="Times New Roman,Batang" w:hAnsi="Times New Roman"/>
          <w:lang w:eastAsia="ko-KR"/>
        </w:rPr>
        <w:t xml:space="preserve"> were no longer applicable</w:t>
      </w:r>
      <w:r w:rsidR="00B82C0A" w:rsidRPr="00C16EF2">
        <w:rPr>
          <w:rStyle w:val="FootnoteReference"/>
          <w:rFonts w:ascii="Times New Roman" w:eastAsia="Times New Roman,Batang" w:hAnsi="Times New Roman"/>
          <w:lang w:eastAsia="ko-KR"/>
        </w:rPr>
        <w:footnoteReference w:id="7"/>
      </w:r>
      <w:r w:rsidR="00B82C0A" w:rsidRPr="00C16EF2">
        <w:rPr>
          <w:rFonts w:ascii="Times New Roman" w:eastAsia="Times New Roman,Batang" w:hAnsi="Times New Roman"/>
          <w:lang w:eastAsia="ko-KR"/>
        </w:rPr>
        <w:t>.</w:t>
      </w:r>
      <w:r w:rsidR="00B82C0A" w:rsidRPr="00995A76">
        <w:rPr>
          <w:rFonts w:ascii="Times New Roman" w:eastAsia="Times New Roman,Batang" w:hAnsi="Times New Roman"/>
          <w:lang w:eastAsia="ko-KR"/>
        </w:rPr>
        <w:t xml:space="preserve"> </w:t>
      </w:r>
    </w:p>
    <w:p w14:paraId="2E1F3AA4" w14:textId="77777777" w:rsidR="005B32D6" w:rsidRDefault="005B32D6" w:rsidP="004B7536">
      <w:pPr>
        <w:spacing w:after="0" w:line="240" w:lineRule="auto"/>
        <w:rPr>
          <w:rFonts w:ascii="Times New Roman" w:eastAsia="Times New Roman,Batang" w:hAnsi="Times New Roman"/>
          <w:b/>
          <w:u w:val="single"/>
          <w:lang w:eastAsia="ko-KR"/>
        </w:rPr>
      </w:pPr>
    </w:p>
    <w:p w14:paraId="0D09A246" w14:textId="77777777" w:rsidR="005B32D6" w:rsidRDefault="005B32D6" w:rsidP="004B7536">
      <w:pPr>
        <w:spacing w:after="0" w:line="240" w:lineRule="auto"/>
        <w:rPr>
          <w:rFonts w:ascii="Times New Roman" w:eastAsia="Times New Roman,Batang" w:hAnsi="Times New Roman"/>
          <w:b/>
          <w:u w:val="single"/>
          <w:lang w:eastAsia="ko-KR"/>
        </w:rPr>
      </w:pPr>
    </w:p>
    <w:p w14:paraId="1DC616D9" w14:textId="58AB745B" w:rsidR="005B32D6" w:rsidRDefault="005B32D6" w:rsidP="005B32D6">
      <w:pPr>
        <w:spacing w:after="0" w:line="240" w:lineRule="auto"/>
        <w:jc w:val="center"/>
        <w:rPr>
          <w:rFonts w:ascii="Times New Roman" w:eastAsia="Times New Roman,Batang" w:hAnsi="Times New Roman"/>
          <w:b/>
          <w:u w:val="single"/>
          <w:lang w:eastAsia="ko-KR"/>
        </w:rPr>
      </w:pPr>
      <w:r>
        <w:rPr>
          <w:noProof/>
        </w:rPr>
        <w:drawing>
          <wp:inline distT="0" distB="0" distL="0" distR="0" wp14:anchorId="449BAD43" wp14:editId="76FAADCC">
            <wp:extent cx="4572000" cy="2862470"/>
            <wp:effectExtent l="0" t="0" r="0" b="14605"/>
            <wp:docPr id="3" name="Chart 3">
              <a:extLst xmlns:a="http://schemas.openxmlformats.org/drawingml/2006/main">
                <a:ext uri="{FF2B5EF4-FFF2-40B4-BE49-F238E27FC236}">
                  <a16:creationId xmlns:a16="http://schemas.microsoft.com/office/drawing/2014/main" id="{07569F93-2A40-4B8F-9530-44EE571BF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EE4D7A" w14:textId="77777777" w:rsidR="005B32D6" w:rsidRDefault="005B32D6" w:rsidP="004B7536">
      <w:pPr>
        <w:spacing w:after="0" w:line="240" w:lineRule="auto"/>
        <w:rPr>
          <w:rFonts w:ascii="Times New Roman" w:eastAsia="Times New Roman,Batang" w:hAnsi="Times New Roman"/>
          <w:b/>
          <w:u w:val="single"/>
          <w:lang w:eastAsia="ko-KR"/>
        </w:rPr>
      </w:pPr>
    </w:p>
    <w:p w14:paraId="4C9B13B3" w14:textId="3F36BFE0" w:rsidR="00CF165D" w:rsidRDefault="00CF165D" w:rsidP="004B7536">
      <w:pPr>
        <w:spacing w:after="0" w:line="240" w:lineRule="auto"/>
        <w:rPr>
          <w:rFonts w:ascii="Times New Roman" w:eastAsia="Times New Roman,Batang" w:hAnsi="Times New Roman"/>
          <w:b/>
          <w:u w:val="single"/>
          <w:lang w:eastAsia="ko-KR"/>
        </w:rPr>
      </w:pPr>
      <w:r w:rsidRPr="005622BE">
        <w:rPr>
          <w:rFonts w:ascii="Times New Roman" w:eastAsia="Times New Roman,Batang" w:hAnsi="Times New Roman"/>
          <w:b/>
          <w:u w:val="single"/>
          <w:lang w:eastAsia="ko-KR"/>
        </w:rPr>
        <w:t>Conclusion</w:t>
      </w:r>
    </w:p>
    <w:p w14:paraId="326BD7F5" w14:textId="77777777" w:rsidR="000A5CDE" w:rsidRPr="004B7536" w:rsidRDefault="000A5CDE" w:rsidP="004B7536">
      <w:pPr>
        <w:spacing w:after="0" w:line="240" w:lineRule="auto"/>
        <w:rPr>
          <w:rFonts w:ascii="Times New Roman" w:eastAsia="Times New Roman,Batang" w:hAnsi="Times New Roman"/>
          <w:lang w:eastAsia="ko-KR"/>
        </w:rPr>
      </w:pPr>
    </w:p>
    <w:p w14:paraId="4AE047D0" w14:textId="77777777" w:rsidR="001778A2" w:rsidRPr="001778A2" w:rsidRDefault="009E76FF" w:rsidP="001778A2">
      <w:pPr>
        <w:spacing w:after="0" w:line="240" w:lineRule="auto"/>
        <w:jc w:val="both"/>
        <w:rPr>
          <w:rFonts w:ascii="Times New Roman" w:eastAsia="Times New Roman,Batang" w:hAnsi="Times New Roman"/>
          <w:lang w:eastAsia="ko-KR"/>
        </w:rPr>
      </w:pPr>
      <w:r>
        <w:rPr>
          <w:rFonts w:ascii="Times New Roman" w:eastAsia="Times New Roman,Batang" w:hAnsi="Times New Roman"/>
          <w:lang w:eastAsia="ko-KR"/>
        </w:rPr>
        <w:t>T</w:t>
      </w:r>
      <w:r w:rsidR="006A4CB0">
        <w:rPr>
          <w:rFonts w:ascii="Times New Roman" w:eastAsia="Times New Roman,Batang" w:hAnsi="Times New Roman"/>
          <w:lang w:eastAsia="ko-KR"/>
        </w:rPr>
        <w:t>here is</w:t>
      </w:r>
      <w:r w:rsidR="00CF165D">
        <w:rPr>
          <w:rFonts w:ascii="Times New Roman" w:eastAsia="Times New Roman,Batang" w:hAnsi="Times New Roman"/>
          <w:lang w:eastAsia="ko-KR"/>
        </w:rPr>
        <w:t xml:space="preserve"> continued progress in strengthening the evaluation function within UNDP</w:t>
      </w:r>
      <w:r>
        <w:rPr>
          <w:rFonts w:ascii="Times New Roman" w:eastAsia="Times New Roman,Batang" w:hAnsi="Times New Roman"/>
          <w:lang w:eastAsia="ko-KR"/>
        </w:rPr>
        <w:t xml:space="preserve">, </w:t>
      </w:r>
      <w:r w:rsidR="00CF165D">
        <w:rPr>
          <w:rFonts w:ascii="Times New Roman" w:eastAsia="Times New Roman,Batang" w:hAnsi="Times New Roman"/>
          <w:lang w:eastAsia="ko-KR"/>
        </w:rPr>
        <w:t>and</w:t>
      </w:r>
      <w:r>
        <w:rPr>
          <w:rFonts w:ascii="Times New Roman" w:eastAsia="Times New Roman,Batang" w:hAnsi="Times New Roman"/>
          <w:lang w:eastAsia="ko-KR"/>
        </w:rPr>
        <w:t xml:space="preserve"> </w:t>
      </w:r>
      <w:r w:rsidR="006A4CB0">
        <w:rPr>
          <w:rFonts w:ascii="Times New Roman" w:eastAsia="Times New Roman,Batang" w:hAnsi="Times New Roman"/>
          <w:lang w:eastAsia="ko-KR"/>
        </w:rPr>
        <w:t xml:space="preserve">the organization </w:t>
      </w:r>
      <w:r w:rsidR="00CF165D">
        <w:rPr>
          <w:rFonts w:ascii="Times New Roman" w:eastAsia="Times New Roman,Batang" w:hAnsi="Times New Roman"/>
          <w:lang w:eastAsia="ko-KR"/>
        </w:rPr>
        <w:t xml:space="preserve">reaffirms its commitment to promoting greater accountability, transparency, evidence-based decision-making and organizational learning. </w:t>
      </w:r>
      <w:r w:rsidR="001778A2" w:rsidRPr="001778A2">
        <w:rPr>
          <w:rFonts w:ascii="Times New Roman" w:eastAsia="Times New Roman,Batang" w:hAnsi="Times New Roman"/>
          <w:lang w:eastAsia="ko-KR"/>
        </w:rPr>
        <w:t>Evaluations provide an important source of evidence of what works and what does not in different contexts, which is critical to maintain a strong results-focus and to continuously improve the quality of UNDP support to help countries tackle their development challenges.</w:t>
      </w:r>
    </w:p>
    <w:p w14:paraId="744F9E94" w14:textId="6C167856" w:rsidR="00CF165D" w:rsidRDefault="00CF165D" w:rsidP="00CF165D">
      <w:pPr>
        <w:spacing w:after="0" w:line="240" w:lineRule="auto"/>
        <w:jc w:val="both"/>
        <w:rPr>
          <w:rFonts w:ascii="Times New Roman" w:eastAsia="Times New Roman,Batang" w:hAnsi="Times New Roman"/>
          <w:lang w:eastAsia="ko-KR"/>
        </w:rPr>
      </w:pPr>
      <w:r>
        <w:rPr>
          <w:rFonts w:ascii="Times New Roman" w:eastAsia="Times New Roman,Batang" w:hAnsi="Times New Roman"/>
          <w:lang w:eastAsia="ko-KR"/>
        </w:rPr>
        <w:t xml:space="preserve">UNDP will continue to work </w:t>
      </w:r>
      <w:r w:rsidR="009E76FF">
        <w:rPr>
          <w:rFonts w:ascii="Times New Roman" w:eastAsia="Times New Roman,Batang" w:hAnsi="Times New Roman"/>
          <w:lang w:eastAsia="ko-KR"/>
        </w:rPr>
        <w:t xml:space="preserve">closely </w:t>
      </w:r>
      <w:r>
        <w:rPr>
          <w:rFonts w:ascii="Times New Roman" w:eastAsia="Times New Roman,Batang" w:hAnsi="Times New Roman"/>
          <w:lang w:eastAsia="ko-KR"/>
        </w:rPr>
        <w:t>with the IEO to carry out its important role in supporting organizational results</w:t>
      </w:r>
      <w:r w:rsidR="00D904B0">
        <w:rPr>
          <w:rFonts w:ascii="Times New Roman" w:eastAsia="Times New Roman,Batang" w:hAnsi="Times New Roman"/>
          <w:lang w:eastAsia="ko-KR"/>
        </w:rPr>
        <w:t xml:space="preserve">, including rolling out and create awareness of the </w:t>
      </w:r>
      <w:r w:rsidR="009E76FF">
        <w:rPr>
          <w:rFonts w:ascii="Times New Roman" w:eastAsia="Times New Roman,Batang" w:hAnsi="Times New Roman"/>
          <w:lang w:eastAsia="ko-KR"/>
        </w:rPr>
        <w:t xml:space="preserve">updated </w:t>
      </w:r>
      <w:r w:rsidR="00D904B0">
        <w:rPr>
          <w:rFonts w:ascii="Times New Roman" w:eastAsia="Times New Roman,Batang" w:hAnsi="Times New Roman"/>
          <w:lang w:eastAsia="ko-KR"/>
        </w:rPr>
        <w:t xml:space="preserve">decentralized evaluation guidelines. </w:t>
      </w:r>
    </w:p>
    <w:p w14:paraId="3C450213" w14:textId="77777777" w:rsidR="00CF165D" w:rsidRDefault="00CF165D" w:rsidP="005E7285">
      <w:pPr>
        <w:spacing w:after="0" w:line="240" w:lineRule="auto"/>
        <w:jc w:val="both"/>
        <w:rPr>
          <w:rFonts w:ascii="Times New Roman" w:eastAsia="Times New Roman,Batang" w:hAnsi="Times New Roman"/>
          <w:lang w:eastAsia="ko-KR"/>
        </w:rPr>
      </w:pPr>
    </w:p>
    <w:p w14:paraId="280D0E59" w14:textId="046E528F" w:rsidR="005E7285" w:rsidRDefault="004B7099" w:rsidP="005E7285">
      <w:pPr>
        <w:spacing w:after="0" w:line="240" w:lineRule="auto"/>
        <w:jc w:val="both"/>
        <w:rPr>
          <w:rFonts w:ascii="Times New Roman" w:hAnsi="Times New Roman"/>
          <w:color w:val="000000"/>
        </w:rPr>
      </w:pPr>
      <w:r>
        <w:rPr>
          <w:rFonts w:ascii="Times New Roman" w:eastAsia="Times New Roman,Batang" w:hAnsi="Times New Roman"/>
          <w:b/>
          <w:lang w:eastAsia="ko-KR"/>
        </w:rPr>
        <w:lastRenderedPageBreak/>
        <w:t>K</w:t>
      </w:r>
      <w:r w:rsidR="001772FA" w:rsidRPr="001772FA">
        <w:rPr>
          <w:rFonts w:ascii="Times New Roman" w:eastAsia="Times New Roman,Batang" w:hAnsi="Times New Roman"/>
          <w:b/>
          <w:lang w:eastAsia="ko-KR"/>
        </w:rPr>
        <w:t>ey results achieved</w:t>
      </w:r>
      <w:r w:rsidR="00E43EC8">
        <w:rPr>
          <w:rFonts w:ascii="Times New Roman" w:eastAsia="Times New Roman,Batang" w:hAnsi="Times New Roman"/>
          <w:b/>
          <w:lang w:eastAsia="ko-KR"/>
        </w:rPr>
        <w:t>,</w:t>
      </w:r>
      <w:r>
        <w:rPr>
          <w:rFonts w:ascii="Times New Roman" w:eastAsia="Times New Roman,Batang" w:hAnsi="Times New Roman"/>
          <w:b/>
          <w:lang w:eastAsia="ko-KR"/>
        </w:rPr>
        <w:t xml:space="preserve"> </w:t>
      </w:r>
      <w:r w:rsidR="001772FA" w:rsidRPr="001772FA">
        <w:rPr>
          <w:rFonts w:ascii="Times New Roman" w:hAnsi="Times New Roman"/>
          <w:b/>
          <w:color w:val="000000"/>
        </w:rPr>
        <w:t>and lessons learned from</w:t>
      </w:r>
      <w:r w:rsidR="001772FA">
        <w:rPr>
          <w:rFonts w:ascii="Times New Roman" w:hAnsi="Times New Roman"/>
          <w:b/>
          <w:color w:val="000000"/>
        </w:rPr>
        <w:t xml:space="preserve"> a select number of</w:t>
      </w:r>
      <w:r w:rsidR="001772FA" w:rsidRPr="001772FA">
        <w:rPr>
          <w:rFonts w:ascii="Times New Roman" w:hAnsi="Times New Roman"/>
          <w:b/>
          <w:color w:val="000000"/>
        </w:rPr>
        <w:t xml:space="preserve"> thematic evaluations</w:t>
      </w:r>
      <w:r w:rsidR="001772FA" w:rsidRPr="001772FA">
        <w:rPr>
          <w:rFonts w:ascii="Times New Roman" w:hAnsi="Times New Roman"/>
          <w:color w:val="000000"/>
        </w:rPr>
        <w:t xml:space="preserve"> </w:t>
      </w:r>
    </w:p>
    <w:p w14:paraId="085BDE68" w14:textId="77777777" w:rsidR="00E8411E" w:rsidRDefault="00E8411E" w:rsidP="00A02D3F">
      <w:pPr>
        <w:pStyle w:val="ColorfulShading-Accent31"/>
        <w:spacing w:after="0" w:line="240" w:lineRule="auto"/>
        <w:ind w:left="0"/>
        <w:jc w:val="both"/>
        <w:rPr>
          <w:rFonts w:ascii="Times New Roman" w:hAnsi="Times New Roman"/>
          <w:color w:val="000000"/>
          <w:lang w:val="en-GB"/>
        </w:rPr>
      </w:pPr>
    </w:p>
    <w:p w14:paraId="5ECADF8E" w14:textId="25330CBF" w:rsidR="00E8411E" w:rsidRPr="000A5CDE" w:rsidRDefault="00A02D3F" w:rsidP="000A5CDE">
      <w:pPr>
        <w:pStyle w:val="ColorfulShading-Accent31"/>
        <w:spacing w:after="0" w:line="240" w:lineRule="auto"/>
        <w:ind w:left="0"/>
        <w:jc w:val="both"/>
        <w:rPr>
          <w:rFonts w:ascii="Times New Roman" w:hAnsi="Times New Roman"/>
          <w:color w:val="000000"/>
          <w:lang w:val="en-GB"/>
        </w:rPr>
      </w:pPr>
      <w:r>
        <w:rPr>
          <w:rFonts w:ascii="Times New Roman" w:hAnsi="Times New Roman"/>
          <w:color w:val="000000"/>
          <w:lang w:val="en-GB"/>
        </w:rPr>
        <w:t xml:space="preserve">Previously the management commentaries </w:t>
      </w:r>
      <w:r w:rsidR="0060012B">
        <w:rPr>
          <w:rFonts w:ascii="Times New Roman" w:hAnsi="Times New Roman"/>
          <w:color w:val="000000"/>
          <w:lang w:val="en-GB"/>
        </w:rPr>
        <w:t>included</w:t>
      </w:r>
      <w:r>
        <w:rPr>
          <w:rFonts w:ascii="Times New Roman" w:hAnsi="Times New Roman"/>
          <w:color w:val="000000"/>
          <w:lang w:val="en-GB"/>
        </w:rPr>
        <w:t xml:space="preserve"> results reporting for all thematic evaluations conducted within the covered </w:t>
      </w:r>
      <w:r w:rsidR="0068031E">
        <w:rPr>
          <w:rFonts w:ascii="Times New Roman" w:hAnsi="Times New Roman"/>
          <w:color w:val="000000"/>
          <w:lang w:val="en-GB"/>
        </w:rPr>
        <w:t>timeframe</w:t>
      </w:r>
      <w:r>
        <w:rPr>
          <w:rFonts w:ascii="Times New Roman" w:hAnsi="Times New Roman"/>
          <w:color w:val="000000"/>
          <w:lang w:val="en-GB"/>
        </w:rPr>
        <w:t xml:space="preserve">. However, </w:t>
      </w:r>
      <w:r w:rsidR="0060012B">
        <w:rPr>
          <w:rFonts w:ascii="Times New Roman" w:hAnsi="Times New Roman"/>
          <w:color w:val="000000"/>
          <w:lang w:val="en-GB"/>
        </w:rPr>
        <w:t xml:space="preserve">in line with UNDP’s commitment to </w:t>
      </w:r>
      <w:r w:rsidR="0068031E">
        <w:rPr>
          <w:rFonts w:ascii="Times New Roman" w:hAnsi="Times New Roman"/>
          <w:color w:val="000000"/>
          <w:lang w:val="en-GB"/>
        </w:rPr>
        <w:t>be</w:t>
      </w:r>
      <w:r w:rsidR="0060012B">
        <w:rPr>
          <w:rFonts w:ascii="Times New Roman" w:hAnsi="Times New Roman"/>
          <w:color w:val="000000"/>
          <w:lang w:val="en-GB"/>
        </w:rPr>
        <w:t xml:space="preserve"> a </w:t>
      </w:r>
      <w:r w:rsidR="0068031E">
        <w:rPr>
          <w:rFonts w:ascii="Times New Roman" w:hAnsi="Times New Roman"/>
          <w:color w:val="000000"/>
          <w:lang w:val="en-GB"/>
        </w:rPr>
        <w:t>result</w:t>
      </w:r>
      <w:r w:rsidR="0060012B">
        <w:rPr>
          <w:rFonts w:ascii="Times New Roman" w:hAnsi="Times New Roman"/>
          <w:color w:val="000000"/>
          <w:lang w:val="en-GB"/>
        </w:rPr>
        <w:t xml:space="preserve"> and learning oriented organization, </w:t>
      </w:r>
      <w:r w:rsidR="0068031E">
        <w:rPr>
          <w:rFonts w:ascii="Times New Roman" w:eastAsia="Times New Roman,Batang" w:hAnsi="Times New Roman"/>
          <w:lang w:eastAsia="ko-KR"/>
        </w:rPr>
        <w:t>going forward the commentaries will instead</w:t>
      </w:r>
      <w:r>
        <w:rPr>
          <w:rFonts w:ascii="Times New Roman" w:eastAsia="Times New Roman,Batang" w:hAnsi="Times New Roman"/>
          <w:lang w:eastAsia="ko-KR"/>
        </w:rPr>
        <w:t xml:space="preserve"> </w:t>
      </w:r>
      <w:r w:rsidR="0068031E">
        <w:rPr>
          <w:rFonts w:ascii="Times New Roman" w:eastAsia="Times New Roman,Batang" w:hAnsi="Times New Roman"/>
          <w:lang w:eastAsia="ko-KR"/>
        </w:rPr>
        <w:t>focus on</w:t>
      </w:r>
      <w:r>
        <w:rPr>
          <w:rFonts w:ascii="Times New Roman" w:eastAsia="Times New Roman,Batang" w:hAnsi="Times New Roman"/>
          <w:lang w:eastAsia="ko-KR"/>
        </w:rPr>
        <w:t xml:space="preserve"> </w:t>
      </w:r>
      <w:r w:rsidR="0068031E">
        <w:rPr>
          <w:rFonts w:ascii="Times New Roman" w:eastAsia="Times New Roman,Batang" w:hAnsi="Times New Roman"/>
          <w:lang w:eastAsia="ko-KR"/>
        </w:rPr>
        <w:t xml:space="preserve">a few </w:t>
      </w:r>
      <w:r>
        <w:rPr>
          <w:rFonts w:ascii="Times New Roman" w:eastAsia="Times New Roman,Batang" w:hAnsi="Times New Roman"/>
          <w:lang w:eastAsia="ko-KR"/>
        </w:rPr>
        <w:t xml:space="preserve">key evaluations </w:t>
      </w:r>
      <w:r w:rsidR="0068031E">
        <w:rPr>
          <w:rFonts w:ascii="Times New Roman" w:eastAsia="Times New Roman,Batang" w:hAnsi="Times New Roman"/>
          <w:lang w:eastAsia="ko-KR"/>
        </w:rPr>
        <w:t xml:space="preserve">to </w:t>
      </w:r>
      <w:r>
        <w:rPr>
          <w:rFonts w:ascii="Times New Roman" w:eastAsia="Times New Roman,Batang" w:hAnsi="Times New Roman"/>
          <w:lang w:eastAsia="ko-KR"/>
        </w:rPr>
        <w:t xml:space="preserve">highlight </w:t>
      </w:r>
      <w:r w:rsidR="0068031E">
        <w:rPr>
          <w:rFonts w:ascii="Times New Roman" w:eastAsia="Times New Roman,Batang" w:hAnsi="Times New Roman"/>
          <w:lang w:eastAsia="ko-KR"/>
        </w:rPr>
        <w:t xml:space="preserve">the major </w:t>
      </w:r>
      <w:r>
        <w:rPr>
          <w:rFonts w:ascii="Times New Roman" w:eastAsia="Times New Roman,Batang" w:hAnsi="Times New Roman"/>
          <w:lang w:eastAsia="ko-KR"/>
        </w:rPr>
        <w:t xml:space="preserve">results achieved and how lessons learned from the evaluations have helped feed into the organization’s programmatic and operational </w:t>
      </w:r>
      <w:r w:rsidR="0068031E">
        <w:rPr>
          <w:rFonts w:ascii="Times New Roman" w:eastAsia="Times New Roman,Batang" w:hAnsi="Times New Roman"/>
          <w:lang w:eastAsia="ko-KR"/>
        </w:rPr>
        <w:t>decision-making</w:t>
      </w:r>
      <w:r w:rsidR="004276C6">
        <w:rPr>
          <w:rFonts w:ascii="Times New Roman" w:eastAsia="Times New Roman,Batang" w:hAnsi="Times New Roman"/>
          <w:lang w:eastAsia="ko-KR"/>
        </w:rPr>
        <w:t xml:space="preserve">. </w:t>
      </w:r>
      <w:r w:rsidRPr="00B3524D">
        <w:rPr>
          <w:rFonts w:ascii="Times New Roman" w:eastAsia="Times New Roman,Batang" w:hAnsi="Times New Roman"/>
          <w:lang w:eastAsia="ko-KR"/>
        </w:rPr>
        <w:t xml:space="preserve">The </w:t>
      </w:r>
      <w:r>
        <w:rPr>
          <w:rFonts w:ascii="Times New Roman" w:eastAsia="Times New Roman,Batang" w:hAnsi="Times New Roman"/>
          <w:lang w:eastAsia="ko-KR"/>
        </w:rPr>
        <w:t xml:space="preserve">full set of </w:t>
      </w:r>
      <w:r w:rsidRPr="00B3524D">
        <w:rPr>
          <w:rFonts w:ascii="Times New Roman" w:eastAsia="Times New Roman,Batang" w:hAnsi="Times New Roman"/>
          <w:lang w:eastAsia="ko-KR"/>
        </w:rPr>
        <w:t>evaluations conducted by the IEO and UNDP programme units, and their related management responses</w:t>
      </w:r>
      <w:r>
        <w:rPr>
          <w:rFonts w:ascii="Times New Roman" w:eastAsia="Times New Roman,Batang" w:hAnsi="Times New Roman"/>
          <w:lang w:eastAsia="ko-KR"/>
        </w:rPr>
        <w:t xml:space="preserve"> </w:t>
      </w:r>
      <w:r w:rsidRPr="00B3524D">
        <w:rPr>
          <w:rFonts w:ascii="Times New Roman" w:eastAsia="Times New Roman,Batang" w:hAnsi="Times New Roman"/>
          <w:lang w:eastAsia="ko-KR"/>
        </w:rPr>
        <w:t xml:space="preserve">are available </w:t>
      </w:r>
      <w:r>
        <w:rPr>
          <w:rFonts w:ascii="Times New Roman" w:eastAsia="Times New Roman,Batang" w:hAnsi="Times New Roman"/>
          <w:lang w:eastAsia="ko-KR"/>
        </w:rPr>
        <w:t>in</w:t>
      </w:r>
      <w:r w:rsidRPr="00B3524D">
        <w:rPr>
          <w:rFonts w:ascii="Times New Roman" w:eastAsia="Times New Roman,Batang" w:hAnsi="Times New Roman"/>
          <w:lang w:eastAsia="ko-KR"/>
        </w:rPr>
        <w:t xml:space="preserve"> the </w:t>
      </w:r>
      <w:hyperlink r:id="rId29">
        <w:r>
          <w:rPr>
            <w:rStyle w:val="Hyperlink"/>
            <w:rFonts w:ascii="Times New Roman" w:eastAsia="Times New Roman,Batang" w:hAnsi="Times New Roman"/>
            <w:color w:val="auto"/>
            <w:u w:val="none"/>
            <w:lang w:eastAsia="ko-KR"/>
          </w:rPr>
          <w:t>ERC</w:t>
        </w:r>
      </w:hyperlink>
      <w:r w:rsidRPr="00B3524D">
        <w:rPr>
          <w:rFonts w:ascii="Times New Roman" w:eastAsia="Times New Roman,Batang" w:hAnsi="Times New Roman"/>
          <w:lang w:eastAsia="ko-KR"/>
        </w:rPr>
        <w:t xml:space="preserve">.  </w:t>
      </w:r>
    </w:p>
    <w:p w14:paraId="1E9FA0E4" w14:textId="77777777" w:rsidR="00E8411E" w:rsidRDefault="00E8411E" w:rsidP="00555D23">
      <w:pPr>
        <w:spacing w:after="0" w:line="240" w:lineRule="auto"/>
        <w:jc w:val="both"/>
        <w:rPr>
          <w:rFonts w:ascii="Times New Roman" w:hAnsi="Times New Roman"/>
          <w:b/>
          <w:bCs/>
          <w:color w:val="0A0A0A"/>
          <w:spacing w:val="8"/>
        </w:rPr>
      </w:pPr>
    </w:p>
    <w:p w14:paraId="70D68B3F" w14:textId="584962D5" w:rsidR="00555D23" w:rsidRDefault="00555D23" w:rsidP="00555D23">
      <w:pPr>
        <w:spacing w:after="0" w:line="240" w:lineRule="auto"/>
        <w:jc w:val="both"/>
        <w:rPr>
          <w:rFonts w:ascii="Times New Roman" w:hAnsi="Times New Roman"/>
          <w:b/>
          <w:bCs/>
          <w:color w:val="0A0A0A"/>
          <w:spacing w:val="8"/>
          <w:u w:val="single"/>
        </w:rPr>
      </w:pPr>
      <w:r w:rsidRPr="000A5CDE">
        <w:rPr>
          <w:rFonts w:ascii="Times New Roman" w:hAnsi="Times New Roman"/>
          <w:b/>
          <w:bCs/>
          <w:color w:val="0A0A0A"/>
          <w:spacing w:val="8"/>
          <w:u w:val="single"/>
        </w:rPr>
        <w:t>Evaluation of UNDP Support to Disability-Inclusive Development (2016)</w:t>
      </w:r>
    </w:p>
    <w:p w14:paraId="12616777" w14:textId="77777777" w:rsidR="009865F7" w:rsidRPr="000A5CDE" w:rsidRDefault="009865F7" w:rsidP="00555D23">
      <w:pPr>
        <w:spacing w:after="0" w:line="240" w:lineRule="auto"/>
        <w:jc w:val="both"/>
        <w:rPr>
          <w:rFonts w:ascii="Times New Roman" w:hAnsi="Times New Roman"/>
          <w:b/>
          <w:bCs/>
          <w:color w:val="0A0A0A"/>
          <w:spacing w:val="8"/>
          <w:u w:val="single"/>
        </w:rPr>
      </w:pPr>
    </w:p>
    <w:p w14:paraId="71A8F422" w14:textId="77777777" w:rsidR="00555D23" w:rsidRPr="0052500F" w:rsidRDefault="00555D23" w:rsidP="00555D23">
      <w:pPr>
        <w:spacing w:after="0" w:line="240" w:lineRule="auto"/>
        <w:jc w:val="both"/>
        <w:rPr>
          <w:rFonts w:ascii="Times New Roman" w:hAnsi="Times New Roman"/>
          <w:spacing w:val="8"/>
        </w:rPr>
      </w:pPr>
      <w:r w:rsidRPr="00037587">
        <w:rPr>
          <w:rFonts w:ascii="Times New Roman" w:hAnsi="Times New Roman"/>
          <w:color w:val="0A0A0A"/>
          <w:spacing w:val="8"/>
        </w:rPr>
        <w:t xml:space="preserve">One billion people </w:t>
      </w:r>
      <w:r w:rsidRPr="00037587">
        <w:rPr>
          <w:rFonts w:ascii="Times New Roman" w:hAnsi="Times New Roman"/>
          <w:spacing w:val="8"/>
        </w:rPr>
        <w:t xml:space="preserve">have a </w:t>
      </w:r>
      <w:r w:rsidRPr="00037587">
        <w:rPr>
          <w:rFonts w:ascii="Times New Roman" w:hAnsi="Times New Roman"/>
          <w:color w:val="0A0A0A"/>
          <w:spacing w:val="8"/>
        </w:rPr>
        <w:t>disabilit</w:t>
      </w:r>
      <w:r w:rsidRPr="00037587">
        <w:rPr>
          <w:rFonts w:ascii="Times New Roman" w:hAnsi="Times New Roman"/>
          <w:spacing w:val="8"/>
        </w:rPr>
        <w:t>y</w:t>
      </w:r>
      <w:r w:rsidRPr="00037587">
        <w:rPr>
          <w:rFonts w:ascii="Times New Roman" w:hAnsi="Times New Roman"/>
          <w:color w:val="0A0A0A"/>
          <w:spacing w:val="8"/>
        </w:rPr>
        <w:t>, making them the largest minority in the world. </w:t>
      </w:r>
      <w:r w:rsidRPr="00037587">
        <w:rPr>
          <w:rFonts w:ascii="Times New Roman" w:hAnsi="Times New Roman"/>
        </w:rPr>
        <w:t xml:space="preserve">Disability is a multi-dimensional development and human rights issue. Disability inclusion is instrumental to the </w:t>
      </w:r>
      <w:r>
        <w:rPr>
          <w:rFonts w:ascii="Times New Roman" w:hAnsi="Times New Roman"/>
        </w:rPr>
        <w:t>SDGs</w:t>
      </w:r>
      <w:r w:rsidRPr="00037587">
        <w:rPr>
          <w:rFonts w:ascii="Times New Roman" w:hAnsi="Times New Roman"/>
        </w:rPr>
        <w:t xml:space="preserve"> and its central pledge to leave no one behind and to reach the furthest behind first. </w:t>
      </w:r>
      <w:r w:rsidRPr="00037587">
        <w:rPr>
          <w:rFonts w:ascii="Times New Roman" w:hAnsi="Times New Roman"/>
          <w:color w:val="0A0A0A"/>
          <w:spacing w:val="8"/>
        </w:rPr>
        <w:t xml:space="preserve">In the </w:t>
      </w:r>
      <w:r>
        <w:rPr>
          <w:rFonts w:ascii="Times New Roman" w:hAnsi="Times New Roman"/>
          <w:color w:val="0A0A0A"/>
          <w:spacing w:val="8"/>
        </w:rPr>
        <w:t>2018-21 SP</w:t>
      </w:r>
      <w:r w:rsidRPr="00037587">
        <w:rPr>
          <w:rFonts w:ascii="Times New Roman" w:hAnsi="Times New Roman"/>
          <w:color w:val="0A0A0A"/>
          <w:spacing w:val="8"/>
        </w:rPr>
        <w:t xml:space="preserve">, UNDP is committed to an inclusive approach to sustainable human development which benefits all. UNDP has a strong and institutional commitment to mainstream human rights including the rights of persons with disabilities in our work, through the human rights-based approach to our development programming. </w:t>
      </w:r>
      <w:r w:rsidRPr="00037587">
        <w:rPr>
          <w:rFonts w:ascii="Times New Roman" w:hAnsi="Times New Roman"/>
          <w:spacing w:val="8"/>
        </w:rPr>
        <w:t xml:space="preserve">UNDP is also implementing specific programmes in countries around the world to support disability inclusion across our mandate. </w:t>
      </w:r>
      <w:r w:rsidRPr="00037587">
        <w:rPr>
          <w:rFonts w:ascii="Times New Roman" w:hAnsi="Times New Roman"/>
          <w:color w:val="0A0A0A"/>
          <w:spacing w:val="8"/>
        </w:rPr>
        <w:t>The inclusion of persons with disabilities in our work is instrumental to the achievement of human development and the SDGs</w:t>
      </w:r>
      <w:r w:rsidRPr="00037587">
        <w:rPr>
          <w:rFonts w:ascii="Times New Roman" w:hAnsi="Times New Roman"/>
          <w:spacing w:val="8"/>
        </w:rPr>
        <w:t>.</w:t>
      </w:r>
    </w:p>
    <w:p w14:paraId="7E51F982" w14:textId="77777777" w:rsidR="002E2D34" w:rsidRPr="002E2D34" w:rsidRDefault="002E2D34" w:rsidP="002E2D34">
      <w:pPr>
        <w:pStyle w:val="NormalWeb"/>
        <w:spacing w:before="0" w:beforeAutospacing="0" w:after="0" w:afterAutospacing="0"/>
        <w:jc w:val="both"/>
        <w:rPr>
          <w:color w:val="0A0A0A"/>
          <w:spacing w:val="8"/>
          <w:sz w:val="22"/>
          <w:szCs w:val="22"/>
        </w:rPr>
      </w:pPr>
    </w:p>
    <w:p w14:paraId="63353DAF" w14:textId="00ECDBB6" w:rsidR="002E2D34" w:rsidRPr="002E2D34" w:rsidRDefault="00555D23" w:rsidP="002E2D34">
      <w:pPr>
        <w:pStyle w:val="NormalWeb"/>
        <w:spacing w:before="0" w:beforeAutospacing="0" w:after="0" w:afterAutospacing="0"/>
        <w:jc w:val="both"/>
        <w:rPr>
          <w:spacing w:val="8"/>
          <w:sz w:val="22"/>
          <w:szCs w:val="22"/>
        </w:rPr>
      </w:pPr>
      <w:r w:rsidRPr="002E2D34">
        <w:rPr>
          <w:color w:val="0A0A0A"/>
          <w:spacing w:val="8"/>
          <w:sz w:val="22"/>
          <w:szCs w:val="22"/>
        </w:rPr>
        <w:t>To ensure UNDP is making progress against this commitment, the IRRF of the SP incorporated two outcome</w:t>
      </w:r>
      <w:r w:rsidRPr="002E2D34">
        <w:rPr>
          <w:spacing w:val="8"/>
          <w:sz w:val="22"/>
          <w:szCs w:val="22"/>
        </w:rPr>
        <w:t>s</w:t>
      </w:r>
      <w:r w:rsidRPr="002E2D34">
        <w:rPr>
          <w:color w:val="0A0A0A"/>
          <w:spacing w:val="8"/>
          <w:sz w:val="22"/>
          <w:szCs w:val="22"/>
        </w:rPr>
        <w:t>, four output</w:t>
      </w:r>
      <w:r w:rsidRPr="002E2D34">
        <w:rPr>
          <w:spacing w:val="8"/>
          <w:sz w:val="22"/>
          <w:szCs w:val="22"/>
        </w:rPr>
        <w:t>s</w:t>
      </w:r>
      <w:r w:rsidRPr="002E2D34">
        <w:rPr>
          <w:color w:val="0A0A0A"/>
          <w:spacing w:val="8"/>
          <w:sz w:val="22"/>
          <w:szCs w:val="22"/>
        </w:rPr>
        <w:t xml:space="preserve"> and one institutional indicator that are disaggregated by </w:t>
      </w:r>
      <w:r w:rsidRPr="002E2D34">
        <w:rPr>
          <w:spacing w:val="8"/>
          <w:sz w:val="22"/>
          <w:szCs w:val="22"/>
        </w:rPr>
        <w:t xml:space="preserve">persons with disabilities </w:t>
      </w:r>
      <w:r w:rsidRPr="002E2D34">
        <w:rPr>
          <w:color w:val="0A0A0A"/>
          <w:spacing w:val="8"/>
          <w:sz w:val="22"/>
          <w:szCs w:val="22"/>
        </w:rPr>
        <w:t>or sensitive to the needs and rights of</w:t>
      </w:r>
      <w:r w:rsidRPr="002E2D34">
        <w:rPr>
          <w:spacing w:val="8"/>
          <w:sz w:val="22"/>
          <w:szCs w:val="22"/>
        </w:rPr>
        <w:t xml:space="preserve"> persons with disabilities.</w:t>
      </w:r>
      <w:r w:rsidRPr="002E2D34">
        <w:rPr>
          <w:color w:val="0A0A0A"/>
          <w:spacing w:val="8"/>
          <w:sz w:val="22"/>
          <w:szCs w:val="22"/>
        </w:rPr>
        <w:t> </w:t>
      </w:r>
      <w:r w:rsidR="002E2D34" w:rsidRPr="002E2D34">
        <w:rPr>
          <w:spacing w:val="8"/>
          <w:sz w:val="22"/>
          <w:szCs w:val="22"/>
        </w:rPr>
        <w:t xml:space="preserve">In 2018, 48 per cent of the UNDP country programmes approved </w:t>
      </w:r>
      <w:r w:rsidR="006320A8">
        <w:rPr>
          <w:spacing w:val="8"/>
          <w:sz w:val="22"/>
          <w:szCs w:val="22"/>
        </w:rPr>
        <w:t xml:space="preserve">are designed to measure </w:t>
      </w:r>
      <w:r w:rsidR="00C5021C">
        <w:rPr>
          <w:spacing w:val="8"/>
          <w:sz w:val="22"/>
          <w:szCs w:val="22"/>
        </w:rPr>
        <w:t xml:space="preserve">progress for </w:t>
      </w:r>
      <w:r w:rsidR="002E2D34" w:rsidRPr="002E2D34">
        <w:rPr>
          <w:spacing w:val="8"/>
          <w:sz w:val="22"/>
          <w:szCs w:val="22"/>
        </w:rPr>
        <w:t xml:space="preserve">persons with disabilities, a </w:t>
      </w:r>
      <w:r w:rsidR="00C5021C">
        <w:rPr>
          <w:spacing w:val="8"/>
          <w:sz w:val="22"/>
          <w:szCs w:val="22"/>
        </w:rPr>
        <w:t xml:space="preserve">rapid </w:t>
      </w:r>
      <w:r w:rsidR="002E2D34" w:rsidRPr="002E2D34">
        <w:rPr>
          <w:spacing w:val="8"/>
          <w:sz w:val="22"/>
          <w:szCs w:val="22"/>
        </w:rPr>
        <w:t xml:space="preserve">increase from only seven per cent in 2017, indicating the </w:t>
      </w:r>
      <w:r w:rsidR="00C5021C">
        <w:rPr>
          <w:spacing w:val="8"/>
          <w:sz w:val="22"/>
          <w:szCs w:val="22"/>
        </w:rPr>
        <w:t xml:space="preserve">swift </w:t>
      </w:r>
      <w:r w:rsidR="002E2D34" w:rsidRPr="002E2D34">
        <w:rPr>
          <w:spacing w:val="8"/>
          <w:sz w:val="22"/>
          <w:szCs w:val="22"/>
        </w:rPr>
        <w:t>integration of persons with disabilities in the way we work.</w:t>
      </w:r>
    </w:p>
    <w:p w14:paraId="419CE64C" w14:textId="77777777" w:rsidR="002E2D34" w:rsidRPr="00110881" w:rsidRDefault="002E2D34" w:rsidP="002E2D34">
      <w:pPr>
        <w:pStyle w:val="NormalWeb"/>
        <w:spacing w:before="0" w:beforeAutospacing="0" w:after="0" w:afterAutospacing="0"/>
        <w:jc w:val="both"/>
        <w:rPr>
          <w:rFonts w:asciiTheme="minorHAnsi" w:hAnsiTheme="minorHAnsi" w:cstheme="minorHAnsi"/>
          <w:spacing w:val="8"/>
        </w:rPr>
      </w:pPr>
    </w:p>
    <w:p w14:paraId="59C82D60" w14:textId="77777777" w:rsidR="00A65B9D" w:rsidRPr="00037587" w:rsidRDefault="00A65B9D" w:rsidP="00A65B9D">
      <w:pPr>
        <w:spacing w:line="240" w:lineRule="auto"/>
        <w:jc w:val="both"/>
        <w:rPr>
          <w:rFonts w:ascii="Times New Roman" w:hAnsi="Times New Roman"/>
          <w:spacing w:val="8"/>
        </w:rPr>
      </w:pPr>
      <w:r w:rsidRPr="00037587">
        <w:rPr>
          <w:rFonts w:ascii="Times New Roman" w:hAnsi="Times New Roman"/>
          <w:spacing w:val="8"/>
        </w:rPr>
        <w:t>2018 concluded action across UNDP on the management response to the independent evaluation of UNDP’s work on disability inclusive development (Jan 2017). Th</w:t>
      </w:r>
      <w:r>
        <w:rPr>
          <w:rFonts w:ascii="Times New Roman" w:hAnsi="Times New Roman"/>
          <w:spacing w:val="8"/>
        </w:rPr>
        <w:t>e</w:t>
      </w:r>
      <w:r w:rsidRPr="00037587">
        <w:rPr>
          <w:rFonts w:ascii="Times New Roman" w:hAnsi="Times New Roman"/>
          <w:spacing w:val="8"/>
        </w:rPr>
        <w:t xml:space="preserve"> evaluation recognized UNDP’s leading role in supporting disability inclusion at country level and highlighted actions that could be taken to further this support. Concluding this process</w:t>
      </w:r>
      <w:r>
        <w:rPr>
          <w:rFonts w:ascii="Times New Roman" w:hAnsi="Times New Roman"/>
          <w:spacing w:val="8"/>
        </w:rPr>
        <w:t>,</w:t>
      </w:r>
      <w:r w:rsidRPr="00037587">
        <w:rPr>
          <w:rFonts w:ascii="Times New Roman" w:hAnsi="Times New Roman"/>
          <w:spacing w:val="8"/>
        </w:rPr>
        <w:t xml:space="preserve"> it is clear the evaluation prompted many important steps forward for UNDP</w:t>
      </w:r>
      <w:r>
        <w:rPr>
          <w:rFonts w:ascii="Times New Roman" w:hAnsi="Times New Roman"/>
          <w:spacing w:val="8"/>
        </w:rPr>
        <w:t>-</w:t>
      </w:r>
      <w:r w:rsidRPr="00037587">
        <w:rPr>
          <w:rFonts w:ascii="Times New Roman" w:hAnsi="Times New Roman"/>
          <w:spacing w:val="8"/>
        </w:rPr>
        <w:t xml:space="preserve"> building on previous good practice, including how to make UNDP a more inclusive employer.  Importantly, it also facilitated coordinated action across UNDP to further our objective to support disability inclusion. Coordination mechanisms established to maintain momentum on the evaluation follow-up will remain as an important collaboration platform to enhance our knowledge and coordinated support for disability inclusion in UNDP.</w:t>
      </w:r>
      <w:r>
        <w:rPr>
          <w:rFonts w:ascii="Times New Roman" w:hAnsi="Times New Roman"/>
          <w:spacing w:val="8"/>
        </w:rPr>
        <w:t xml:space="preserve"> For example, in 2018 </w:t>
      </w:r>
      <w:r w:rsidRPr="00037587">
        <w:rPr>
          <w:rFonts w:ascii="Times New Roman" w:hAnsi="Times New Roman"/>
          <w:spacing w:val="8"/>
        </w:rPr>
        <w:t>UNDP has</w:t>
      </w:r>
      <w:r>
        <w:rPr>
          <w:rFonts w:ascii="Times New Roman" w:hAnsi="Times New Roman"/>
          <w:spacing w:val="8"/>
        </w:rPr>
        <w:t xml:space="preserve"> with ILO</w:t>
      </w:r>
      <w:r w:rsidRPr="00037587">
        <w:rPr>
          <w:rFonts w:ascii="Times New Roman" w:hAnsi="Times New Roman"/>
          <w:spacing w:val="8"/>
        </w:rPr>
        <w:t xml:space="preserve"> been co-leading a system-wide initiative to finalize a UN Disability Inclusion Strategy for the UN system</w:t>
      </w:r>
      <w:r>
        <w:rPr>
          <w:rFonts w:ascii="Times New Roman" w:hAnsi="Times New Roman"/>
          <w:spacing w:val="8"/>
        </w:rPr>
        <w:t xml:space="preserve">, with the objective to </w:t>
      </w:r>
      <w:r w:rsidRPr="00037587">
        <w:rPr>
          <w:rFonts w:ascii="Times New Roman" w:hAnsi="Times New Roman"/>
          <w:spacing w:val="8"/>
        </w:rPr>
        <w:t xml:space="preserve">address existing gaps across the system and support coordinated efforts to create a basis for lasting and transformative change on disability inclusion. </w:t>
      </w:r>
    </w:p>
    <w:p w14:paraId="23C03FFA" w14:textId="77777777" w:rsidR="00555D23" w:rsidRPr="00037587" w:rsidRDefault="00555D23" w:rsidP="00555D23">
      <w:pPr>
        <w:spacing w:line="240" w:lineRule="auto"/>
        <w:jc w:val="both"/>
        <w:rPr>
          <w:rFonts w:ascii="Times New Roman" w:hAnsi="Times New Roman"/>
        </w:rPr>
      </w:pPr>
      <w:r w:rsidRPr="00037587">
        <w:rPr>
          <w:rFonts w:ascii="Times New Roman" w:hAnsi="Times New Roman"/>
        </w:rPr>
        <w:t xml:space="preserve">In 2018, UNDP launched a comprehensive Guidance Note on Disability Inclusive Development which incorporates a reflection on UNDP’s comparative advantage and builds on the many good practices globally reflecting the diversity and depth of interventions undertaken by UNDP. This Guidance demonstrates that Inclusive policies and programmes are sound investments in society and seeks to galvanize momentum within the twin frameworks of the Convention on the Rights of Persons with Disabilities and the Sustainable Development Goals. It is a testimony to the organization’s efforts in supporting disability inclusive development across UNDP’s mandate, both as a means in itself and a catalyst for sustainable human development. </w:t>
      </w:r>
    </w:p>
    <w:p w14:paraId="71BC9A5D" w14:textId="77777777" w:rsidR="00555D23" w:rsidRPr="004B7536" w:rsidRDefault="00555D23" w:rsidP="00555D23">
      <w:pPr>
        <w:spacing w:line="240" w:lineRule="auto"/>
        <w:jc w:val="both"/>
        <w:rPr>
          <w:rFonts w:ascii="Times New Roman" w:hAnsi="Times New Roman"/>
        </w:rPr>
      </w:pPr>
      <w:r w:rsidRPr="00037587">
        <w:rPr>
          <w:rFonts w:ascii="Times New Roman" w:hAnsi="Times New Roman"/>
        </w:rPr>
        <w:lastRenderedPageBreak/>
        <w:t xml:space="preserve">The Government of </w:t>
      </w:r>
      <w:r w:rsidRPr="00037587">
        <w:rPr>
          <w:rFonts w:ascii="Times New Roman" w:hAnsi="Times New Roman"/>
          <w:b/>
          <w:bCs/>
        </w:rPr>
        <w:t>Somalia</w:t>
      </w:r>
      <w:r w:rsidRPr="00037587">
        <w:rPr>
          <w:rFonts w:ascii="Times New Roman" w:hAnsi="Times New Roman"/>
        </w:rPr>
        <w:t xml:space="preserve"> has progressed the protection of human rights, with support from a new UN Joint Programme on Human Rights. It ratified the Convention on the Rights of Persons with Disabilities in 2018, and the Government prepared bills approved in Parliament to establish a Human Rights Commission and a Disability Rights Agency.  In </w:t>
      </w:r>
      <w:r w:rsidRPr="00037587">
        <w:rPr>
          <w:rFonts w:ascii="Times New Roman" w:hAnsi="Times New Roman"/>
          <w:b/>
          <w:bCs/>
        </w:rPr>
        <w:t>Honduras</w:t>
      </w:r>
      <w:r w:rsidRPr="00037587">
        <w:rPr>
          <w:rFonts w:ascii="Times New Roman" w:hAnsi="Times New Roman"/>
        </w:rPr>
        <w:t xml:space="preserve">, strategic alliances were established with the private sector to enhance their contribution to the 2030 Agenda through corporate social responsibility and the promotion of inclusive business models. One example is the Fab Lab that produces prosthetics for returned migrants with disabilities, featured at the 2018 World Disability Summit.  In </w:t>
      </w:r>
      <w:r w:rsidRPr="00037587">
        <w:rPr>
          <w:rFonts w:ascii="Times New Roman" w:hAnsi="Times New Roman"/>
          <w:b/>
          <w:bCs/>
        </w:rPr>
        <w:t>Cambodia</w:t>
      </w:r>
      <w:r w:rsidRPr="00037587">
        <w:rPr>
          <w:rFonts w:ascii="Times New Roman" w:hAnsi="Times New Roman"/>
        </w:rPr>
        <w:t xml:space="preserve">, working with Government and civil society, UNDP helped register 7,731 persons with disabilities (37 per cent female) in the disability allowance scheme, 1,472 (51 per cent female) of whom received the allowance in 2018.  </w:t>
      </w:r>
    </w:p>
    <w:p w14:paraId="6998F9CC" w14:textId="2CB3F003" w:rsidR="00A02D3F" w:rsidRPr="000A5CDE" w:rsidRDefault="00A02D3F" w:rsidP="00D4218A">
      <w:pPr>
        <w:spacing w:after="0" w:line="240" w:lineRule="auto"/>
        <w:jc w:val="both"/>
        <w:rPr>
          <w:rFonts w:ascii="Times New Roman" w:hAnsi="Times New Roman"/>
          <w:color w:val="000000"/>
          <w:u w:val="single"/>
          <w:lang w:val="en-GB"/>
        </w:rPr>
      </w:pPr>
    </w:p>
    <w:p w14:paraId="7AF600C0" w14:textId="327CCE69" w:rsidR="00555D23" w:rsidRDefault="00FE0E8E" w:rsidP="00F658E3">
      <w:pPr>
        <w:tabs>
          <w:tab w:val="left" w:pos="360"/>
        </w:tabs>
        <w:spacing w:after="0" w:line="240" w:lineRule="auto"/>
        <w:contextualSpacing/>
        <w:jc w:val="both"/>
        <w:rPr>
          <w:rFonts w:ascii="Times New Roman" w:eastAsia="Times New Roman,Batang" w:hAnsi="Times New Roman"/>
          <w:b/>
          <w:bCs/>
          <w:u w:val="single"/>
          <w:lang w:eastAsia="ko-KR"/>
        </w:rPr>
      </w:pPr>
      <w:r w:rsidRPr="000A5CDE">
        <w:rPr>
          <w:rFonts w:ascii="Times New Roman" w:eastAsia="Times New Roman,Batang" w:hAnsi="Times New Roman"/>
          <w:b/>
          <w:bCs/>
          <w:u w:val="single"/>
          <w:lang w:eastAsia="ko-KR"/>
        </w:rPr>
        <w:t>Joint Assessment of the I</w:t>
      </w:r>
      <w:r w:rsidR="00DD0F32" w:rsidRPr="000A5CDE">
        <w:rPr>
          <w:rFonts w:ascii="Times New Roman" w:eastAsia="Times New Roman,Batang" w:hAnsi="Times New Roman"/>
          <w:b/>
          <w:bCs/>
          <w:u w:val="single"/>
          <w:lang w:eastAsia="ko-KR"/>
        </w:rPr>
        <w:t xml:space="preserve">nstitutional </w:t>
      </w:r>
      <w:r w:rsidRPr="000A5CDE">
        <w:rPr>
          <w:rFonts w:ascii="Times New Roman" w:eastAsia="Times New Roman,Batang" w:hAnsi="Times New Roman"/>
          <w:b/>
          <w:bCs/>
          <w:u w:val="single"/>
          <w:lang w:eastAsia="ko-KR"/>
        </w:rPr>
        <w:t>E</w:t>
      </w:r>
      <w:r w:rsidR="00DD0F32" w:rsidRPr="000A5CDE">
        <w:rPr>
          <w:rFonts w:ascii="Times New Roman" w:eastAsia="Times New Roman,Batang" w:hAnsi="Times New Roman"/>
          <w:b/>
          <w:bCs/>
          <w:u w:val="single"/>
          <w:lang w:eastAsia="ko-KR"/>
        </w:rPr>
        <w:t>ffectiveness</w:t>
      </w:r>
      <w:r w:rsidRPr="000A5CDE">
        <w:rPr>
          <w:rFonts w:ascii="Times New Roman" w:eastAsia="Times New Roman,Batang" w:hAnsi="Times New Roman"/>
          <w:b/>
          <w:bCs/>
          <w:u w:val="single"/>
          <w:lang w:eastAsia="ko-KR"/>
        </w:rPr>
        <w:t xml:space="preserve"> of UNDP (2017)</w:t>
      </w:r>
    </w:p>
    <w:p w14:paraId="79074F82" w14:textId="77777777" w:rsidR="000A5CDE" w:rsidRPr="000A5CDE" w:rsidRDefault="000A5CDE" w:rsidP="00F658E3">
      <w:pPr>
        <w:tabs>
          <w:tab w:val="left" w:pos="360"/>
        </w:tabs>
        <w:spacing w:after="0" w:line="240" w:lineRule="auto"/>
        <w:contextualSpacing/>
        <w:jc w:val="both"/>
        <w:rPr>
          <w:rFonts w:ascii="Times New Roman" w:eastAsia="Times New Roman,Batang" w:hAnsi="Times New Roman"/>
          <w:b/>
          <w:bCs/>
          <w:u w:val="single"/>
          <w:lang w:eastAsia="ko-KR"/>
        </w:rPr>
      </w:pPr>
    </w:p>
    <w:p w14:paraId="5A3FF1D7" w14:textId="7B9EBB0B" w:rsidR="00DD0F32" w:rsidRPr="00DD0F32" w:rsidRDefault="00DD0F32" w:rsidP="00F658E3">
      <w:pPr>
        <w:tabs>
          <w:tab w:val="left" w:pos="360"/>
        </w:tabs>
        <w:spacing w:after="0" w:line="240" w:lineRule="auto"/>
        <w:contextualSpacing/>
        <w:jc w:val="both"/>
        <w:rPr>
          <w:rFonts w:ascii="Times New Roman" w:eastAsia="Times New Roman,Batang" w:hAnsi="Times New Roman"/>
          <w:bCs/>
          <w:lang w:eastAsia="ko-KR"/>
        </w:rPr>
      </w:pPr>
      <w:r w:rsidRPr="001968D8">
        <w:rPr>
          <w:rFonts w:ascii="Times New Roman" w:eastAsia="Times New Roman,Batang" w:hAnsi="Times New Roman"/>
          <w:bCs/>
          <w:lang w:eastAsia="ko-KR"/>
        </w:rPr>
        <w:t>UNDP promot</w:t>
      </w:r>
      <w:r>
        <w:rPr>
          <w:rFonts w:ascii="Times New Roman" w:eastAsia="Times New Roman,Batang" w:hAnsi="Times New Roman"/>
          <w:bCs/>
          <w:lang w:eastAsia="ko-KR"/>
        </w:rPr>
        <w:t>es</w:t>
      </w:r>
      <w:r w:rsidRPr="001968D8">
        <w:rPr>
          <w:rFonts w:ascii="Times New Roman" w:eastAsia="Times New Roman,Batang" w:hAnsi="Times New Roman"/>
          <w:bCs/>
          <w:lang w:eastAsia="ko-KR"/>
        </w:rPr>
        <w:t xml:space="preserve"> </w:t>
      </w:r>
      <w:r>
        <w:rPr>
          <w:rFonts w:ascii="Times New Roman" w:eastAsia="Times New Roman,Batang" w:hAnsi="Times New Roman"/>
          <w:bCs/>
          <w:lang w:eastAsia="ko-KR"/>
        </w:rPr>
        <w:t xml:space="preserve">and continually undertakes efforts to establish </w:t>
      </w:r>
      <w:r w:rsidRPr="001968D8">
        <w:rPr>
          <w:rFonts w:ascii="Times New Roman" w:hAnsi="Times New Roman"/>
        </w:rPr>
        <w:t xml:space="preserve">an organizational results culture that uses </w:t>
      </w:r>
      <w:r w:rsidRPr="00DD0F32">
        <w:rPr>
          <w:rFonts w:ascii="Times New Roman" w:hAnsi="Times New Roman"/>
        </w:rPr>
        <w:t xml:space="preserve">findings and recommendations from evaluations and audits for strategic decision-making, learning from successes, failure and from innovation. </w:t>
      </w:r>
      <w:r w:rsidRPr="00DD0F32">
        <w:rPr>
          <w:rFonts w:ascii="Times New Roman" w:eastAsia="Times New Roman,Batang" w:hAnsi="Times New Roman"/>
          <w:bCs/>
          <w:lang w:eastAsia="ko-KR"/>
        </w:rPr>
        <w:t>F</w:t>
      </w:r>
      <w:r w:rsidR="007F69C0" w:rsidRPr="00DD0F32">
        <w:rPr>
          <w:rFonts w:ascii="Times New Roman" w:eastAsia="Times New Roman,Batang" w:hAnsi="Times New Roman"/>
          <w:bCs/>
          <w:lang w:eastAsia="ko-KR"/>
        </w:rPr>
        <w:t xml:space="preserve">indings </w:t>
      </w:r>
      <w:r w:rsidRPr="00DD0F32">
        <w:rPr>
          <w:rFonts w:ascii="Times New Roman" w:eastAsia="Times New Roman,Batang" w:hAnsi="Times New Roman"/>
          <w:bCs/>
          <w:lang w:eastAsia="ko-KR"/>
        </w:rPr>
        <w:t>from evaluations such as the</w:t>
      </w:r>
      <w:r w:rsidR="007F69C0" w:rsidRPr="00DD0F32">
        <w:rPr>
          <w:rFonts w:ascii="Times New Roman" w:eastAsia="Times New Roman,Batang" w:hAnsi="Times New Roman"/>
          <w:bCs/>
          <w:lang w:eastAsia="ko-KR"/>
        </w:rPr>
        <w:t xml:space="preserve"> </w:t>
      </w:r>
      <w:r w:rsidR="00CF165D" w:rsidRPr="00DD0F32">
        <w:rPr>
          <w:rFonts w:ascii="Times New Roman" w:eastAsia="Times New Roman,Batang" w:hAnsi="Times New Roman"/>
          <w:bCs/>
          <w:lang w:eastAsia="ko-KR"/>
        </w:rPr>
        <w:t>2017</w:t>
      </w:r>
      <w:r w:rsidR="00B01230" w:rsidRPr="00DD0F32">
        <w:rPr>
          <w:rFonts w:ascii="Times New Roman" w:eastAsia="Times New Roman,Batang" w:hAnsi="Times New Roman"/>
          <w:bCs/>
          <w:lang w:eastAsia="ko-KR"/>
        </w:rPr>
        <w:t xml:space="preserve"> </w:t>
      </w:r>
      <w:r w:rsidR="00B01230" w:rsidRPr="00FE0E8E">
        <w:rPr>
          <w:rFonts w:ascii="Times New Roman" w:eastAsia="Times New Roman,Batang" w:hAnsi="Times New Roman"/>
          <w:bCs/>
          <w:lang w:eastAsia="ko-KR"/>
        </w:rPr>
        <w:t>Joint Assessment of the Institutional Effectiveness of UNDP</w:t>
      </w:r>
      <w:r w:rsidR="007F69C0" w:rsidRPr="00DD0F32">
        <w:rPr>
          <w:rFonts w:ascii="Times New Roman" w:eastAsia="Times New Roman,Batang" w:hAnsi="Times New Roman"/>
          <w:bCs/>
          <w:lang w:eastAsia="ko-KR"/>
        </w:rPr>
        <w:t>,</w:t>
      </w:r>
      <w:r w:rsidR="00B01230" w:rsidRPr="00DD0F32">
        <w:rPr>
          <w:rFonts w:ascii="Times New Roman" w:eastAsia="Times New Roman,Batang" w:hAnsi="Times New Roman"/>
          <w:bCs/>
          <w:lang w:eastAsia="ko-KR"/>
        </w:rPr>
        <w:t xml:space="preserve"> </w:t>
      </w:r>
      <w:r w:rsidR="007717CB" w:rsidRPr="00DD0F32">
        <w:rPr>
          <w:rFonts w:ascii="Times New Roman" w:eastAsia="Times New Roman,Batang" w:hAnsi="Times New Roman"/>
          <w:bCs/>
          <w:lang w:eastAsia="ko-KR"/>
        </w:rPr>
        <w:t xml:space="preserve">conducted by the IEO and </w:t>
      </w:r>
      <w:r w:rsidR="001968D8" w:rsidRPr="00DD0F32">
        <w:rPr>
          <w:rFonts w:ascii="Times New Roman" w:eastAsia="Times New Roman,Batang" w:hAnsi="Times New Roman"/>
          <w:bCs/>
          <w:lang w:eastAsia="ko-KR"/>
        </w:rPr>
        <w:t xml:space="preserve">the </w:t>
      </w:r>
      <w:r w:rsidR="007717CB" w:rsidRPr="00DD0F32">
        <w:rPr>
          <w:rFonts w:ascii="Times New Roman" w:eastAsia="Times New Roman,Batang" w:hAnsi="Times New Roman"/>
          <w:bCs/>
          <w:lang w:eastAsia="ko-KR"/>
        </w:rPr>
        <w:t>OAI</w:t>
      </w:r>
      <w:r w:rsidR="007F69C0" w:rsidRPr="00DD0F32">
        <w:rPr>
          <w:rFonts w:ascii="Times New Roman" w:eastAsia="Times New Roman,Batang" w:hAnsi="Times New Roman"/>
          <w:bCs/>
          <w:lang w:eastAsia="ko-KR"/>
        </w:rPr>
        <w:t>,</w:t>
      </w:r>
      <w:r w:rsidR="007717CB" w:rsidRPr="00DD0F32">
        <w:rPr>
          <w:rFonts w:ascii="Times New Roman" w:eastAsia="Times New Roman,Batang" w:hAnsi="Times New Roman"/>
          <w:bCs/>
          <w:lang w:eastAsia="ko-KR"/>
        </w:rPr>
        <w:t xml:space="preserve"> </w:t>
      </w:r>
      <w:r w:rsidRPr="00DD0F32">
        <w:rPr>
          <w:rFonts w:ascii="Times New Roman" w:eastAsia="Times New Roman,Batang" w:hAnsi="Times New Roman"/>
          <w:bCs/>
          <w:lang w:eastAsia="ko-KR"/>
        </w:rPr>
        <w:t xml:space="preserve">and the 2017 </w:t>
      </w:r>
      <w:r w:rsidRPr="00DD0F32">
        <w:rPr>
          <w:rFonts w:ascii="Times New Roman" w:hAnsi="Times New Roman"/>
        </w:rPr>
        <w:t xml:space="preserve">evaluation of the UNDP Strategic Plan and global and regional programmes have for example provided valuable findings and recommendations for the organization to draw on. </w:t>
      </w:r>
    </w:p>
    <w:p w14:paraId="1BE5FB55" w14:textId="60E7AA98" w:rsidR="006D6751" w:rsidRPr="006D6751" w:rsidRDefault="006D6751" w:rsidP="00F658E3">
      <w:pPr>
        <w:tabs>
          <w:tab w:val="left" w:pos="360"/>
        </w:tabs>
        <w:spacing w:after="0" w:line="240" w:lineRule="auto"/>
        <w:contextualSpacing/>
        <w:jc w:val="both"/>
        <w:rPr>
          <w:rFonts w:ascii="Times New Roman" w:hAnsi="Times New Roman"/>
        </w:rPr>
      </w:pPr>
    </w:p>
    <w:p w14:paraId="4B6FB65B" w14:textId="606CBB30" w:rsidR="00E26DC7" w:rsidRPr="004B7536" w:rsidRDefault="00B41861" w:rsidP="00F658E3">
      <w:pPr>
        <w:spacing w:line="240" w:lineRule="auto"/>
        <w:jc w:val="both"/>
        <w:rPr>
          <w:rFonts w:ascii="Times New Roman" w:hAnsi="Times New Roman"/>
        </w:rPr>
      </w:pPr>
      <w:r w:rsidRPr="004B7536">
        <w:rPr>
          <w:rFonts w:ascii="Times New Roman" w:hAnsi="Times New Roman"/>
        </w:rPr>
        <w:t xml:space="preserve">Reflecting on the lessons learned from past practices, including the need to enhance stability and reduce reporting burden on the Country Offices, </w:t>
      </w:r>
      <w:r w:rsidR="006D6751" w:rsidRPr="004B7536">
        <w:rPr>
          <w:rFonts w:ascii="Times New Roman" w:hAnsi="Times New Roman"/>
          <w:lang w:val="fr-FR"/>
        </w:rPr>
        <w:t xml:space="preserve">UNDP </w:t>
      </w:r>
      <w:r w:rsidRPr="004B7536">
        <w:rPr>
          <w:rFonts w:ascii="Times New Roman" w:hAnsi="Times New Roman"/>
          <w:lang w:val="fr-FR"/>
        </w:rPr>
        <w:t xml:space="preserve">undertook </w:t>
      </w:r>
      <w:r w:rsidR="006D6751" w:rsidRPr="004B7536">
        <w:rPr>
          <w:rFonts w:ascii="Times New Roman" w:hAnsi="Times New Roman"/>
          <w:lang w:val="fr-FR"/>
        </w:rPr>
        <w:t xml:space="preserve">a new end-to-end re-write of </w:t>
      </w:r>
      <w:r w:rsidR="001E677B" w:rsidRPr="004B7536">
        <w:rPr>
          <w:rFonts w:ascii="Times New Roman" w:hAnsi="Times New Roman"/>
          <w:lang w:val="fr-FR"/>
        </w:rPr>
        <w:t xml:space="preserve">its </w:t>
      </w:r>
      <w:r w:rsidR="006D6751" w:rsidRPr="004B7536">
        <w:rPr>
          <w:rFonts w:ascii="Times New Roman" w:hAnsi="Times New Roman"/>
          <w:lang w:val="fr-FR"/>
        </w:rPr>
        <w:t>programming prescriptive content</w:t>
      </w:r>
      <w:r w:rsidRPr="004B7536">
        <w:rPr>
          <w:rFonts w:ascii="Times New Roman" w:hAnsi="Times New Roman"/>
          <w:lang w:val="fr-FR"/>
        </w:rPr>
        <w:t xml:space="preserve">, which was finalized and launched in 2018. The re-write </w:t>
      </w:r>
      <w:r w:rsidR="006D6751" w:rsidRPr="004B7536">
        <w:rPr>
          <w:rFonts w:ascii="Times New Roman" w:hAnsi="Times New Roman"/>
          <w:lang w:val="fr-FR"/>
        </w:rPr>
        <w:t xml:space="preserve">reduces burden by an average of </w:t>
      </w:r>
      <w:r w:rsidR="008159B5">
        <w:rPr>
          <w:rFonts w:ascii="Times New Roman" w:hAnsi="Times New Roman"/>
          <w:lang w:val="fr-FR"/>
        </w:rPr>
        <w:t>33</w:t>
      </w:r>
      <w:r w:rsidR="006D6751" w:rsidRPr="004B7536">
        <w:rPr>
          <w:rFonts w:ascii="Times New Roman" w:hAnsi="Times New Roman"/>
          <w:lang w:val="fr-FR"/>
        </w:rPr>
        <w:t xml:space="preserve"> days per programming staff per year and introduces more innovative ways to work with partners to achieve the SDGs. Th</w:t>
      </w:r>
      <w:r w:rsidRPr="004B7536">
        <w:rPr>
          <w:rFonts w:ascii="Times New Roman" w:hAnsi="Times New Roman"/>
          <w:lang w:val="fr-FR"/>
        </w:rPr>
        <w:t xml:space="preserve">e development </w:t>
      </w:r>
      <w:r w:rsidR="000A72BC" w:rsidRPr="004B7536">
        <w:rPr>
          <w:rFonts w:ascii="Times New Roman" w:hAnsi="Times New Roman"/>
          <w:lang w:val="fr-FR"/>
        </w:rPr>
        <w:t>process w</w:t>
      </w:r>
      <w:r w:rsidR="00695E99" w:rsidRPr="004B7536">
        <w:rPr>
          <w:rFonts w:ascii="Times New Roman" w:hAnsi="Times New Roman"/>
          <w:lang w:val="fr-FR"/>
        </w:rPr>
        <w:t xml:space="preserve">as </w:t>
      </w:r>
      <w:r w:rsidR="006D6751" w:rsidRPr="004B7536">
        <w:rPr>
          <w:rFonts w:ascii="Times New Roman" w:hAnsi="Times New Roman"/>
          <w:lang w:val="fr-FR"/>
        </w:rPr>
        <w:t xml:space="preserve">co-owned by </w:t>
      </w:r>
      <w:r w:rsidR="000A72BC" w:rsidRPr="004B7536">
        <w:rPr>
          <w:rFonts w:ascii="Times New Roman" w:hAnsi="Times New Roman"/>
          <w:lang w:val="fr-FR"/>
        </w:rPr>
        <w:t>all</w:t>
      </w:r>
      <w:r w:rsidR="006D6751" w:rsidRPr="004B7536">
        <w:rPr>
          <w:rFonts w:ascii="Times New Roman" w:hAnsi="Times New Roman"/>
          <w:lang w:val="fr-FR"/>
        </w:rPr>
        <w:t xml:space="preserve"> Bureau</w:t>
      </w:r>
      <w:r w:rsidR="000A72BC" w:rsidRPr="004B7536">
        <w:rPr>
          <w:rFonts w:ascii="Times New Roman" w:hAnsi="Times New Roman"/>
          <w:lang w:val="fr-FR"/>
        </w:rPr>
        <w:t xml:space="preserve">s </w:t>
      </w:r>
      <w:r w:rsidR="006D6751" w:rsidRPr="004B7536">
        <w:rPr>
          <w:rFonts w:ascii="Times New Roman" w:hAnsi="Times New Roman"/>
          <w:lang w:val="fr-FR"/>
        </w:rPr>
        <w:t xml:space="preserve">and supported by a comprehensive regional rollout package. </w:t>
      </w:r>
      <w:r w:rsidRPr="004B7536">
        <w:rPr>
          <w:rFonts w:ascii="Times New Roman" w:hAnsi="Times New Roman"/>
        </w:rPr>
        <w:t>UNDP also developed a new Results Oriented Analysis Report (ROAR), which will support the organization’s results monitoring and reporting for the next four years. The report enables all parts of the organization to learn lessons from success and failure</w:t>
      </w:r>
      <w:r w:rsidR="003B5EDF" w:rsidRPr="004B7536">
        <w:rPr>
          <w:rFonts w:ascii="Times New Roman" w:hAnsi="Times New Roman"/>
        </w:rPr>
        <w:t>s</w:t>
      </w:r>
      <w:r w:rsidR="00057777" w:rsidRPr="004B7536">
        <w:rPr>
          <w:rFonts w:ascii="Times New Roman" w:hAnsi="Times New Roman"/>
        </w:rPr>
        <w:t xml:space="preserve"> and </w:t>
      </w:r>
      <w:r w:rsidR="00894F78" w:rsidRPr="004B7536">
        <w:rPr>
          <w:rFonts w:ascii="Times New Roman" w:hAnsi="Times New Roman"/>
        </w:rPr>
        <w:t xml:space="preserve">will help </w:t>
      </w:r>
      <w:r w:rsidR="00057777" w:rsidRPr="004B7536">
        <w:rPr>
          <w:rFonts w:ascii="Times New Roman" w:eastAsia="Times New Roman" w:hAnsi="Times New Roman"/>
          <w:color w:val="000000"/>
        </w:rPr>
        <w:t xml:space="preserve">UNDP articulate </w:t>
      </w:r>
      <w:r w:rsidR="00894F78" w:rsidRPr="004B7536">
        <w:rPr>
          <w:rFonts w:ascii="Times New Roman" w:eastAsia="Times New Roman" w:hAnsi="Times New Roman"/>
          <w:color w:val="000000"/>
        </w:rPr>
        <w:t>its</w:t>
      </w:r>
      <w:r w:rsidR="00057777" w:rsidRPr="004B7536">
        <w:rPr>
          <w:rFonts w:ascii="Times New Roman" w:eastAsia="Times New Roman" w:hAnsi="Times New Roman"/>
          <w:color w:val="000000"/>
        </w:rPr>
        <w:t xml:space="preserve"> comparative and collaborative advantage where it matters most: the country level.</w:t>
      </w:r>
      <w:r w:rsidR="00894F78" w:rsidRPr="004B7536">
        <w:rPr>
          <w:rFonts w:ascii="Times New Roman" w:hAnsi="Times New Roman"/>
        </w:rPr>
        <w:t xml:space="preserve"> </w:t>
      </w:r>
    </w:p>
    <w:p w14:paraId="4AB7DE63" w14:textId="782D7783" w:rsidR="00F00054" w:rsidRDefault="004B7536" w:rsidP="00F658E3">
      <w:pPr>
        <w:spacing w:after="0" w:line="240" w:lineRule="auto"/>
        <w:jc w:val="both"/>
        <w:rPr>
          <w:rFonts w:ascii="Times New Roman" w:eastAsia="Times New Roman" w:hAnsi="Times New Roman"/>
          <w:color w:val="000000"/>
        </w:rPr>
      </w:pPr>
      <w:r w:rsidRPr="004B7536">
        <w:rPr>
          <w:rFonts w:ascii="Times New Roman" w:hAnsi="Times New Roman"/>
        </w:rPr>
        <w:t>T</w:t>
      </w:r>
      <w:r w:rsidRPr="004B7536">
        <w:rPr>
          <w:rFonts w:ascii="Times New Roman" w:eastAsia="Times New Roman" w:hAnsi="Times New Roman"/>
          <w:color w:val="000000"/>
        </w:rPr>
        <w:t xml:space="preserve">ogether with other </w:t>
      </w:r>
      <w:r w:rsidRPr="004B7536">
        <w:rPr>
          <w:rFonts w:ascii="Times New Roman" w:hAnsi="Times New Roman"/>
        </w:rPr>
        <w:t xml:space="preserve">funds and programmes (UNICEF, UNFPA and UN Women) UNDP </w:t>
      </w:r>
      <w:r w:rsidRPr="004B7536">
        <w:rPr>
          <w:rFonts w:ascii="Times New Roman" w:hAnsi="Times New Roman"/>
          <w:color w:val="000000"/>
          <w:lang w:val="en-GB"/>
        </w:rPr>
        <w:t>agreed on a harmonized structure of the IRRF</w:t>
      </w:r>
      <w:r w:rsidR="00997031">
        <w:rPr>
          <w:rFonts w:ascii="Times New Roman" w:hAnsi="Times New Roman"/>
          <w:color w:val="000000"/>
          <w:lang w:val="en-GB"/>
        </w:rPr>
        <w:t xml:space="preserve"> 2018-2021</w:t>
      </w:r>
      <w:r w:rsidRPr="004B7536">
        <w:rPr>
          <w:rFonts w:ascii="Times New Roman" w:eastAsia="Times New Roman" w:hAnsi="Times New Roman"/>
          <w:color w:val="000000"/>
        </w:rPr>
        <w:t xml:space="preserve">. </w:t>
      </w:r>
      <w:r w:rsidR="00F00054" w:rsidRPr="004B7536">
        <w:rPr>
          <w:rFonts w:ascii="Times New Roman" w:hAnsi="Times New Roman"/>
          <w:lang w:eastAsia="x-none"/>
        </w:rPr>
        <w:t xml:space="preserve">The new results </w:t>
      </w:r>
      <w:r w:rsidR="00F00054" w:rsidRPr="004B7536">
        <w:rPr>
          <w:rFonts w:ascii="Times New Roman" w:hAnsi="Times New Roman"/>
        </w:rPr>
        <w:t>architecture developed brought the Country Programme Document (CPD) results frameworks to the centre</w:t>
      </w:r>
      <w:r w:rsidR="00997031">
        <w:rPr>
          <w:rFonts w:ascii="Times New Roman" w:hAnsi="Times New Roman"/>
        </w:rPr>
        <w:t xml:space="preserve"> of the IRRF t</w:t>
      </w:r>
      <w:r w:rsidR="003B5EDF" w:rsidRPr="004B7536">
        <w:rPr>
          <w:rFonts w:ascii="Times New Roman" w:hAnsi="Times New Roman"/>
        </w:rPr>
        <w:t xml:space="preserve">o </w:t>
      </w:r>
      <w:r w:rsidR="00F00054" w:rsidRPr="004B7536">
        <w:rPr>
          <w:rFonts w:ascii="Times New Roman" w:hAnsi="Times New Roman"/>
        </w:rPr>
        <w:t xml:space="preserve">support results reporting of the CPDS, </w:t>
      </w:r>
      <w:r w:rsidR="00F00054" w:rsidRPr="004B7536">
        <w:rPr>
          <w:rFonts w:ascii="Times New Roman" w:eastAsiaTheme="minorEastAsia" w:hAnsi="Times New Roman"/>
        </w:rPr>
        <w:t xml:space="preserve">better analyze  </w:t>
      </w:r>
      <w:r w:rsidR="00F00054" w:rsidRPr="004B7536">
        <w:rPr>
          <w:rFonts w:ascii="Times New Roman" w:hAnsi="Times New Roman"/>
        </w:rPr>
        <w:t xml:space="preserve">results and resources by the </w:t>
      </w:r>
      <w:r w:rsidR="003B5EDF" w:rsidRPr="004B7536">
        <w:rPr>
          <w:rFonts w:ascii="Times New Roman" w:hAnsi="Times New Roman"/>
        </w:rPr>
        <w:t>SP</w:t>
      </w:r>
      <w:r w:rsidR="00F00054" w:rsidRPr="004B7536">
        <w:rPr>
          <w:rFonts w:ascii="Times New Roman" w:hAnsi="Times New Roman"/>
        </w:rPr>
        <w:t xml:space="preserve"> Outcomes and six Signature Solutions, assess the  contribution to the SDGs and </w:t>
      </w:r>
      <w:r w:rsidR="003B5EDF" w:rsidRPr="004B7536">
        <w:rPr>
          <w:rFonts w:ascii="Times New Roman" w:hAnsi="Times New Roman"/>
        </w:rPr>
        <w:t>UNDP’s</w:t>
      </w:r>
      <w:r w:rsidR="00F00054" w:rsidRPr="004B7536">
        <w:rPr>
          <w:rFonts w:ascii="Times New Roman" w:hAnsi="Times New Roman"/>
        </w:rPr>
        <w:t xml:space="preserve"> commitment to LNOB; generate data for the new UNDAF reporting system and respond to the increasing demand for </w:t>
      </w:r>
      <w:hyperlink r:id="rId30" w:history="1">
        <w:r w:rsidR="00F00054" w:rsidRPr="004B7536">
          <w:rPr>
            <w:rStyle w:val="ms-rtefontsize-2"/>
            <w:rFonts w:ascii="Times New Roman" w:hAnsi="Times New Roman"/>
          </w:rPr>
          <w:t>transparency</w:t>
        </w:r>
      </w:hyperlink>
      <w:r w:rsidR="00997031">
        <w:rPr>
          <w:rStyle w:val="ms-rtefontsize-2"/>
          <w:rFonts w:ascii="Times New Roman" w:hAnsi="Times New Roman"/>
        </w:rPr>
        <w:t xml:space="preserve">. </w:t>
      </w:r>
      <w:r w:rsidR="003B5EDF" w:rsidRPr="004B7536">
        <w:rPr>
          <w:rFonts w:ascii="Times New Roman" w:eastAsia="Times New Roman" w:hAnsi="Times New Roman"/>
          <w:color w:val="000000"/>
        </w:rPr>
        <w:t xml:space="preserve">Building on the success of using </w:t>
      </w:r>
      <w:r w:rsidR="003B5EDF" w:rsidRPr="004B7536">
        <w:rPr>
          <w:rFonts w:ascii="Times New Roman" w:hAnsi="Times New Roman"/>
          <w:color w:val="000000"/>
          <w:lang w:val="en-GB"/>
        </w:rPr>
        <w:t xml:space="preserve">‘markers’ for tracking progress on cross-cutting issues (gender equality and women’s empowerment) and supporting programming during the previous </w:t>
      </w:r>
      <w:r w:rsidR="003B5EDF" w:rsidRPr="004B7536">
        <w:rPr>
          <w:rFonts w:ascii="Times New Roman" w:eastAsia="Times New Roman" w:hAnsi="Times New Roman"/>
          <w:color w:val="000000"/>
        </w:rPr>
        <w:t xml:space="preserve">SP period, </w:t>
      </w:r>
      <w:r w:rsidR="003B5EDF" w:rsidRPr="004B7536">
        <w:rPr>
          <w:rFonts w:ascii="Times New Roman" w:hAnsi="Times New Roman"/>
          <w:color w:val="000000"/>
          <w:lang w:val="en-GB"/>
        </w:rPr>
        <w:t xml:space="preserve">additional </w:t>
      </w:r>
      <w:r w:rsidR="003B5EDF" w:rsidRPr="004B7536">
        <w:rPr>
          <w:rFonts w:ascii="Times New Roman" w:hAnsi="Times New Roman"/>
        </w:rPr>
        <w:t>markers (Hows, Whos (LNOB) Marker, Partners Marker, Joint Programme Marker, South-South and Triangular Cooperation Marker and Humanitarian Marker), have also been introduced at the project output level.</w:t>
      </w:r>
      <w:r w:rsidR="003B5EDF" w:rsidRPr="004B7536">
        <w:rPr>
          <w:rFonts w:ascii="Times New Roman" w:eastAsia="Times New Roman" w:hAnsi="Times New Roman"/>
          <w:color w:val="000000"/>
        </w:rPr>
        <w:t xml:space="preserve"> </w:t>
      </w:r>
    </w:p>
    <w:p w14:paraId="403E4503" w14:textId="77777777" w:rsidR="004B7536" w:rsidRPr="004B7536" w:rsidRDefault="004B7536" w:rsidP="00F658E3">
      <w:pPr>
        <w:spacing w:after="0" w:line="240" w:lineRule="auto"/>
        <w:jc w:val="both"/>
        <w:rPr>
          <w:rFonts w:ascii="Times New Roman" w:eastAsia="Times New Roman" w:hAnsi="Times New Roman"/>
          <w:color w:val="000000"/>
        </w:rPr>
      </w:pPr>
    </w:p>
    <w:p w14:paraId="34BFDAB9" w14:textId="11C0A93F" w:rsidR="000A5CDE" w:rsidRDefault="00997031" w:rsidP="000A5CDE">
      <w:pPr>
        <w:spacing w:line="240" w:lineRule="auto"/>
        <w:jc w:val="both"/>
        <w:rPr>
          <w:rFonts w:ascii="Times New Roman" w:hAnsi="Times New Roman"/>
        </w:rPr>
      </w:pPr>
      <w:r>
        <w:rPr>
          <w:rFonts w:ascii="Times New Roman" w:hAnsi="Times New Roman"/>
          <w:color w:val="000000"/>
          <w:lang w:val="en-GB"/>
        </w:rPr>
        <w:t xml:space="preserve">These improvements will </w:t>
      </w:r>
      <w:r w:rsidR="00B41861" w:rsidRPr="004B7536">
        <w:rPr>
          <w:rFonts w:ascii="Times New Roman" w:hAnsi="Times New Roman"/>
          <w:color w:val="000000"/>
          <w:lang w:val="en-GB"/>
        </w:rPr>
        <w:t xml:space="preserve">create the space to </w:t>
      </w:r>
      <w:r>
        <w:rPr>
          <w:rFonts w:ascii="Times New Roman" w:hAnsi="Times New Roman"/>
          <w:color w:val="000000"/>
          <w:lang w:val="en-GB"/>
        </w:rPr>
        <w:t xml:space="preserve">continue to </w:t>
      </w:r>
      <w:r w:rsidR="00B41861" w:rsidRPr="004B7536">
        <w:rPr>
          <w:rFonts w:ascii="Times New Roman" w:hAnsi="Times New Roman"/>
          <w:color w:val="000000"/>
          <w:lang w:val="en-GB"/>
        </w:rPr>
        <w:t>shift the focus of RBM from compliance towards a results culture that enables management of UNDP’s work based on performance. </w:t>
      </w:r>
      <w:r>
        <w:rPr>
          <w:rFonts w:ascii="Times New Roman" w:hAnsi="Times New Roman"/>
        </w:rPr>
        <w:t>R</w:t>
      </w:r>
      <w:r w:rsidR="00E46540" w:rsidRPr="004B7536">
        <w:rPr>
          <w:rFonts w:ascii="Times New Roman" w:hAnsi="Times New Roman"/>
        </w:rPr>
        <w:t>esults-based management capacity</w:t>
      </w:r>
      <w:r>
        <w:rPr>
          <w:rFonts w:ascii="Times New Roman" w:hAnsi="Times New Roman"/>
        </w:rPr>
        <w:t xml:space="preserve"> will be further enhanced through the development of</w:t>
      </w:r>
      <w:r w:rsidR="000832C9" w:rsidRPr="004B7536">
        <w:rPr>
          <w:rFonts w:ascii="Times New Roman" w:hAnsi="Times New Roman"/>
        </w:rPr>
        <w:t xml:space="preserve"> a</w:t>
      </w:r>
      <w:r w:rsidR="001C3764">
        <w:rPr>
          <w:rFonts w:ascii="Times New Roman" w:hAnsi="Times New Roman"/>
        </w:rPr>
        <w:t>n</w:t>
      </w:r>
      <w:r w:rsidR="000832C9" w:rsidRPr="004B7536">
        <w:rPr>
          <w:rFonts w:ascii="Times New Roman" w:hAnsi="Times New Roman"/>
        </w:rPr>
        <w:t xml:space="preserve"> RBM/programme management certification for staff, which will be rolled out in 2019.</w:t>
      </w:r>
      <w:r w:rsidR="000832C9" w:rsidRPr="00B2118C">
        <w:rPr>
          <w:rFonts w:ascii="Times New Roman" w:hAnsi="Times New Roman"/>
        </w:rPr>
        <w:t xml:space="preserve"> </w:t>
      </w:r>
    </w:p>
    <w:p w14:paraId="2C9E27D1" w14:textId="4A6A4DFF" w:rsidR="009865F7" w:rsidRDefault="009865F7" w:rsidP="000A5CDE">
      <w:pPr>
        <w:spacing w:line="240" w:lineRule="auto"/>
        <w:jc w:val="both"/>
        <w:rPr>
          <w:rFonts w:ascii="Times New Roman" w:hAnsi="Times New Roman"/>
          <w:color w:val="000000"/>
          <w:lang w:val="en-GB"/>
        </w:rPr>
      </w:pPr>
    </w:p>
    <w:p w14:paraId="6B3F1E01" w14:textId="6F6EFB8E" w:rsidR="009865F7" w:rsidRDefault="009865F7" w:rsidP="000A5CDE">
      <w:pPr>
        <w:spacing w:line="240" w:lineRule="auto"/>
        <w:jc w:val="both"/>
        <w:rPr>
          <w:rFonts w:ascii="Times New Roman" w:hAnsi="Times New Roman"/>
          <w:color w:val="000000"/>
          <w:lang w:val="en-GB"/>
        </w:rPr>
      </w:pPr>
    </w:p>
    <w:p w14:paraId="0FB565B5" w14:textId="77777777" w:rsidR="009865F7" w:rsidRPr="000A5CDE" w:rsidRDefault="009865F7" w:rsidP="000A5CDE">
      <w:pPr>
        <w:spacing w:line="240" w:lineRule="auto"/>
        <w:jc w:val="both"/>
        <w:rPr>
          <w:rFonts w:ascii="Times New Roman" w:hAnsi="Times New Roman"/>
          <w:color w:val="000000"/>
          <w:lang w:val="en-GB"/>
        </w:rPr>
      </w:pPr>
    </w:p>
    <w:p w14:paraId="0EF8E4AF" w14:textId="3D0B929E" w:rsidR="00CF1B24" w:rsidRDefault="00CF1B24" w:rsidP="0026175F">
      <w:pPr>
        <w:spacing w:after="0" w:line="240" w:lineRule="auto"/>
        <w:jc w:val="both"/>
        <w:rPr>
          <w:rFonts w:ascii="Times New Roman" w:hAnsi="Times New Roman"/>
          <w:b/>
          <w:bCs/>
          <w:u w:val="single"/>
        </w:rPr>
      </w:pPr>
      <w:r w:rsidRPr="000A5CDE">
        <w:rPr>
          <w:rFonts w:ascii="Times New Roman" w:hAnsi="Times New Roman"/>
          <w:b/>
          <w:bCs/>
          <w:u w:val="single"/>
        </w:rPr>
        <w:lastRenderedPageBreak/>
        <w:t>Evaluation of the contribution of the global and regional human development reports to public policy process</w:t>
      </w:r>
      <w:r w:rsidR="002A765A" w:rsidRPr="000A5CDE">
        <w:rPr>
          <w:rFonts w:ascii="Times New Roman" w:hAnsi="Times New Roman"/>
          <w:b/>
          <w:bCs/>
          <w:u w:val="single"/>
        </w:rPr>
        <w:t>e</w:t>
      </w:r>
      <w:r w:rsidRPr="000A5CDE">
        <w:rPr>
          <w:rFonts w:ascii="Times New Roman" w:hAnsi="Times New Roman"/>
          <w:b/>
          <w:bCs/>
          <w:u w:val="single"/>
        </w:rPr>
        <w:t>s (2015)</w:t>
      </w:r>
    </w:p>
    <w:p w14:paraId="00048447" w14:textId="77777777" w:rsidR="009865F7" w:rsidRPr="000A5CDE" w:rsidRDefault="009865F7" w:rsidP="0026175F">
      <w:pPr>
        <w:spacing w:after="0" w:line="240" w:lineRule="auto"/>
        <w:jc w:val="both"/>
        <w:rPr>
          <w:rFonts w:ascii="Times New Roman" w:hAnsi="Times New Roman"/>
          <w:b/>
          <w:bCs/>
          <w:u w:val="single"/>
        </w:rPr>
      </w:pPr>
    </w:p>
    <w:p w14:paraId="5D819CFF" w14:textId="27C84E65" w:rsidR="00CF1B24" w:rsidRDefault="00CF1B24" w:rsidP="0026175F">
      <w:pPr>
        <w:spacing w:after="0" w:line="240" w:lineRule="auto"/>
        <w:jc w:val="both"/>
        <w:rPr>
          <w:rFonts w:ascii="Times New Roman" w:hAnsi="Times New Roman"/>
        </w:rPr>
      </w:pPr>
      <w:r w:rsidRPr="002A765A">
        <w:rPr>
          <w:rFonts w:ascii="Times New Roman" w:hAnsi="Times New Roman"/>
        </w:rPr>
        <w:t>The 2015 evaluation</w:t>
      </w:r>
      <w:r w:rsidR="002A765A" w:rsidRPr="002A765A">
        <w:rPr>
          <w:rFonts w:ascii="Times New Roman" w:hAnsi="Times New Roman"/>
        </w:rPr>
        <w:t xml:space="preserve"> </w:t>
      </w:r>
      <w:r w:rsidRPr="002A765A">
        <w:rPr>
          <w:rFonts w:ascii="Times New Roman" w:hAnsi="Times New Roman"/>
        </w:rPr>
        <w:t>highlighted the need for UNDP to re-launch the idea of human development much more strategically and recommended UNDP to undertake measures to enhance the influence of the global HDRs on public policy processes and revisit the purpose of to strengthen the contribution of regional HRDs and provided the organization with important lessons to draw on.</w:t>
      </w:r>
    </w:p>
    <w:p w14:paraId="4A7449C3" w14:textId="77777777" w:rsidR="00E56482" w:rsidRPr="002A765A" w:rsidRDefault="00E56482" w:rsidP="0026175F">
      <w:pPr>
        <w:spacing w:after="0" w:line="240" w:lineRule="auto"/>
        <w:jc w:val="both"/>
        <w:rPr>
          <w:rFonts w:ascii="Times New Roman" w:hAnsi="Times New Roman"/>
        </w:rPr>
      </w:pPr>
    </w:p>
    <w:p w14:paraId="4614D720" w14:textId="77777777" w:rsidR="00F50C1F" w:rsidRPr="002A765A" w:rsidRDefault="00CF1B24" w:rsidP="002A765A">
      <w:pPr>
        <w:spacing w:line="240" w:lineRule="auto"/>
        <w:jc w:val="both"/>
        <w:rPr>
          <w:rFonts w:ascii="Times New Roman" w:hAnsi="Times New Roman"/>
          <w:b/>
          <w:bCs/>
        </w:rPr>
      </w:pPr>
      <w:r w:rsidRPr="002A765A">
        <w:rPr>
          <w:rFonts w:ascii="Times New Roman" w:hAnsi="Times New Roman"/>
        </w:rPr>
        <w:t>As part of UNDP’s commitment to the UN Secretary-General’s reform and to strengthen its leadership on cutting-edge thinking and policy advice, UNDP is reinvesting in the human development approach, and reimagining what global, regional, and national human development reports should be in the context of the SDGs agenda. There are new challenges to human development, especially inequality and sustainability, that require concerted measurement and analytical attention. New partnerships growing out of the agreement of the 2030 Agenda for Sustainable Development and new technologies provide potential new ways of working and communicating key report messages. In this context, UNDP recently reset its thought leadership priorities which include: (i) preparations of new generations of HDRs and Indices taking into consideration of changing development landscape and availability of new data including big data; (ii) revitalizing the network of regional and national HDRs, connecting regional and national reports with the global HDR and finding synergies; and (iii) positioning HDRO (and UNDP) as an exciting hub/centre for research and innovation through strategic partnerships with relevant academic institutions and research labs.</w:t>
      </w:r>
      <w:r w:rsidRPr="002A765A">
        <w:rPr>
          <w:rFonts w:ascii="Times New Roman" w:hAnsi="Times New Roman"/>
          <w:b/>
          <w:bCs/>
        </w:rPr>
        <w:t xml:space="preserve"> </w:t>
      </w:r>
    </w:p>
    <w:p w14:paraId="38C04AC7" w14:textId="6C18DFD5" w:rsidR="00CF1B24" w:rsidRPr="00CF1B24" w:rsidRDefault="00CF1B24" w:rsidP="002A765A">
      <w:pPr>
        <w:spacing w:line="240" w:lineRule="auto"/>
        <w:jc w:val="both"/>
        <w:rPr>
          <w:rFonts w:ascii="Times New Roman" w:hAnsi="Times New Roman"/>
        </w:rPr>
      </w:pPr>
      <w:r w:rsidRPr="002A765A">
        <w:rPr>
          <w:rFonts w:ascii="Times New Roman" w:hAnsi="Times New Roman"/>
        </w:rPr>
        <w:t>To strengthen</w:t>
      </w:r>
      <w:r w:rsidRPr="002A765A">
        <w:rPr>
          <w:rFonts w:ascii="Times New Roman" w:hAnsi="Times New Roman"/>
          <w:b/>
          <w:bCs/>
        </w:rPr>
        <w:t xml:space="preserve"> </w:t>
      </w:r>
      <w:r w:rsidRPr="002A765A">
        <w:rPr>
          <w:rFonts w:ascii="Times New Roman" w:hAnsi="Times New Roman"/>
        </w:rPr>
        <w:t xml:space="preserve">its leadership in multidimensional poverty measures, UNDP is investing in applied research, promoting partnerships and </w:t>
      </w:r>
      <w:r w:rsidR="001778A2" w:rsidRPr="002A765A">
        <w:rPr>
          <w:rFonts w:ascii="Times New Roman" w:hAnsi="Times New Roman"/>
        </w:rPr>
        <w:t>catalyzing</w:t>
      </w:r>
      <w:r w:rsidRPr="002A765A">
        <w:rPr>
          <w:rFonts w:ascii="Times New Roman" w:hAnsi="Times New Roman"/>
        </w:rPr>
        <w:t xml:space="preserve"> multi-stakeholder dialogues, including civil society and the private sector. Since 2008, UNDP has been investing in the Multidimensional Poverty Index (MPI) with the Oxford Poverty and Human Development Initiative (OPHI), which in 2018 led to the development of the joint ‘2018 Global </w:t>
      </w:r>
      <w:r w:rsidR="001778A2" w:rsidRPr="002A765A">
        <w:rPr>
          <w:rFonts w:ascii="Times New Roman" w:hAnsi="Times New Roman"/>
        </w:rPr>
        <w:t>Multidimensional</w:t>
      </w:r>
      <w:r w:rsidRPr="002A765A">
        <w:rPr>
          <w:rFonts w:ascii="Times New Roman" w:hAnsi="Times New Roman"/>
        </w:rPr>
        <w:t xml:space="preserve"> Poverty index’ report. The same year, HDRO also revisited the global MPI and published together with OPHI a joint methodology paper on how to align the MPI with the SDGs. To ensure consistency in reporting on key human development indices and statistics, HDRO also released the ’Human Development Indices and Indicators: 2018 Statistical update’</w:t>
      </w:r>
      <w:r w:rsidR="00F50C1F" w:rsidRPr="002A765A">
        <w:rPr>
          <w:rFonts w:ascii="Times New Roman" w:hAnsi="Times New Roman"/>
        </w:rPr>
        <w:t xml:space="preserve"> in 2018</w:t>
      </w:r>
      <w:r w:rsidRPr="002A765A">
        <w:rPr>
          <w:rFonts w:ascii="Times New Roman" w:hAnsi="Times New Roman"/>
        </w:rPr>
        <w:t>.</w:t>
      </w:r>
      <w:r w:rsidRPr="00CF1B24">
        <w:rPr>
          <w:rFonts w:ascii="Times New Roman" w:hAnsi="Times New Roman"/>
        </w:rPr>
        <w:t xml:space="preserve"> </w:t>
      </w:r>
    </w:p>
    <w:p w14:paraId="0A7D029D" w14:textId="78D9F9C1" w:rsidR="00CF1B24" w:rsidRDefault="00CF1B24" w:rsidP="002A765A">
      <w:pPr>
        <w:spacing w:after="0" w:line="240" w:lineRule="auto"/>
        <w:jc w:val="both"/>
        <w:rPr>
          <w:rFonts w:ascii="Times New Roman" w:hAnsi="Times New Roman"/>
          <w:b/>
          <w:bCs/>
          <w:lang w:eastAsia="ko-KR"/>
        </w:rPr>
      </w:pPr>
    </w:p>
    <w:p w14:paraId="5D4F4E35" w14:textId="46783313" w:rsidR="00CF1B24" w:rsidRDefault="00CF1B24" w:rsidP="002A765A">
      <w:pPr>
        <w:spacing w:after="0" w:line="240" w:lineRule="auto"/>
        <w:jc w:val="both"/>
        <w:rPr>
          <w:rFonts w:ascii="Times New Roman" w:hAnsi="Times New Roman"/>
          <w:b/>
          <w:bCs/>
          <w:lang w:eastAsia="ko-KR"/>
        </w:rPr>
      </w:pPr>
    </w:p>
    <w:p w14:paraId="0C4C485B" w14:textId="6580867A" w:rsidR="00CF1B24" w:rsidRDefault="00CF1B24" w:rsidP="002A765A">
      <w:pPr>
        <w:spacing w:after="0" w:line="240" w:lineRule="auto"/>
        <w:jc w:val="both"/>
        <w:rPr>
          <w:rFonts w:ascii="Times New Roman" w:hAnsi="Times New Roman"/>
          <w:b/>
          <w:bCs/>
          <w:lang w:eastAsia="ko-KR"/>
        </w:rPr>
      </w:pPr>
    </w:p>
    <w:p w14:paraId="0EB3D1BC" w14:textId="2381E3DA" w:rsidR="00CF1B24" w:rsidRDefault="00CF1B24" w:rsidP="002A765A">
      <w:pPr>
        <w:spacing w:after="0" w:line="240" w:lineRule="auto"/>
        <w:jc w:val="both"/>
        <w:rPr>
          <w:rFonts w:ascii="Times New Roman" w:hAnsi="Times New Roman"/>
          <w:b/>
          <w:bCs/>
          <w:lang w:eastAsia="ko-KR"/>
        </w:rPr>
      </w:pPr>
    </w:p>
    <w:p w14:paraId="4CBBEE88" w14:textId="560CB006" w:rsidR="007D422B" w:rsidRDefault="007D422B" w:rsidP="002A765A">
      <w:pPr>
        <w:spacing w:line="240" w:lineRule="auto"/>
        <w:jc w:val="both"/>
        <w:rPr>
          <w:rFonts w:ascii="Times New Roman" w:hAnsi="Times New Roman"/>
        </w:rPr>
      </w:pPr>
    </w:p>
    <w:sectPr w:rsidR="007D422B" w:rsidSect="005C1FD9">
      <w:headerReference w:type="default" r:id="rId31"/>
      <w:footerReference w:type="default" r:id="rId32"/>
      <w:headerReference w:type="first" r:id="rId33"/>
      <w:footerReference w:type="firs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6EAC" w14:textId="77777777" w:rsidR="0014582E" w:rsidRDefault="0014582E" w:rsidP="00396007">
      <w:pPr>
        <w:spacing w:after="0" w:line="240" w:lineRule="auto"/>
      </w:pPr>
      <w:r>
        <w:separator/>
      </w:r>
    </w:p>
  </w:endnote>
  <w:endnote w:type="continuationSeparator" w:id="0">
    <w:p w14:paraId="233D4DBD" w14:textId="77777777" w:rsidR="0014582E" w:rsidRDefault="0014582E" w:rsidP="003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atan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134C" w14:textId="27EB685B" w:rsidR="00B2118C" w:rsidRDefault="00B2118C">
    <w:pPr>
      <w:pStyle w:val="Footer"/>
      <w:jc w:val="center"/>
    </w:pPr>
    <w:r>
      <w:fldChar w:fldCharType="begin"/>
    </w:r>
    <w:r>
      <w:instrText xml:space="preserve"> PAGE   \* MERGEFORMAT </w:instrText>
    </w:r>
    <w:r>
      <w:fldChar w:fldCharType="separate"/>
    </w:r>
    <w:r>
      <w:rPr>
        <w:noProof/>
      </w:rPr>
      <w:t>3</w:t>
    </w:r>
    <w:r>
      <w:rPr>
        <w:noProof/>
      </w:rPr>
      <w:fldChar w:fldCharType="end"/>
    </w:r>
  </w:p>
  <w:p w14:paraId="2D792E91" w14:textId="77777777" w:rsidR="00B2118C" w:rsidRDefault="00B21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2F0C" w14:textId="5B2F6608" w:rsidR="00B2118C" w:rsidRDefault="00B2118C">
    <w:pPr>
      <w:pStyle w:val="Footer"/>
    </w:pPr>
  </w:p>
  <w:p w14:paraId="51DC871E" w14:textId="77777777" w:rsidR="00B2118C" w:rsidRDefault="00B2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CDB4" w14:textId="77777777" w:rsidR="0014582E" w:rsidRDefault="0014582E" w:rsidP="00396007">
      <w:pPr>
        <w:spacing w:after="0" w:line="240" w:lineRule="auto"/>
      </w:pPr>
      <w:r>
        <w:separator/>
      </w:r>
    </w:p>
  </w:footnote>
  <w:footnote w:type="continuationSeparator" w:id="0">
    <w:p w14:paraId="69E3450C" w14:textId="77777777" w:rsidR="0014582E" w:rsidRDefault="0014582E" w:rsidP="00396007">
      <w:pPr>
        <w:spacing w:after="0" w:line="240" w:lineRule="auto"/>
      </w:pPr>
      <w:r>
        <w:continuationSeparator/>
      </w:r>
    </w:p>
  </w:footnote>
  <w:footnote w:id="1">
    <w:p w14:paraId="43A87182" w14:textId="77777777" w:rsidR="00350BE3" w:rsidRDefault="00350BE3" w:rsidP="00350BE3">
      <w:pPr>
        <w:pStyle w:val="FootnoteText"/>
      </w:pPr>
      <w:r w:rsidRPr="006A4885">
        <w:rPr>
          <w:rStyle w:val="FootnoteReference"/>
          <w:rFonts w:ascii="Times New Roman" w:hAnsi="Times New Roman"/>
        </w:rPr>
        <w:footnoteRef/>
      </w:r>
      <w:r w:rsidRPr="006A4885">
        <w:rPr>
          <w:rFonts w:ascii="Times New Roman" w:hAnsi="Times New Roman"/>
        </w:rPr>
        <w:t xml:space="preserve"> https://www.undp.org/content/undp/en/home/executive-board/documents-for-sessions/adv2017-special.html</w:t>
      </w:r>
    </w:p>
  </w:footnote>
  <w:footnote w:id="2">
    <w:p w14:paraId="675767CB" w14:textId="5F0F8A85" w:rsidR="00B2118C" w:rsidRPr="00811019" w:rsidRDefault="00B2118C">
      <w:pPr>
        <w:pStyle w:val="FootnoteText"/>
        <w:rPr>
          <w:rFonts w:ascii="Times New Roman" w:hAnsi="Times New Roman"/>
        </w:rPr>
      </w:pPr>
      <w:r w:rsidRPr="00811019">
        <w:rPr>
          <w:rStyle w:val="FootnoteReference"/>
          <w:rFonts w:ascii="Times New Roman" w:hAnsi="Times New Roman"/>
        </w:rPr>
        <w:footnoteRef/>
      </w:r>
      <w:r w:rsidRPr="00811019">
        <w:rPr>
          <w:rFonts w:ascii="Times New Roman" w:hAnsi="Times New Roman"/>
        </w:rPr>
        <w:t xml:space="preserve"> Comoros, Bosnia and Herzegovina, Colombia, Cuba, Guatemala, Mali, Sierra Leone, Timor-Leste, Tunisia and Venezuela</w:t>
      </w:r>
    </w:p>
  </w:footnote>
  <w:footnote w:id="3">
    <w:p w14:paraId="23CC78BC" w14:textId="77777777" w:rsidR="001778A2" w:rsidRDefault="001778A2" w:rsidP="001778A2">
      <w:pPr>
        <w:pStyle w:val="FootnoteText"/>
      </w:pPr>
      <w:r>
        <w:rPr>
          <w:rStyle w:val="FootnoteReference"/>
        </w:rPr>
        <w:footnoteRef/>
      </w:r>
      <w:r>
        <w:t xml:space="preserve"> Annual report on evaluation 2018 paragraph 40, page 8</w:t>
      </w:r>
    </w:p>
  </w:footnote>
  <w:footnote w:id="4">
    <w:p w14:paraId="7C2200A7" w14:textId="0B472A8A" w:rsidR="00FB3DF7" w:rsidRPr="00827ADF" w:rsidRDefault="00FB3DF7">
      <w:pPr>
        <w:pStyle w:val="FootnoteText"/>
        <w:rPr>
          <w:rFonts w:ascii="Times New Roman" w:hAnsi="Times New Roman"/>
        </w:rPr>
      </w:pPr>
      <w:r w:rsidRPr="00827ADF">
        <w:rPr>
          <w:rStyle w:val="FootnoteReference"/>
          <w:rFonts w:ascii="Times New Roman" w:hAnsi="Times New Roman"/>
        </w:rPr>
        <w:footnoteRef/>
      </w:r>
      <w:r w:rsidRPr="00827ADF">
        <w:rPr>
          <w:rFonts w:ascii="Times New Roman" w:hAnsi="Times New Roman"/>
        </w:rPr>
        <w:t xml:space="preserve"> These figures are based on ERC data as of Dec 31</w:t>
      </w:r>
      <w:r w:rsidRPr="00827ADF">
        <w:rPr>
          <w:rFonts w:ascii="Times New Roman" w:hAnsi="Times New Roman"/>
          <w:vertAlign w:val="superscript"/>
        </w:rPr>
        <w:t>st</w:t>
      </w:r>
      <w:r w:rsidRPr="00827ADF">
        <w:rPr>
          <w:rFonts w:ascii="Times New Roman" w:hAnsi="Times New Roman"/>
        </w:rPr>
        <w:t xml:space="preserve"> 2018. </w:t>
      </w:r>
      <w:r w:rsidR="00FB276B">
        <w:rPr>
          <w:rFonts w:ascii="Times New Roman" w:hAnsi="Times New Roman"/>
        </w:rPr>
        <w:t>Out of a t</w:t>
      </w:r>
      <w:r w:rsidRPr="00827ADF">
        <w:rPr>
          <w:rFonts w:ascii="Times New Roman" w:hAnsi="Times New Roman"/>
        </w:rPr>
        <w:t xml:space="preserve">otal 209, </w:t>
      </w:r>
      <w:r w:rsidR="00FB276B">
        <w:rPr>
          <w:rFonts w:ascii="Times New Roman" w:hAnsi="Times New Roman"/>
        </w:rPr>
        <w:t xml:space="preserve">138 had been </w:t>
      </w:r>
      <w:r w:rsidRPr="00827ADF">
        <w:rPr>
          <w:rFonts w:ascii="Times New Roman" w:hAnsi="Times New Roman"/>
        </w:rPr>
        <w:t xml:space="preserve">completed, </w:t>
      </w:r>
      <w:r w:rsidR="00FB276B">
        <w:rPr>
          <w:rFonts w:ascii="Times New Roman" w:hAnsi="Times New Roman"/>
        </w:rPr>
        <w:t xml:space="preserve">4 </w:t>
      </w:r>
      <w:r w:rsidR="003F1C5D">
        <w:rPr>
          <w:rFonts w:ascii="Times New Roman" w:hAnsi="Times New Roman"/>
        </w:rPr>
        <w:t xml:space="preserve">were </w:t>
      </w:r>
      <w:r w:rsidRPr="00827ADF">
        <w:rPr>
          <w:rFonts w:ascii="Times New Roman" w:hAnsi="Times New Roman"/>
        </w:rPr>
        <w:t xml:space="preserve">not yet initiated, </w:t>
      </w:r>
      <w:r w:rsidR="005F20DE" w:rsidRPr="00827ADF">
        <w:rPr>
          <w:rFonts w:ascii="Times New Roman" w:hAnsi="Times New Roman"/>
        </w:rPr>
        <w:t xml:space="preserve">67 </w:t>
      </w:r>
      <w:r w:rsidRPr="00827ADF">
        <w:rPr>
          <w:rFonts w:ascii="Times New Roman" w:hAnsi="Times New Roman"/>
        </w:rPr>
        <w:t>ongoing,</w:t>
      </w:r>
      <w:r w:rsidR="005F20DE" w:rsidRPr="00827ADF">
        <w:rPr>
          <w:rFonts w:ascii="Times New Roman" w:hAnsi="Times New Roman"/>
        </w:rPr>
        <w:t xml:space="preserve"> 0</w:t>
      </w:r>
      <w:r w:rsidRPr="00827ADF">
        <w:rPr>
          <w:rFonts w:ascii="Times New Roman" w:hAnsi="Times New Roman"/>
        </w:rPr>
        <w:t xml:space="preserve"> overdue </w:t>
      </w:r>
      <w:r w:rsidR="005F20DE" w:rsidRPr="00827ADF">
        <w:rPr>
          <w:rFonts w:ascii="Times New Roman" w:hAnsi="Times New Roman"/>
        </w:rPr>
        <w:t xml:space="preserve">and 2 </w:t>
      </w:r>
      <w:r w:rsidRPr="00827ADF">
        <w:rPr>
          <w:rFonts w:ascii="Times New Roman" w:hAnsi="Times New Roman"/>
        </w:rPr>
        <w:t>no longer applicable</w:t>
      </w:r>
      <w:r w:rsidR="005F20DE" w:rsidRPr="00827ADF">
        <w:rPr>
          <w:rFonts w:ascii="Times New Roman" w:hAnsi="Times New Roman"/>
        </w:rPr>
        <w:t>.</w:t>
      </w:r>
    </w:p>
  </w:footnote>
  <w:footnote w:id="5">
    <w:p w14:paraId="7BD39BF5" w14:textId="4437B3B8" w:rsidR="00663B5B" w:rsidRPr="00827ADF" w:rsidRDefault="00663B5B">
      <w:pPr>
        <w:pStyle w:val="FootnoteText"/>
        <w:rPr>
          <w:rFonts w:ascii="Times New Roman" w:hAnsi="Times New Roman"/>
        </w:rPr>
      </w:pPr>
      <w:r w:rsidRPr="00827ADF">
        <w:rPr>
          <w:rStyle w:val="FootnoteReference"/>
          <w:rFonts w:ascii="Times New Roman" w:hAnsi="Times New Roman"/>
        </w:rPr>
        <w:footnoteRef/>
      </w:r>
      <w:r w:rsidRPr="00827ADF">
        <w:rPr>
          <w:rFonts w:ascii="Times New Roman" w:hAnsi="Times New Roman"/>
        </w:rPr>
        <w:t xml:space="preserve"> </w:t>
      </w:r>
      <w:r w:rsidRPr="00827ADF">
        <w:rPr>
          <w:rFonts w:ascii="Times New Roman" w:eastAsia="Times New Roman,Batang" w:hAnsi="Times New Roman"/>
          <w:lang w:eastAsia="ko-KR"/>
        </w:rPr>
        <w:t>The four ICPEs marked as completed 2018, had not yet been uploaded to ERC as of December 31</w:t>
      </w:r>
      <w:r w:rsidRPr="00827ADF">
        <w:rPr>
          <w:rFonts w:ascii="Times New Roman" w:eastAsia="Times New Roman,Batang" w:hAnsi="Times New Roman"/>
          <w:vertAlign w:val="superscript"/>
          <w:lang w:eastAsia="ko-KR"/>
        </w:rPr>
        <w:t>st</w:t>
      </w:r>
      <w:r w:rsidRPr="00827ADF">
        <w:rPr>
          <w:rFonts w:ascii="Times New Roman" w:eastAsia="Times New Roman,Batang" w:hAnsi="Times New Roman"/>
          <w:lang w:eastAsia="ko-KR"/>
        </w:rPr>
        <w:t xml:space="preserve"> 2018.</w:t>
      </w:r>
    </w:p>
  </w:footnote>
  <w:footnote w:id="6">
    <w:p w14:paraId="0C53128B" w14:textId="648CAF7F" w:rsidR="00B2118C" w:rsidRPr="00827ADF" w:rsidRDefault="00B2118C" w:rsidP="00A335BA">
      <w:pPr>
        <w:pStyle w:val="FootnoteText"/>
        <w:rPr>
          <w:rFonts w:ascii="Times New Roman" w:hAnsi="Times New Roman"/>
        </w:rPr>
      </w:pPr>
      <w:r w:rsidRPr="00827ADF">
        <w:rPr>
          <w:rStyle w:val="FootnoteReference"/>
          <w:rFonts w:ascii="Times New Roman" w:hAnsi="Times New Roman"/>
        </w:rPr>
        <w:footnoteRef/>
      </w:r>
      <w:r w:rsidRPr="00827ADF">
        <w:rPr>
          <w:rFonts w:ascii="Times New Roman" w:hAnsi="Times New Roman"/>
        </w:rPr>
        <w:t xml:space="preserve"> </w:t>
      </w:r>
      <w:r w:rsidR="00A270C5">
        <w:rPr>
          <w:rFonts w:ascii="Times New Roman" w:hAnsi="Times New Roman"/>
        </w:rPr>
        <w:t>Out of</w:t>
      </w:r>
      <w:r w:rsidR="0065066E" w:rsidRPr="00827ADF">
        <w:rPr>
          <w:rFonts w:ascii="Times New Roman" w:hAnsi="Times New Roman"/>
        </w:rPr>
        <w:t xml:space="preserve"> 374 actions planned</w:t>
      </w:r>
      <w:r w:rsidR="00C77D9B">
        <w:rPr>
          <w:rFonts w:ascii="Times New Roman" w:hAnsi="Times New Roman"/>
        </w:rPr>
        <w:t>-</w:t>
      </w:r>
      <w:r w:rsidR="0065066E" w:rsidRPr="00827ADF">
        <w:rPr>
          <w:rFonts w:ascii="Times New Roman" w:hAnsi="Times New Roman"/>
        </w:rPr>
        <w:t xml:space="preserve"> 215 had been completed, 6 </w:t>
      </w:r>
      <w:r w:rsidR="00D23638">
        <w:rPr>
          <w:rFonts w:ascii="Times New Roman" w:hAnsi="Times New Roman"/>
        </w:rPr>
        <w:t xml:space="preserve">were </w:t>
      </w:r>
      <w:r w:rsidR="0065066E" w:rsidRPr="00827ADF">
        <w:rPr>
          <w:rFonts w:ascii="Times New Roman" w:hAnsi="Times New Roman"/>
        </w:rPr>
        <w:t>not yet initiated, 65 ongoing, 85 overdue and 3 no longer applicable.</w:t>
      </w:r>
    </w:p>
  </w:footnote>
  <w:footnote w:id="7">
    <w:p w14:paraId="792F7812" w14:textId="043581F1" w:rsidR="00B2118C" w:rsidRDefault="00B2118C" w:rsidP="00B82C0A">
      <w:pPr>
        <w:pStyle w:val="FootnoteText"/>
      </w:pPr>
      <w:r w:rsidRPr="00827ADF">
        <w:rPr>
          <w:rStyle w:val="FootnoteReference"/>
          <w:rFonts w:ascii="Times New Roman" w:hAnsi="Times New Roman"/>
        </w:rPr>
        <w:footnoteRef/>
      </w:r>
      <w:r w:rsidRPr="00827ADF">
        <w:rPr>
          <w:rFonts w:ascii="Times New Roman" w:hAnsi="Times New Roman"/>
        </w:rPr>
        <w:t xml:space="preserve"> </w:t>
      </w:r>
      <w:r w:rsidR="00C16EF2" w:rsidRPr="00827ADF">
        <w:rPr>
          <w:rFonts w:ascii="Times New Roman" w:hAnsi="Times New Roman"/>
        </w:rPr>
        <w:t xml:space="preserve">Out of the 13,413 actions planned- 8,797 had been completed, 2,014 were ongoing, 682 had not yet been initiated, 1,122 were overdue and 790 no longer 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58FC" w14:textId="5B349D53" w:rsidR="00B2118C" w:rsidRDefault="00B2118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E969" w14:textId="77777777" w:rsidR="00B2118C" w:rsidRDefault="00B2118C" w:rsidP="00993C82">
    <w:pPr>
      <w:pStyle w:val="Header"/>
      <w:jc w:val="right"/>
    </w:pPr>
    <w:r w:rsidRPr="00614F74">
      <w:rPr>
        <w:noProof/>
        <w:sz w:val="28"/>
        <w:szCs w:val="28"/>
      </w:rPr>
      <w:drawing>
        <wp:inline distT="0" distB="0" distL="0" distR="0" wp14:anchorId="30E3D876" wp14:editId="2FF3E775">
          <wp:extent cx="485775" cy="904875"/>
          <wp:effectExtent l="0" t="0" r="0" b="0"/>
          <wp:docPr id="2" name="Picture 1"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165"/>
    <w:multiLevelType w:val="hybridMultilevel"/>
    <w:tmpl w:val="EC32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ED0196"/>
    <w:multiLevelType w:val="hybridMultilevel"/>
    <w:tmpl w:val="A79CA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C78"/>
    <w:multiLevelType w:val="hybridMultilevel"/>
    <w:tmpl w:val="A2EA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B6A36B5"/>
    <w:multiLevelType w:val="hybridMultilevel"/>
    <w:tmpl w:val="6E08877A"/>
    <w:lvl w:ilvl="0" w:tplc="C1042C58">
      <w:start w:val="1"/>
      <w:numFmt w:val="decimal"/>
      <w:pStyle w:val="BodyText-1"/>
      <w:lvlText w:val="%1."/>
      <w:lvlJc w:val="left"/>
      <w:pPr>
        <w:ind w:left="900" w:hanging="360"/>
      </w:pPr>
      <w:rPr>
        <w:rFonts w:ascii="Times New Roman" w:hAnsi="Times New Roman" w:cs="Times New Roman" w:hint="default"/>
        <w:b w:val="0"/>
        <w:i w:val="0"/>
        <w:color w:val="auto"/>
        <w:sz w:val="20"/>
        <w:szCs w:val="20"/>
      </w:rPr>
    </w:lvl>
    <w:lvl w:ilvl="1" w:tplc="E5F6AD6A">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92692"/>
    <w:multiLevelType w:val="hybridMultilevel"/>
    <w:tmpl w:val="DB1C7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6B16D2F"/>
    <w:multiLevelType w:val="hybridMultilevel"/>
    <w:tmpl w:val="C9B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0363B"/>
    <w:multiLevelType w:val="hybridMultilevel"/>
    <w:tmpl w:val="568CC4C0"/>
    <w:lvl w:ilvl="0" w:tplc="775A422C">
      <w:start w:val="1"/>
      <w:numFmt w:val="bullet"/>
      <w:lvlText w:val="-"/>
      <w:lvlJc w:val="left"/>
      <w:pPr>
        <w:tabs>
          <w:tab w:val="num" w:pos="720"/>
        </w:tabs>
        <w:ind w:left="720" w:hanging="360"/>
      </w:pPr>
      <w:rPr>
        <w:rFonts w:ascii="Times New Roman" w:hAnsi="Times New Roman" w:hint="default"/>
      </w:rPr>
    </w:lvl>
    <w:lvl w:ilvl="1" w:tplc="DD9C4994" w:tentative="1">
      <w:start w:val="1"/>
      <w:numFmt w:val="bullet"/>
      <w:lvlText w:val="-"/>
      <w:lvlJc w:val="left"/>
      <w:pPr>
        <w:tabs>
          <w:tab w:val="num" w:pos="1440"/>
        </w:tabs>
        <w:ind w:left="1440" w:hanging="360"/>
      </w:pPr>
      <w:rPr>
        <w:rFonts w:ascii="Times New Roman" w:hAnsi="Times New Roman" w:hint="default"/>
      </w:rPr>
    </w:lvl>
    <w:lvl w:ilvl="2" w:tplc="21AE8DB2" w:tentative="1">
      <w:start w:val="1"/>
      <w:numFmt w:val="bullet"/>
      <w:lvlText w:val="-"/>
      <w:lvlJc w:val="left"/>
      <w:pPr>
        <w:tabs>
          <w:tab w:val="num" w:pos="2160"/>
        </w:tabs>
        <w:ind w:left="2160" w:hanging="360"/>
      </w:pPr>
      <w:rPr>
        <w:rFonts w:ascii="Times New Roman" w:hAnsi="Times New Roman" w:hint="default"/>
      </w:rPr>
    </w:lvl>
    <w:lvl w:ilvl="3" w:tplc="5A9A2E4E" w:tentative="1">
      <w:start w:val="1"/>
      <w:numFmt w:val="bullet"/>
      <w:lvlText w:val="-"/>
      <w:lvlJc w:val="left"/>
      <w:pPr>
        <w:tabs>
          <w:tab w:val="num" w:pos="2880"/>
        </w:tabs>
        <w:ind w:left="2880" w:hanging="360"/>
      </w:pPr>
      <w:rPr>
        <w:rFonts w:ascii="Times New Roman" w:hAnsi="Times New Roman" w:hint="default"/>
      </w:rPr>
    </w:lvl>
    <w:lvl w:ilvl="4" w:tplc="B3986EE0" w:tentative="1">
      <w:start w:val="1"/>
      <w:numFmt w:val="bullet"/>
      <w:lvlText w:val="-"/>
      <w:lvlJc w:val="left"/>
      <w:pPr>
        <w:tabs>
          <w:tab w:val="num" w:pos="3600"/>
        </w:tabs>
        <w:ind w:left="3600" w:hanging="360"/>
      </w:pPr>
      <w:rPr>
        <w:rFonts w:ascii="Times New Roman" w:hAnsi="Times New Roman" w:hint="default"/>
      </w:rPr>
    </w:lvl>
    <w:lvl w:ilvl="5" w:tplc="1312DFEA" w:tentative="1">
      <w:start w:val="1"/>
      <w:numFmt w:val="bullet"/>
      <w:lvlText w:val="-"/>
      <w:lvlJc w:val="left"/>
      <w:pPr>
        <w:tabs>
          <w:tab w:val="num" w:pos="4320"/>
        </w:tabs>
        <w:ind w:left="4320" w:hanging="360"/>
      </w:pPr>
      <w:rPr>
        <w:rFonts w:ascii="Times New Roman" w:hAnsi="Times New Roman" w:hint="default"/>
      </w:rPr>
    </w:lvl>
    <w:lvl w:ilvl="6" w:tplc="CFBE53EC" w:tentative="1">
      <w:start w:val="1"/>
      <w:numFmt w:val="bullet"/>
      <w:lvlText w:val="-"/>
      <w:lvlJc w:val="left"/>
      <w:pPr>
        <w:tabs>
          <w:tab w:val="num" w:pos="5040"/>
        </w:tabs>
        <w:ind w:left="5040" w:hanging="360"/>
      </w:pPr>
      <w:rPr>
        <w:rFonts w:ascii="Times New Roman" w:hAnsi="Times New Roman" w:hint="default"/>
      </w:rPr>
    </w:lvl>
    <w:lvl w:ilvl="7" w:tplc="1350426A" w:tentative="1">
      <w:start w:val="1"/>
      <w:numFmt w:val="bullet"/>
      <w:lvlText w:val="-"/>
      <w:lvlJc w:val="left"/>
      <w:pPr>
        <w:tabs>
          <w:tab w:val="num" w:pos="5760"/>
        </w:tabs>
        <w:ind w:left="5760" w:hanging="360"/>
      </w:pPr>
      <w:rPr>
        <w:rFonts w:ascii="Times New Roman" w:hAnsi="Times New Roman" w:hint="default"/>
      </w:rPr>
    </w:lvl>
    <w:lvl w:ilvl="8" w:tplc="6D8C02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A97E88"/>
    <w:multiLevelType w:val="hybridMultilevel"/>
    <w:tmpl w:val="9222A012"/>
    <w:lvl w:ilvl="0" w:tplc="496406EA">
      <w:start w:val="57"/>
      <w:numFmt w:val="bullet"/>
      <w:lvlText w:val="-"/>
      <w:lvlJc w:val="left"/>
      <w:pPr>
        <w:ind w:left="360" w:hanging="360"/>
      </w:pPr>
      <w:rPr>
        <w:rFonts w:ascii="Times New Roman" w:eastAsia="Times New Roman,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5B76A22"/>
    <w:multiLevelType w:val="multilevel"/>
    <w:tmpl w:val="D444B1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71F21BB"/>
    <w:multiLevelType w:val="hybridMultilevel"/>
    <w:tmpl w:val="377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47EF2"/>
    <w:multiLevelType w:val="hybridMultilevel"/>
    <w:tmpl w:val="AC163FA8"/>
    <w:lvl w:ilvl="0" w:tplc="A4BAF12E">
      <w:start w:val="1"/>
      <w:numFmt w:val="bullet"/>
      <w:lvlText w:val="•"/>
      <w:lvlJc w:val="left"/>
      <w:pPr>
        <w:tabs>
          <w:tab w:val="num" w:pos="720"/>
        </w:tabs>
        <w:ind w:left="720" w:hanging="360"/>
      </w:pPr>
      <w:rPr>
        <w:rFonts w:ascii="Arial" w:hAnsi="Arial" w:cs="Times New Roman" w:hint="default"/>
      </w:rPr>
    </w:lvl>
    <w:lvl w:ilvl="1" w:tplc="09DA2FAE">
      <w:start w:val="1"/>
      <w:numFmt w:val="bullet"/>
      <w:lvlText w:val="•"/>
      <w:lvlJc w:val="left"/>
      <w:pPr>
        <w:tabs>
          <w:tab w:val="num" w:pos="1440"/>
        </w:tabs>
        <w:ind w:left="1440" w:hanging="360"/>
      </w:pPr>
      <w:rPr>
        <w:rFonts w:ascii="Arial" w:hAnsi="Arial" w:cs="Times New Roman" w:hint="default"/>
      </w:rPr>
    </w:lvl>
    <w:lvl w:ilvl="2" w:tplc="706081D4">
      <w:start w:val="1"/>
      <w:numFmt w:val="bullet"/>
      <w:lvlText w:val="•"/>
      <w:lvlJc w:val="left"/>
      <w:pPr>
        <w:tabs>
          <w:tab w:val="num" w:pos="2160"/>
        </w:tabs>
        <w:ind w:left="2160" w:hanging="360"/>
      </w:pPr>
      <w:rPr>
        <w:rFonts w:ascii="Arial" w:hAnsi="Arial" w:cs="Times New Roman" w:hint="default"/>
      </w:rPr>
    </w:lvl>
    <w:lvl w:ilvl="3" w:tplc="2CBA5612">
      <w:start w:val="1"/>
      <w:numFmt w:val="bullet"/>
      <w:lvlText w:val="•"/>
      <w:lvlJc w:val="left"/>
      <w:pPr>
        <w:tabs>
          <w:tab w:val="num" w:pos="2880"/>
        </w:tabs>
        <w:ind w:left="2880" w:hanging="360"/>
      </w:pPr>
      <w:rPr>
        <w:rFonts w:ascii="Arial" w:hAnsi="Arial" w:cs="Times New Roman" w:hint="default"/>
      </w:rPr>
    </w:lvl>
    <w:lvl w:ilvl="4" w:tplc="46DA8C9C">
      <w:start w:val="1"/>
      <w:numFmt w:val="bullet"/>
      <w:lvlText w:val="•"/>
      <w:lvlJc w:val="left"/>
      <w:pPr>
        <w:tabs>
          <w:tab w:val="num" w:pos="3600"/>
        </w:tabs>
        <w:ind w:left="3600" w:hanging="360"/>
      </w:pPr>
      <w:rPr>
        <w:rFonts w:ascii="Arial" w:hAnsi="Arial" w:cs="Times New Roman" w:hint="default"/>
      </w:rPr>
    </w:lvl>
    <w:lvl w:ilvl="5" w:tplc="9F4216AE">
      <w:start w:val="1"/>
      <w:numFmt w:val="bullet"/>
      <w:lvlText w:val="•"/>
      <w:lvlJc w:val="left"/>
      <w:pPr>
        <w:tabs>
          <w:tab w:val="num" w:pos="4320"/>
        </w:tabs>
        <w:ind w:left="4320" w:hanging="360"/>
      </w:pPr>
      <w:rPr>
        <w:rFonts w:ascii="Arial" w:hAnsi="Arial" w:cs="Times New Roman" w:hint="default"/>
      </w:rPr>
    </w:lvl>
    <w:lvl w:ilvl="6" w:tplc="8A6A7B0A">
      <w:start w:val="1"/>
      <w:numFmt w:val="bullet"/>
      <w:lvlText w:val="•"/>
      <w:lvlJc w:val="left"/>
      <w:pPr>
        <w:tabs>
          <w:tab w:val="num" w:pos="5040"/>
        </w:tabs>
        <w:ind w:left="5040" w:hanging="360"/>
      </w:pPr>
      <w:rPr>
        <w:rFonts w:ascii="Arial" w:hAnsi="Arial" w:cs="Times New Roman" w:hint="default"/>
      </w:rPr>
    </w:lvl>
    <w:lvl w:ilvl="7" w:tplc="9B8E33F6">
      <w:start w:val="1"/>
      <w:numFmt w:val="bullet"/>
      <w:lvlText w:val="•"/>
      <w:lvlJc w:val="left"/>
      <w:pPr>
        <w:tabs>
          <w:tab w:val="num" w:pos="5760"/>
        </w:tabs>
        <w:ind w:left="5760" w:hanging="360"/>
      </w:pPr>
      <w:rPr>
        <w:rFonts w:ascii="Arial" w:hAnsi="Arial" w:cs="Times New Roman" w:hint="default"/>
      </w:rPr>
    </w:lvl>
    <w:lvl w:ilvl="8" w:tplc="DC181738">
      <w:start w:val="1"/>
      <w:numFmt w:val="bullet"/>
      <w:lvlText w:val="•"/>
      <w:lvlJc w:val="left"/>
      <w:pPr>
        <w:tabs>
          <w:tab w:val="num" w:pos="6480"/>
        </w:tabs>
        <w:ind w:left="6480" w:hanging="360"/>
      </w:pPr>
      <w:rPr>
        <w:rFonts w:ascii="Arial" w:hAnsi="Arial" w:cs="Times New Roman" w:hint="default"/>
      </w:rPr>
    </w:lvl>
  </w:abstractNum>
  <w:num w:numId="1">
    <w:abstractNumId w:val="10"/>
  </w:num>
  <w:num w:numId="2">
    <w:abstractNumId w:val="8"/>
  </w:num>
  <w:num w:numId="3">
    <w:abstractNumId w:val="1"/>
  </w:num>
  <w:num w:numId="4">
    <w:abstractNumId w:val="4"/>
  </w:num>
  <w:num w:numId="5">
    <w:abstractNumId w:val="6"/>
  </w:num>
  <w:num w:numId="6">
    <w:abstractNumId w:val="7"/>
  </w:num>
  <w:num w:numId="7">
    <w:abstractNumId w:val="3"/>
  </w:num>
  <w:num w:numId="8">
    <w:abstractNumId w:val="9"/>
  </w:num>
  <w:num w:numId="9">
    <w:abstractNumId w:val="5"/>
  </w:num>
  <w:num w:numId="10">
    <w:abstractNumId w:val="0"/>
  </w:num>
  <w:num w:numId="11">
    <w:abstractNumId w:val="1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E6"/>
    <w:rsid w:val="0000037E"/>
    <w:rsid w:val="000008C8"/>
    <w:rsid w:val="00000E69"/>
    <w:rsid w:val="000012B8"/>
    <w:rsid w:val="000015B6"/>
    <w:rsid w:val="0000199C"/>
    <w:rsid w:val="000019E1"/>
    <w:rsid w:val="00001BED"/>
    <w:rsid w:val="000020AA"/>
    <w:rsid w:val="00003B59"/>
    <w:rsid w:val="00004836"/>
    <w:rsid w:val="00005561"/>
    <w:rsid w:val="00005EE7"/>
    <w:rsid w:val="000079FA"/>
    <w:rsid w:val="00007F8B"/>
    <w:rsid w:val="00007F96"/>
    <w:rsid w:val="00011078"/>
    <w:rsid w:val="00011360"/>
    <w:rsid w:val="00011894"/>
    <w:rsid w:val="00011A3D"/>
    <w:rsid w:val="00013457"/>
    <w:rsid w:val="00014D74"/>
    <w:rsid w:val="00016080"/>
    <w:rsid w:val="000163B2"/>
    <w:rsid w:val="00016944"/>
    <w:rsid w:val="00017116"/>
    <w:rsid w:val="000204A5"/>
    <w:rsid w:val="00020B8E"/>
    <w:rsid w:val="000211C3"/>
    <w:rsid w:val="00021556"/>
    <w:rsid w:val="00021EA1"/>
    <w:rsid w:val="00023A53"/>
    <w:rsid w:val="000244A8"/>
    <w:rsid w:val="00024CD4"/>
    <w:rsid w:val="00024F3C"/>
    <w:rsid w:val="000257A2"/>
    <w:rsid w:val="000259A7"/>
    <w:rsid w:val="000263D4"/>
    <w:rsid w:val="00026AB2"/>
    <w:rsid w:val="00026F97"/>
    <w:rsid w:val="000317C0"/>
    <w:rsid w:val="00032F29"/>
    <w:rsid w:val="00033E88"/>
    <w:rsid w:val="000341FD"/>
    <w:rsid w:val="00036276"/>
    <w:rsid w:val="00037587"/>
    <w:rsid w:val="00037597"/>
    <w:rsid w:val="00037625"/>
    <w:rsid w:val="00041703"/>
    <w:rsid w:val="000418E6"/>
    <w:rsid w:val="00041B23"/>
    <w:rsid w:val="00042FCF"/>
    <w:rsid w:val="00044AFD"/>
    <w:rsid w:val="0004537D"/>
    <w:rsid w:val="00045D56"/>
    <w:rsid w:val="00046C54"/>
    <w:rsid w:val="00046FE0"/>
    <w:rsid w:val="00050C40"/>
    <w:rsid w:val="00050CD5"/>
    <w:rsid w:val="00051FCA"/>
    <w:rsid w:val="00052D39"/>
    <w:rsid w:val="00052E64"/>
    <w:rsid w:val="000532C1"/>
    <w:rsid w:val="000534B8"/>
    <w:rsid w:val="00053954"/>
    <w:rsid w:val="00054B87"/>
    <w:rsid w:val="0005536B"/>
    <w:rsid w:val="00055592"/>
    <w:rsid w:val="000565F3"/>
    <w:rsid w:val="00057777"/>
    <w:rsid w:val="000578AE"/>
    <w:rsid w:val="00060B77"/>
    <w:rsid w:val="00061ABC"/>
    <w:rsid w:val="00061BCE"/>
    <w:rsid w:val="00063EBE"/>
    <w:rsid w:val="00065F3E"/>
    <w:rsid w:val="00066F2A"/>
    <w:rsid w:val="000703D0"/>
    <w:rsid w:val="0007096E"/>
    <w:rsid w:val="0007106A"/>
    <w:rsid w:val="000712C1"/>
    <w:rsid w:val="000714A3"/>
    <w:rsid w:val="000717D8"/>
    <w:rsid w:val="00071E2E"/>
    <w:rsid w:val="0007244D"/>
    <w:rsid w:val="00072A55"/>
    <w:rsid w:val="00072FE8"/>
    <w:rsid w:val="00073267"/>
    <w:rsid w:val="00073727"/>
    <w:rsid w:val="00074A63"/>
    <w:rsid w:val="00074C27"/>
    <w:rsid w:val="00075281"/>
    <w:rsid w:val="000757A2"/>
    <w:rsid w:val="000804FE"/>
    <w:rsid w:val="00080534"/>
    <w:rsid w:val="0008103E"/>
    <w:rsid w:val="00081741"/>
    <w:rsid w:val="000832C9"/>
    <w:rsid w:val="000842BC"/>
    <w:rsid w:val="000853D5"/>
    <w:rsid w:val="000861F1"/>
    <w:rsid w:val="0008763A"/>
    <w:rsid w:val="00090DDC"/>
    <w:rsid w:val="00090DFD"/>
    <w:rsid w:val="000920E4"/>
    <w:rsid w:val="00092821"/>
    <w:rsid w:val="0009288E"/>
    <w:rsid w:val="00092A7A"/>
    <w:rsid w:val="0009323F"/>
    <w:rsid w:val="0009352D"/>
    <w:rsid w:val="00093974"/>
    <w:rsid w:val="00096434"/>
    <w:rsid w:val="00096B63"/>
    <w:rsid w:val="00097952"/>
    <w:rsid w:val="00097BF7"/>
    <w:rsid w:val="00097EE0"/>
    <w:rsid w:val="000A018E"/>
    <w:rsid w:val="000A0D95"/>
    <w:rsid w:val="000A1C02"/>
    <w:rsid w:val="000A2346"/>
    <w:rsid w:val="000A291E"/>
    <w:rsid w:val="000A2CD7"/>
    <w:rsid w:val="000A317C"/>
    <w:rsid w:val="000A34D2"/>
    <w:rsid w:val="000A3DC1"/>
    <w:rsid w:val="000A4895"/>
    <w:rsid w:val="000A4EF1"/>
    <w:rsid w:val="000A54C8"/>
    <w:rsid w:val="000A576B"/>
    <w:rsid w:val="000A5CDE"/>
    <w:rsid w:val="000A5D35"/>
    <w:rsid w:val="000A680D"/>
    <w:rsid w:val="000A6E5C"/>
    <w:rsid w:val="000A72BC"/>
    <w:rsid w:val="000B0162"/>
    <w:rsid w:val="000B08AD"/>
    <w:rsid w:val="000B120C"/>
    <w:rsid w:val="000B26DA"/>
    <w:rsid w:val="000B41AA"/>
    <w:rsid w:val="000B4300"/>
    <w:rsid w:val="000B43DA"/>
    <w:rsid w:val="000B500A"/>
    <w:rsid w:val="000B556C"/>
    <w:rsid w:val="000B599D"/>
    <w:rsid w:val="000B5C6E"/>
    <w:rsid w:val="000B621B"/>
    <w:rsid w:val="000B62C5"/>
    <w:rsid w:val="000B6719"/>
    <w:rsid w:val="000B6B65"/>
    <w:rsid w:val="000B6C79"/>
    <w:rsid w:val="000B6CA4"/>
    <w:rsid w:val="000B701B"/>
    <w:rsid w:val="000B701E"/>
    <w:rsid w:val="000B782B"/>
    <w:rsid w:val="000B79BC"/>
    <w:rsid w:val="000C0F0A"/>
    <w:rsid w:val="000C0F23"/>
    <w:rsid w:val="000C1004"/>
    <w:rsid w:val="000C316D"/>
    <w:rsid w:val="000C3304"/>
    <w:rsid w:val="000C33AF"/>
    <w:rsid w:val="000C4AB1"/>
    <w:rsid w:val="000C4CF3"/>
    <w:rsid w:val="000C5013"/>
    <w:rsid w:val="000C5931"/>
    <w:rsid w:val="000C5A84"/>
    <w:rsid w:val="000C5F17"/>
    <w:rsid w:val="000C62ED"/>
    <w:rsid w:val="000C6803"/>
    <w:rsid w:val="000C76B3"/>
    <w:rsid w:val="000C77F9"/>
    <w:rsid w:val="000C7B6E"/>
    <w:rsid w:val="000C7DB1"/>
    <w:rsid w:val="000D1DD2"/>
    <w:rsid w:val="000D2118"/>
    <w:rsid w:val="000D253C"/>
    <w:rsid w:val="000D3A2B"/>
    <w:rsid w:val="000D3AEA"/>
    <w:rsid w:val="000D42F4"/>
    <w:rsid w:val="000D54F2"/>
    <w:rsid w:val="000D6084"/>
    <w:rsid w:val="000D61DA"/>
    <w:rsid w:val="000D7059"/>
    <w:rsid w:val="000D7928"/>
    <w:rsid w:val="000E0780"/>
    <w:rsid w:val="000E1731"/>
    <w:rsid w:val="000E1A99"/>
    <w:rsid w:val="000E1C3F"/>
    <w:rsid w:val="000E2012"/>
    <w:rsid w:val="000E41A4"/>
    <w:rsid w:val="000E57C6"/>
    <w:rsid w:val="000E60CE"/>
    <w:rsid w:val="000E7233"/>
    <w:rsid w:val="000F0D22"/>
    <w:rsid w:val="000F1022"/>
    <w:rsid w:val="000F14DE"/>
    <w:rsid w:val="000F1D19"/>
    <w:rsid w:val="000F32B5"/>
    <w:rsid w:val="000F3783"/>
    <w:rsid w:val="000F5C78"/>
    <w:rsid w:val="000F5EC8"/>
    <w:rsid w:val="000F69D1"/>
    <w:rsid w:val="000F77A4"/>
    <w:rsid w:val="000F7E55"/>
    <w:rsid w:val="00100220"/>
    <w:rsid w:val="00100649"/>
    <w:rsid w:val="00100803"/>
    <w:rsid w:val="00100BB6"/>
    <w:rsid w:val="00101A8C"/>
    <w:rsid w:val="0010205F"/>
    <w:rsid w:val="00103C43"/>
    <w:rsid w:val="001040DE"/>
    <w:rsid w:val="00104333"/>
    <w:rsid w:val="00104B7C"/>
    <w:rsid w:val="00105C48"/>
    <w:rsid w:val="00105E91"/>
    <w:rsid w:val="00105F2A"/>
    <w:rsid w:val="00106991"/>
    <w:rsid w:val="00106ECF"/>
    <w:rsid w:val="001072EA"/>
    <w:rsid w:val="00107CA5"/>
    <w:rsid w:val="0011034F"/>
    <w:rsid w:val="00110CE7"/>
    <w:rsid w:val="00110F72"/>
    <w:rsid w:val="00112AA0"/>
    <w:rsid w:val="00112E9C"/>
    <w:rsid w:val="00113061"/>
    <w:rsid w:val="001149A6"/>
    <w:rsid w:val="00114C2C"/>
    <w:rsid w:val="00114DE7"/>
    <w:rsid w:val="001152F8"/>
    <w:rsid w:val="00116154"/>
    <w:rsid w:val="00117C0F"/>
    <w:rsid w:val="00117F08"/>
    <w:rsid w:val="001204CA"/>
    <w:rsid w:val="00120DA6"/>
    <w:rsid w:val="00121C1A"/>
    <w:rsid w:val="001230FE"/>
    <w:rsid w:val="001232C9"/>
    <w:rsid w:val="00123301"/>
    <w:rsid w:val="001246FA"/>
    <w:rsid w:val="001249EE"/>
    <w:rsid w:val="00125A33"/>
    <w:rsid w:val="00125E00"/>
    <w:rsid w:val="00125EF1"/>
    <w:rsid w:val="001263B0"/>
    <w:rsid w:val="00127796"/>
    <w:rsid w:val="00127E1A"/>
    <w:rsid w:val="0013208E"/>
    <w:rsid w:val="00136069"/>
    <w:rsid w:val="00136A02"/>
    <w:rsid w:val="00136E12"/>
    <w:rsid w:val="001372B5"/>
    <w:rsid w:val="001411CF"/>
    <w:rsid w:val="00141C80"/>
    <w:rsid w:val="00142A89"/>
    <w:rsid w:val="00143295"/>
    <w:rsid w:val="00143CAF"/>
    <w:rsid w:val="00145780"/>
    <w:rsid w:val="0014582E"/>
    <w:rsid w:val="00145895"/>
    <w:rsid w:val="0014591D"/>
    <w:rsid w:val="00145A52"/>
    <w:rsid w:val="00145DBD"/>
    <w:rsid w:val="00146282"/>
    <w:rsid w:val="0014735F"/>
    <w:rsid w:val="0014784E"/>
    <w:rsid w:val="00150306"/>
    <w:rsid w:val="00150D6D"/>
    <w:rsid w:val="00151D64"/>
    <w:rsid w:val="00152C5A"/>
    <w:rsid w:val="0015323C"/>
    <w:rsid w:val="0015377B"/>
    <w:rsid w:val="00153A9F"/>
    <w:rsid w:val="00153C06"/>
    <w:rsid w:val="00153F98"/>
    <w:rsid w:val="00154379"/>
    <w:rsid w:val="00154DEA"/>
    <w:rsid w:val="00155DCE"/>
    <w:rsid w:val="001560C2"/>
    <w:rsid w:val="0015642E"/>
    <w:rsid w:val="00156435"/>
    <w:rsid w:val="0015656F"/>
    <w:rsid w:val="00156A72"/>
    <w:rsid w:val="00156E14"/>
    <w:rsid w:val="0015738A"/>
    <w:rsid w:val="00157AD0"/>
    <w:rsid w:val="00157B3D"/>
    <w:rsid w:val="001607DA"/>
    <w:rsid w:val="001614F4"/>
    <w:rsid w:val="00161867"/>
    <w:rsid w:val="00162554"/>
    <w:rsid w:val="001626B4"/>
    <w:rsid w:val="001634E5"/>
    <w:rsid w:val="00163CAD"/>
    <w:rsid w:val="00163CC7"/>
    <w:rsid w:val="00163F55"/>
    <w:rsid w:val="0016507C"/>
    <w:rsid w:val="00165747"/>
    <w:rsid w:val="00170033"/>
    <w:rsid w:val="0017042D"/>
    <w:rsid w:val="00170622"/>
    <w:rsid w:val="00171402"/>
    <w:rsid w:val="00171992"/>
    <w:rsid w:val="00171CC5"/>
    <w:rsid w:val="001729CF"/>
    <w:rsid w:val="00173DA9"/>
    <w:rsid w:val="00173FD4"/>
    <w:rsid w:val="00176631"/>
    <w:rsid w:val="00176797"/>
    <w:rsid w:val="001767E7"/>
    <w:rsid w:val="00177293"/>
    <w:rsid w:val="001772FA"/>
    <w:rsid w:val="00177540"/>
    <w:rsid w:val="001778A2"/>
    <w:rsid w:val="00177AE2"/>
    <w:rsid w:val="0018115D"/>
    <w:rsid w:val="00181669"/>
    <w:rsid w:val="00181994"/>
    <w:rsid w:val="00182CE8"/>
    <w:rsid w:val="001832C5"/>
    <w:rsid w:val="00183D44"/>
    <w:rsid w:val="00184C07"/>
    <w:rsid w:val="0018514F"/>
    <w:rsid w:val="001863B6"/>
    <w:rsid w:val="00186B44"/>
    <w:rsid w:val="00186CDE"/>
    <w:rsid w:val="00187499"/>
    <w:rsid w:val="00190AF0"/>
    <w:rsid w:val="00190CA1"/>
    <w:rsid w:val="00191057"/>
    <w:rsid w:val="001917FC"/>
    <w:rsid w:val="00191914"/>
    <w:rsid w:val="00191FB2"/>
    <w:rsid w:val="0019225D"/>
    <w:rsid w:val="00192711"/>
    <w:rsid w:val="00194949"/>
    <w:rsid w:val="00195000"/>
    <w:rsid w:val="0019539C"/>
    <w:rsid w:val="00195763"/>
    <w:rsid w:val="00196456"/>
    <w:rsid w:val="001968D8"/>
    <w:rsid w:val="001A0344"/>
    <w:rsid w:val="001A041A"/>
    <w:rsid w:val="001A15BB"/>
    <w:rsid w:val="001A2CAF"/>
    <w:rsid w:val="001A44B3"/>
    <w:rsid w:val="001A48CD"/>
    <w:rsid w:val="001A52D6"/>
    <w:rsid w:val="001A5DE2"/>
    <w:rsid w:val="001B00DD"/>
    <w:rsid w:val="001B06F4"/>
    <w:rsid w:val="001B20D4"/>
    <w:rsid w:val="001B29F1"/>
    <w:rsid w:val="001B3A23"/>
    <w:rsid w:val="001B3CF7"/>
    <w:rsid w:val="001B3DF4"/>
    <w:rsid w:val="001B423B"/>
    <w:rsid w:val="001B50E5"/>
    <w:rsid w:val="001B543E"/>
    <w:rsid w:val="001B599A"/>
    <w:rsid w:val="001B5B18"/>
    <w:rsid w:val="001B6819"/>
    <w:rsid w:val="001B68FA"/>
    <w:rsid w:val="001B6989"/>
    <w:rsid w:val="001B6A19"/>
    <w:rsid w:val="001B7C16"/>
    <w:rsid w:val="001C107A"/>
    <w:rsid w:val="001C1502"/>
    <w:rsid w:val="001C1531"/>
    <w:rsid w:val="001C18D4"/>
    <w:rsid w:val="001C26B9"/>
    <w:rsid w:val="001C3764"/>
    <w:rsid w:val="001C4566"/>
    <w:rsid w:val="001C47AC"/>
    <w:rsid w:val="001C4924"/>
    <w:rsid w:val="001C5CE7"/>
    <w:rsid w:val="001C6674"/>
    <w:rsid w:val="001C741F"/>
    <w:rsid w:val="001D05AC"/>
    <w:rsid w:val="001D0DB9"/>
    <w:rsid w:val="001D0F3D"/>
    <w:rsid w:val="001D1131"/>
    <w:rsid w:val="001D14EC"/>
    <w:rsid w:val="001D173E"/>
    <w:rsid w:val="001D2B23"/>
    <w:rsid w:val="001D2BE1"/>
    <w:rsid w:val="001D345F"/>
    <w:rsid w:val="001D4609"/>
    <w:rsid w:val="001D51F6"/>
    <w:rsid w:val="001D59E9"/>
    <w:rsid w:val="001D6AD4"/>
    <w:rsid w:val="001D7282"/>
    <w:rsid w:val="001D7A19"/>
    <w:rsid w:val="001E2462"/>
    <w:rsid w:val="001E2C50"/>
    <w:rsid w:val="001E3D43"/>
    <w:rsid w:val="001E3F31"/>
    <w:rsid w:val="001E4D0C"/>
    <w:rsid w:val="001E50EA"/>
    <w:rsid w:val="001E677B"/>
    <w:rsid w:val="001E6860"/>
    <w:rsid w:val="001F18E4"/>
    <w:rsid w:val="001F1B74"/>
    <w:rsid w:val="001F2D29"/>
    <w:rsid w:val="001F2EAB"/>
    <w:rsid w:val="001F3731"/>
    <w:rsid w:val="001F475D"/>
    <w:rsid w:val="001F4C65"/>
    <w:rsid w:val="001F525F"/>
    <w:rsid w:val="001F610B"/>
    <w:rsid w:val="001F6140"/>
    <w:rsid w:val="001F6F1C"/>
    <w:rsid w:val="001F7C0C"/>
    <w:rsid w:val="001F7DED"/>
    <w:rsid w:val="00200887"/>
    <w:rsid w:val="00200A8A"/>
    <w:rsid w:val="002011FB"/>
    <w:rsid w:val="00201273"/>
    <w:rsid w:val="00203668"/>
    <w:rsid w:val="00203CE2"/>
    <w:rsid w:val="00203D4E"/>
    <w:rsid w:val="002062C0"/>
    <w:rsid w:val="0021074B"/>
    <w:rsid w:val="002108EF"/>
    <w:rsid w:val="00210909"/>
    <w:rsid w:val="00210CC7"/>
    <w:rsid w:val="00211079"/>
    <w:rsid w:val="00211751"/>
    <w:rsid w:val="00211F41"/>
    <w:rsid w:val="00211FA6"/>
    <w:rsid w:val="002121F9"/>
    <w:rsid w:val="002123D3"/>
    <w:rsid w:val="00212F49"/>
    <w:rsid w:val="00213FFC"/>
    <w:rsid w:val="00214840"/>
    <w:rsid w:val="00214990"/>
    <w:rsid w:val="00214C52"/>
    <w:rsid w:val="002166D3"/>
    <w:rsid w:val="002169FD"/>
    <w:rsid w:val="00216AC9"/>
    <w:rsid w:val="00217EBE"/>
    <w:rsid w:val="00221E6F"/>
    <w:rsid w:val="0022250E"/>
    <w:rsid w:val="00223AAE"/>
    <w:rsid w:val="00224620"/>
    <w:rsid w:val="0022508F"/>
    <w:rsid w:val="00226F48"/>
    <w:rsid w:val="002273D7"/>
    <w:rsid w:val="00227936"/>
    <w:rsid w:val="002279C7"/>
    <w:rsid w:val="00227ADE"/>
    <w:rsid w:val="00230BB6"/>
    <w:rsid w:val="002318E2"/>
    <w:rsid w:val="002333F8"/>
    <w:rsid w:val="002344E3"/>
    <w:rsid w:val="0023483B"/>
    <w:rsid w:val="0023559D"/>
    <w:rsid w:val="00235E72"/>
    <w:rsid w:val="00237EAF"/>
    <w:rsid w:val="0024073D"/>
    <w:rsid w:val="00240F42"/>
    <w:rsid w:val="002418CF"/>
    <w:rsid w:val="00241A22"/>
    <w:rsid w:val="00241D5B"/>
    <w:rsid w:val="00246146"/>
    <w:rsid w:val="002461D8"/>
    <w:rsid w:val="0024677D"/>
    <w:rsid w:val="00246B78"/>
    <w:rsid w:val="00247062"/>
    <w:rsid w:val="00247E30"/>
    <w:rsid w:val="00250907"/>
    <w:rsid w:val="00251424"/>
    <w:rsid w:val="00251621"/>
    <w:rsid w:val="002525F3"/>
    <w:rsid w:val="0025294E"/>
    <w:rsid w:val="00254195"/>
    <w:rsid w:val="00255D3D"/>
    <w:rsid w:val="00256B57"/>
    <w:rsid w:val="0025763A"/>
    <w:rsid w:val="0025777F"/>
    <w:rsid w:val="00257B7F"/>
    <w:rsid w:val="0026175F"/>
    <w:rsid w:val="00261BD9"/>
    <w:rsid w:val="00261D9E"/>
    <w:rsid w:val="00262FD9"/>
    <w:rsid w:val="002630AE"/>
    <w:rsid w:val="002634C7"/>
    <w:rsid w:val="00263957"/>
    <w:rsid w:val="00263E17"/>
    <w:rsid w:val="0026625F"/>
    <w:rsid w:val="00266F7C"/>
    <w:rsid w:val="002716B8"/>
    <w:rsid w:val="002719E3"/>
    <w:rsid w:val="00272279"/>
    <w:rsid w:val="00273252"/>
    <w:rsid w:val="002737A1"/>
    <w:rsid w:val="00274619"/>
    <w:rsid w:val="00274EAD"/>
    <w:rsid w:val="0027562B"/>
    <w:rsid w:val="00277EC7"/>
    <w:rsid w:val="0028012E"/>
    <w:rsid w:val="00280DDB"/>
    <w:rsid w:val="00280EF9"/>
    <w:rsid w:val="00280F5A"/>
    <w:rsid w:val="00281159"/>
    <w:rsid w:val="002816DA"/>
    <w:rsid w:val="0028297E"/>
    <w:rsid w:val="00283003"/>
    <w:rsid w:val="00283297"/>
    <w:rsid w:val="00283A8E"/>
    <w:rsid w:val="002841E7"/>
    <w:rsid w:val="00284A5F"/>
    <w:rsid w:val="00284BE7"/>
    <w:rsid w:val="00284C17"/>
    <w:rsid w:val="00284F8D"/>
    <w:rsid w:val="00285637"/>
    <w:rsid w:val="002861A5"/>
    <w:rsid w:val="002864DC"/>
    <w:rsid w:val="00286E06"/>
    <w:rsid w:val="00290C40"/>
    <w:rsid w:val="00290DB4"/>
    <w:rsid w:val="0029216C"/>
    <w:rsid w:val="002923A1"/>
    <w:rsid w:val="00292AE7"/>
    <w:rsid w:val="00292BC1"/>
    <w:rsid w:val="00292ECC"/>
    <w:rsid w:val="00293DB7"/>
    <w:rsid w:val="00294099"/>
    <w:rsid w:val="002947AE"/>
    <w:rsid w:val="00295114"/>
    <w:rsid w:val="00295765"/>
    <w:rsid w:val="00295AC8"/>
    <w:rsid w:val="002964E2"/>
    <w:rsid w:val="002971DD"/>
    <w:rsid w:val="00297846"/>
    <w:rsid w:val="00297FF8"/>
    <w:rsid w:val="002A02DD"/>
    <w:rsid w:val="002A059B"/>
    <w:rsid w:val="002A11A3"/>
    <w:rsid w:val="002A157E"/>
    <w:rsid w:val="002A2140"/>
    <w:rsid w:val="002A2295"/>
    <w:rsid w:val="002A2493"/>
    <w:rsid w:val="002A2AF6"/>
    <w:rsid w:val="002A2D85"/>
    <w:rsid w:val="002A2DB8"/>
    <w:rsid w:val="002A33B6"/>
    <w:rsid w:val="002A383B"/>
    <w:rsid w:val="002A4132"/>
    <w:rsid w:val="002A60BB"/>
    <w:rsid w:val="002A66A7"/>
    <w:rsid w:val="002A7126"/>
    <w:rsid w:val="002A765A"/>
    <w:rsid w:val="002A76FC"/>
    <w:rsid w:val="002B2350"/>
    <w:rsid w:val="002B2BDD"/>
    <w:rsid w:val="002B4BCE"/>
    <w:rsid w:val="002B4F03"/>
    <w:rsid w:val="002B51CA"/>
    <w:rsid w:val="002B52A8"/>
    <w:rsid w:val="002B76D1"/>
    <w:rsid w:val="002B7E30"/>
    <w:rsid w:val="002C07D8"/>
    <w:rsid w:val="002C0BC1"/>
    <w:rsid w:val="002C22D9"/>
    <w:rsid w:val="002C455E"/>
    <w:rsid w:val="002C50C2"/>
    <w:rsid w:val="002C5303"/>
    <w:rsid w:val="002C591A"/>
    <w:rsid w:val="002C5B0F"/>
    <w:rsid w:val="002C7AE3"/>
    <w:rsid w:val="002C7B15"/>
    <w:rsid w:val="002C7CDD"/>
    <w:rsid w:val="002D116D"/>
    <w:rsid w:val="002D13B5"/>
    <w:rsid w:val="002D13E7"/>
    <w:rsid w:val="002D1769"/>
    <w:rsid w:val="002D19F0"/>
    <w:rsid w:val="002D23E9"/>
    <w:rsid w:val="002D2ED4"/>
    <w:rsid w:val="002D2F38"/>
    <w:rsid w:val="002D3A21"/>
    <w:rsid w:val="002D4DC5"/>
    <w:rsid w:val="002D5045"/>
    <w:rsid w:val="002D5A7F"/>
    <w:rsid w:val="002E046B"/>
    <w:rsid w:val="002E072F"/>
    <w:rsid w:val="002E1995"/>
    <w:rsid w:val="002E1B93"/>
    <w:rsid w:val="002E2D34"/>
    <w:rsid w:val="002E36E7"/>
    <w:rsid w:val="002E3C0F"/>
    <w:rsid w:val="002E4458"/>
    <w:rsid w:val="002E522F"/>
    <w:rsid w:val="002E5524"/>
    <w:rsid w:val="002E5534"/>
    <w:rsid w:val="002E5E1A"/>
    <w:rsid w:val="002E65C7"/>
    <w:rsid w:val="002E6AC4"/>
    <w:rsid w:val="002E754F"/>
    <w:rsid w:val="002F0C62"/>
    <w:rsid w:val="002F17D6"/>
    <w:rsid w:val="002F1CEF"/>
    <w:rsid w:val="002F1ECE"/>
    <w:rsid w:val="002F1F3E"/>
    <w:rsid w:val="002F2B3C"/>
    <w:rsid w:val="002F2BD9"/>
    <w:rsid w:val="002F3750"/>
    <w:rsid w:val="002F382E"/>
    <w:rsid w:val="002F3BC6"/>
    <w:rsid w:val="002F4628"/>
    <w:rsid w:val="002F5239"/>
    <w:rsid w:val="002F55D9"/>
    <w:rsid w:val="002F5931"/>
    <w:rsid w:val="002F5F48"/>
    <w:rsid w:val="002F698B"/>
    <w:rsid w:val="002F6B23"/>
    <w:rsid w:val="003006FF"/>
    <w:rsid w:val="003013CA"/>
    <w:rsid w:val="00301EB6"/>
    <w:rsid w:val="00302265"/>
    <w:rsid w:val="00302C4F"/>
    <w:rsid w:val="00303375"/>
    <w:rsid w:val="0030384B"/>
    <w:rsid w:val="00303A50"/>
    <w:rsid w:val="00303F98"/>
    <w:rsid w:val="003056CA"/>
    <w:rsid w:val="00305C45"/>
    <w:rsid w:val="00307177"/>
    <w:rsid w:val="0030725A"/>
    <w:rsid w:val="00307EE7"/>
    <w:rsid w:val="0031038A"/>
    <w:rsid w:val="00310459"/>
    <w:rsid w:val="00311A63"/>
    <w:rsid w:val="00311D9B"/>
    <w:rsid w:val="00312358"/>
    <w:rsid w:val="003135E4"/>
    <w:rsid w:val="0031437A"/>
    <w:rsid w:val="00314C45"/>
    <w:rsid w:val="003151C3"/>
    <w:rsid w:val="00315387"/>
    <w:rsid w:val="00315A15"/>
    <w:rsid w:val="00315FC5"/>
    <w:rsid w:val="00316B85"/>
    <w:rsid w:val="00316BAB"/>
    <w:rsid w:val="00316EA9"/>
    <w:rsid w:val="0031710F"/>
    <w:rsid w:val="00317753"/>
    <w:rsid w:val="00317B39"/>
    <w:rsid w:val="00321317"/>
    <w:rsid w:val="0032185E"/>
    <w:rsid w:val="0032247C"/>
    <w:rsid w:val="00323686"/>
    <w:rsid w:val="00324395"/>
    <w:rsid w:val="00325E6E"/>
    <w:rsid w:val="00326116"/>
    <w:rsid w:val="003261DA"/>
    <w:rsid w:val="00326AB2"/>
    <w:rsid w:val="00326DE8"/>
    <w:rsid w:val="003275B4"/>
    <w:rsid w:val="003302A6"/>
    <w:rsid w:val="003311D0"/>
    <w:rsid w:val="0033167B"/>
    <w:rsid w:val="00332BB0"/>
    <w:rsid w:val="00332F5B"/>
    <w:rsid w:val="00333819"/>
    <w:rsid w:val="00336000"/>
    <w:rsid w:val="00336DFB"/>
    <w:rsid w:val="003372C2"/>
    <w:rsid w:val="0033737A"/>
    <w:rsid w:val="00340521"/>
    <w:rsid w:val="003416BC"/>
    <w:rsid w:val="0034332E"/>
    <w:rsid w:val="0034354A"/>
    <w:rsid w:val="003443A6"/>
    <w:rsid w:val="00344513"/>
    <w:rsid w:val="00344F79"/>
    <w:rsid w:val="00346CB7"/>
    <w:rsid w:val="0034702E"/>
    <w:rsid w:val="00347219"/>
    <w:rsid w:val="003474F8"/>
    <w:rsid w:val="00350B6B"/>
    <w:rsid w:val="00350BE3"/>
    <w:rsid w:val="00350CA6"/>
    <w:rsid w:val="00351524"/>
    <w:rsid w:val="00351E74"/>
    <w:rsid w:val="00352699"/>
    <w:rsid w:val="00353244"/>
    <w:rsid w:val="00353930"/>
    <w:rsid w:val="00353B69"/>
    <w:rsid w:val="00353F4C"/>
    <w:rsid w:val="00355691"/>
    <w:rsid w:val="003572AF"/>
    <w:rsid w:val="003572D3"/>
    <w:rsid w:val="0035744E"/>
    <w:rsid w:val="00357B88"/>
    <w:rsid w:val="00357E1E"/>
    <w:rsid w:val="003605E6"/>
    <w:rsid w:val="00360DAF"/>
    <w:rsid w:val="00361002"/>
    <w:rsid w:val="00361130"/>
    <w:rsid w:val="00361712"/>
    <w:rsid w:val="00361CA4"/>
    <w:rsid w:val="00361E09"/>
    <w:rsid w:val="00362221"/>
    <w:rsid w:val="00362C61"/>
    <w:rsid w:val="003632BF"/>
    <w:rsid w:val="0036383B"/>
    <w:rsid w:val="00363986"/>
    <w:rsid w:val="00364572"/>
    <w:rsid w:val="00366B48"/>
    <w:rsid w:val="00366ED4"/>
    <w:rsid w:val="00366FEB"/>
    <w:rsid w:val="003670FB"/>
    <w:rsid w:val="00367950"/>
    <w:rsid w:val="00367E40"/>
    <w:rsid w:val="00370CB5"/>
    <w:rsid w:val="00372750"/>
    <w:rsid w:val="00372C33"/>
    <w:rsid w:val="0037349A"/>
    <w:rsid w:val="003736C7"/>
    <w:rsid w:val="003738D6"/>
    <w:rsid w:val="00373C14"/>
    <w:rsid w:val="00373C26"/>
    <w:rsid w:val="00374545"/>
    <w:rsid w:val="00374AC2"/>
    <w:rsid w:val="00375976"/>
    <w:rsid w:val="003771CD"/>
    <w:rsid w:val="00377BB2"/>
    <w:rsid w:val="003814BA"/>
    <w:rsid w:val="00381A91"/>
    <w:rsid w:val="00381FBD"/>
    <w:rsid w:val="00381FEE"/>
    <w:rsid w:val="00382BF6"/>
    <w:rsid w:val="0038331E"/>
    <w:rsid w:val="00383A71"/>
    <w:rsid w:val="0038474B"/>
    <w:rsid w:val="003847A7"/>
    <w:rsid w:val="003862EE"/>
    <w:rsid w:val="003869B5"/>
    <w:rsid w:val="0038724D"/>
    <w:rsid w:val="00387408"/>
    <w:rsid w:val="003875DB"/>
    <w:rsid w:val="00390E05"/>
    <w:rsid w:val="0039114A"/>
    <w:rsid w:val="00391FF5"/>
    <w:rsid w:val="00392E95"/>
    <w:rsid w:val="003934E3"/>
    <w:rsid w:val="00393A03"/>
    <w:rsid w:val="00393BB9"/>
    <w:rsid w:val="00395B6F"/>
    <w:rsid w:val="00396007"/>
    <w:rsid w:val="00396073"/>
    <w:rsid w:val="00396FB7"/>
    <w:rsid w:val="003976E9"/>
    <w:rsid w:val="00397C2B"/>
    <w:rsid w:val="003A0738"/>
    <w:rsid w:val="003A080A"/>
    <w:rsid w:val="003A089A"/>
    <w:rsid w:val="003A09DA"/>
    <w:rsid w:val="003A0B7B"/>
    <w:rsid w:val="003A0FB9"/>
    <w:rsid w:val="003A2494"/>
    <w:rsid w:val="003A30C1"/>
    <w:rsid w:val="003A4673"/>
    <w:rsid w:val="003A4BE9"/>
    <w:rsid w:val="003A527F"/>
    <w:rsid w:val="003A5B02"/>
    <w:rsid w:val="003A5E68"/>
    <w:rsid w:val="003A6DC0"/>
    <w:rsid w:val="003A7E27"/>
    <w:rsid w:val="003B0B54"/>
    <w:rsid w:val="003B1B35"/>
    <w:rsid w:val="003B1EF6"/>
    <w:rsid w:val="003B26F8"/>
    <w:rsid w:val="003B3120"/>
    <w:rsid w:val="003B348B"/>
    <w:rsid w:val="003B4200"/>
    <w:rsid w:val="003B5379"/>
    <w:rsid w:val="003B5601"/>
    <w:rsid w:val="003B5B8D"/>
    <w:rsid w:val="003B5EDF"/>
    <w:rsid w:val="003B6B79"/>
    <w:rsid w:val="003B6E8D"/>
    <w:rsid w:val="003B7253"/>
    <w:rsid w:val="003B7B25"/>
    <w:rsid w:val="003C0227"/>
    <w:rsid w:val="003C03D6"/>
    <w:rsid w:val="003C0E41"/>
    <w:rsid w:val="003C1FC1"/>
    <w:rsid w:val="003C32C7"/>
    <w:rsid w:val="003C3EA0"/>
    <w:rsid w:val="003C4A69"/>
    <w:rsid w:val="003C563B"/>
    <w:rsid w:val="003C58A4"/>
    <w:rsid w:val="003C661F"/>
    <w:rsid w:val="003C7878"/>
    <w:rsid w:val="003C7AD7"/>
    <w:rsid w:val="003D035E"/>
    <w:rsid w:val="003D19FD"/>
    <w:rsid w:val="003D2F2B"/>
    <w:rsid w:val="003D3E38"/>
    <w:rsid w:val="003D3FFA"/>
    <w:rsid w:val="003D4F6E"/>
    <w:rsid w:val="003D5550"/>
    <w:rsid w:val="003D56A5"/>
    <w:rsid w:val="003D5E8D"/>
    <w:rsid w:val="003D771B"/>
    <w:rsid w:val="003E19AD"/>
    <w:rsid w:val="003E2596"/>
    <w:rsid w:val="003E34D4"/>
    <w:rsid w:val="003E39BE"/>
    <w:rsid w:val="003E422D"/>
    <w:rsid w:val="003E46CF"/>
    <w:rsid w:val="003E48A3"/>
    <w:rsid w:val="003E550A"/>
    <w:rsid w:val="003E60DB"/>
    <w:rsid w:val="003E70CD"/>
    <w:rsid w:val="003E7DBA"/>
    <w:rsid w:val="003F0E32"/>
    <w:rsid w:val="003F1C5D"/>
    <w:rsid w:val="003F222B"/>
    <w:rsid w:val="003F2B77"/>
    <w:rsid w:val="003F2EB7"/>
    <w:rsid w:val="003F3BDD"/>
    <w:rsid w:val="003F4BD6"/>
    <w:rsid w:val="003F5293"/>
    <w:rsid w:val="003F58B9"/>
    <w:rsid w:val="003F5F81"/>
    <w:rsid w:val="003F6378"/>
    <w:rsid w:val="003F6899"/>
    <w:rsid w:val="003F6E22"/>
    <w:rsid w:val="003F75E3"/>
    <w:rsid w:val="003F7D34"/>
    <w:rsid w:val="00401B1D"/>
    <w:rsid w:val="0040284C"/>
    <w:rsid w:val="004029E4"/>
    <w:rsid w:val="00402CF8"/>
    <w:rsid w:val="00403398"/>
    <w:rsid w:val="0040396F"/>
    <w:rsid w:val="00403E57"/>
    <w:rsid w:val="00404815"/>
    <w:rsid w:val="00404A68"/>
    <w:rsid w:val="004052C5"/>
    <w:rsid w:val="00405D42"/>
    <w:rsid w:val="0040646D"/>
    <w:rsid w:val="004070BC"/>
    <w:rsid w:val="00407C33"/>
    <w:rsid w:val="00410615"/>
    <w:rsid w:val="00410AED"/>
    <w:rsid w:val="00410E5D"/>
    <w:rsid w:val="00410FF8"/>
    <w:rsid w:val="004111CF"/>
    <w:rsid w:val="00411BD0"/>
    <w:rsid w:val="004124BE"/>
    <w:rsid w:val="00412F4C"/>
    <w:rsid w:val="0041429E"/>
    <w:rsid w:val="00414445"/>
    <w:rsid w:val="004176F0"/>
    <w:rsid w:val="00417B11"/>
    <w:rsid w:val="00417C7C"/>
    <w:rsid w:val="00417DD1"/>
    <w:rsid w:val="0042038F"/>
    <w:rsid w:val="004208E6"/>
    <w:rsid w:val="004216FD"/>
    <w:rsid w:val="00421B14"/>
    <w:rsid w:val="004220FE"/>
    <w:rsid w:val="0042318D"/>
    <w:rsid w:val="00425075"/>
    <w:rsid w:val="00426E13"/>
    <w:rsid w:val="00426EAD"/>
    <w:rsid w:val="004276C6"/>
    <w:rsid w:val="00430752"/>
    <w:rsid w:val="00430F2A"/>
    <w:rsid w:val="00431894"/>
    <w:rsid w:val="00431B16"/>
    <w:rsid w:val="00432763"/>
    <w:rsid w:val="004330D7"/>
    <w:rsid w:val="00434131"/>
    <w:rsid w:val="004341F4"/>
    <w:rsid w:val="0043463B"/>
    <w:rsid w:val="0043473D"/>
    <w:rsid w:val="00435893"/>
    <w:rsid w:val="0043596E"/>
    <w:rsid w:val="0044165F"/>
    <w:rsid w:val="00442042"/>
    <w:rsid w:val="0044373C"/>
    <w:rsid w:val="00443A63"/>
    <w:rsid w:val="00443E9F"/>
    <w:rsid w:val="0044463B"/>
    <w:rsid w:val="004446D7"/>
    <w:rsid w:val="00445160"/>
    <w:rsid w:val="0044557E"/>
    <w:rsid w:val="00445D7A"/>
    <w:rsid w:val="00446D34"/>
    <w:rsid w:val="00447592"/>
    <w:rsid w:val="00447851"/>
    <w:rsid w:val="00447EB1"/>
    <w:rsid w:val="00450800"/>
    <w:rsid w:val="0045141E"/>
    <w:rsid w:val="004524D7"/>
    <w:rsid w:val="00452610"/>
    <w:rsid w:val="004531E4"/>
    <w:rsid w:val="00453E43"/>
    <w:rsid w:val="004542FE"/>
    <w:rsid w:val="00454617"/>
    <w:rsid w:val="00455BD9"/>
    <w:rsid w:val="00456F6B"/>
    <w:rsid w:val="004603E0"/>
    <w:rsid w:val="0046044F"/>
    <w:rsid w:val="00460A2B"/>
    <w:rsid w:val="00460D4F"/>
    <w:rsid w:val="0046274F"/>
    <w:rsid w:val="00464220"/>
    <w:rsid w:val="00464E68"/>
    <w:rsid w:val="004655B0"/>
    <w:rsid w:val="00465874"/>
    <w:rsid w:val="00465F8A"/>
    <w:rsid w:val="0046670D"/>
    <w:rsid w:val="00466B4F"/>
    <w:rsid w:val="00467C0E"/>
    <w:rsid w:val="00467E0C"/>
    <w:rsid w:val="00471F85"/>
    <w:rsid w:val="004727B0"/>
    <w:rsid w:val="0047303A"/>
    <w:rsid w:val="004730CC"/>
    <w:rsid w:val="004732DA"/>
    <w:rsid w:val="00474575"/>
    <w:rsid w:val="004747D5"/>
    <w:rsid w:val="00474BDB"/>
    <w:rsid w:val="00475213"/>
    <w:rsid w:val="00475934"/>
    <w:rsid w:val="00475B1F"/>
    <w:rsid w:val="00475D4A"/>
    <w:rsid w:val="004761D5"/>
    <w:rsid w:val="00476787"/>
    <w:rsid w:val="00476B9E"/>
    <w:rsid w:val="00477AF2"/>
    <w:rsid w:val="00477C16"/>
    <w:rsid w:val="00477D4B"/>
    <w:rsid w:val="00480301"/>
    <w:rsid w:val="004811C7"/>
    <w:rsid w:val="0048142F"/>
    <w:rsid w:val="00481D00"/>
    <w:rsid w:val="00481D92"/>
    <w:rsid w:val="00482965"/>
    <w:rsid w:val="004834DC"/>
    <w:rsid w:val="00483F53"/>
    <w:rsid w:val="00484FD5"/>
    <w:rsid w:val="00484FDE"/>
    <w:rsid w:val="004851BC"/>
    <w:rsid w:val="00485449"/>
    <w:rsid w:val="0048544F"/>
    <w:rsid w:val="004863F2"/>
    <w:rsid w:val="0048676E"/>
    <w:rsid w:val="00486C7D"/>
    <w:rsid w:val="00486E0E"/>
    <w:rsid w:val="004903FB"/>
    <w:rsid w:val="004906B8"/>
    <w:rsid w:val="00490865"/>
    <w:rsid w:val="004914A8"/>
    <w:rsid w:val="00492A35"/>
    <w:rsid w:val="00492CDB"/>
    <w:rsid w:val="00492F2C"/>
    <w:rsid w:val="0049345B"/>
    <w:rsid w:val="004940AE"/>
    <w:rsid w:val="0049426F"/>
    <w:rsid w:val="0049519D"/>
    <w:rsid w:val="00495527"/>
    <w:rsid w:val="00495BC8"/>
    <w:rsid w:val="00495C4A"/>
    <w:rsid w:val="00496500"/>
    <w:rsid w:val="0049763D"/>
    <w:rsid w:val="00497981"/>
    <w:rsid w:val="004A0E2D"/>
    <w:rsid w:val="004A1831"/>
    <w:rsid w:val="004A2748"/>
    <w:rsid w:val="004A3661"/>
    <w:rsid w:val="004A4223"/>
    <w:rsid w:val="004A4864"/>
    <w:rsid w:val="004A496D"/>
    <w:rsid w:val="004A4F50"/>
    <w:rsid w:val="004A5B90"/>
    <w:rsid w:val="004A5BB3"/>
    <w:rsid w:val="004A70FD"/>
    <w:rsid w:val="004B0AFE"/>
    <w:rsid w:val="004B0F35"/>
    <w:rsid w:val="004B3126"/>
    <w:rsid w:val="004B3640"/>
    <w:rsid w:val="004B5717"/>
    <w:rsid w:val="004B57AE"/>
    <w:rsid w:val="004B5E73"/>
    <w:rsid w:val="004B64CC"/>
    <w:rsid w:val="004B6B51"/>
    <w:rsid w:val="004B6B5B"/>
    <w:rsid w:val="004B7099"/>
    <w:rsid w:val="004B7536"/>
    <w:rsid w:val="004C0035"/>
    <w:rsid w:val="004C09BC"/>
    <w:rsid w:val="004C0D52"/>
    <w:rsid w:val="004C0F83"/>
    <w:rsid w:val="004C1765"/>
    <w:rsid w:val="004C19BE"/>
    <w:rsid w:val="004C1C86"/>
    <w:rsid w:val="004C2DE8"/>
    <w:rsid w:val="004C411E"/>
    <w:rsid w:val="004C43A3"/>
    <w:rsid w:val="004C463E"/>
    <w:rsid w:val="004C5969"/>
    <w:rsid w:val="004C5A86"/>
    <w:rsid w:val="004C5B40"/>
    <w:rsid w:val="004C6316"/>
    <w:rsid w:val="004C6399"/>
    <w:rsid w:val="004C654C"/>
    <w:rsid w:val="004C6DBE"/>
    <w:rsid w:val="004C74AA"/>
    <w:rsid w:val="004C7870"/>
    <w:rsid w:val="004D131B"/>
    <w:rsid w:val="004D4719"/>
    <w:rsid w:val="004D482E"/>
    <w:rsid w:val="004D5BD2"/>
    <w:rsid w:val="004D5F17"/>
    <w:rsid w:val="004D5FBB"/>
    <w:rsid w:val="004D61BA"/>
    <w:rsid w:val="004D75A8"/>
    <w:rsid w:val="004D7AD8"/>
    <w:rsid w:val="004D7CDC"/>
    <w:rsid w:val="004E019B"/>
    <w:rsid w:val="004E13DF"/>
    <w:rsid w:val="004E1C0C"/>
    <w:rsid w:val="004E2C24"/>
    <w:rsid w:val="004E329A"/>
    <w:rsid w:val="004E3618"/>
    <w:rsid w:val="004E37A7"/>
    <w:rsid w:val="004E4E53"/>
    <w:rsid w:val="004E52D9"/>
    <w:rsid w:val="004E5CED"/>
    <w:rsid w:val="004E5DE5"/>
    <w:rsid w:val="004E645F"/>
    <w:rsid w:val="004E735A"/>
    <w:rsid w:val="004F035A"/>
    <w:rsid w:val="004F0D1B"/>
    <w:rsid w:val="004F107D"/>
    <w:rsid w:val="004F1E27"/>
    <w:rsid w:val="004F279E"/>
    <w:rsid w:val="004F3976"/>
    <w:rsid w:val="004F4BC8"/>
    <w:rsid w:val="004F4FDC"/>
    <w:rsid w:val="004F5232"/>
    <w:rsid w:val="004F5B84"/>
    <w:rsid w:val="004F5EBE"/>
    <w:rsid w:val="004F640C"/>
    <w:rsid w:val="004F6412"/>
    <w:rsid w:val="004F652E"/>
    <w:rsid w:val="004F65C1"/>
    <w:rsid w:val="004F7149"/>
    <w:rsid w:val="004F79CD"/>
    <w:rsid w:val="004F7F6F"/>
    <w:rsid w:val="00500EBB"/>
    <w:rsid w:val="00502045"/>
    <w:rsid w:val="00502334"/>
    <w:rsid w:val="0050288E"/>
    <w:rsid w:val="00503226"/>
    <w:rsid w:val="00504026"/>
    <w:rsid w:val="00504168"/>
    <w:rsid w:val="00504C85"/>
    <w:rsid w:val="00505F65"/>
    <w:rsid w:val="00505F74"/>
    <w:rsid w:val="00506E24"/>
    <w:rsid w:val="00506ECD"/>
    <w:rsid w:val="0050726B"/>
    <w:rsid w:val="0051045A"/>
    <w:rsid w:val="005106FD"/>
    <w:rsid w:val="00510886"/>
    <w:rsid w:val="005114D3"/>
    <w:rsid w:val="00511662"/>
    <w:rsid w:val="0051297A"/>
    <w:rsid w:val="00512AA4"/>
    <w:rsid w:val="00512CB2"/>
    <w:rsid w:val="00513060"/>
    <w:rsid w:val="00513782"/>
    <w:rsid w:val="005148BF"/>
    <w:rsid w:val="00514ABA"/>
    <w:rsid w:val="0051671C"/>
    <w:rsid w:val="00516998"/>
    <w:rsid w:val="00516B12"/>
    <w:rsid w:val="00516B77"/>
    <w:rsid w:val="0051799F"/>
    <w:rsid w:val="00520061"/>
    <w:rsid w:val="00521001"/>
    <w:rsid w:val="00521AF3"/>
    <w:rsid w:val="005238D1"/>
    <w:rsid w:val="00524659"/>
    <w:rsid w:val="0052500F"/>
    <w:rsid w:val="00525690"/>
    <w:rsid w:val="0052637B"/>
    <w:rsid w:val="00526A6B"/>
    <w:rsid w:val="00527611"/>
    <w:rsid w:val="00527A41"/>
    <w:rsid w:val="005323D3"/>
    <w:rsid w:val="00532A8D"/>
    <w:rsid w:val="005330EB"/>
    <w:rsid w:val="00533BB3"/>
    <w:rsid w:val="00534AC8"/>
    <w:rsid w:val="00537932"/>
    <w:rsid w:val="00537D76"/>
    <w:rsid w:val="00540136"/>
    <w:rsid w:val="005403CF"/>
    <w:rsid w:val="00540808"/>
    <w:rsid w:val="00541F6C"/>
    <w:rsid w:val="005442D2"/>
    <w:rsid w:val="005449D3"/>
    <w:rsid w:val="005453AF"/>
    <w:rsid w:val="00546CE5"/>
    <w:rsid w:val="005473E2"/>
    <w:rsid w:val="005479F9"/>
    <w:rsid w:val="00547B59"/>
    <w:rsid w:val="00550940"/>
    <w:rsid w:val="00551D69"/>
    <w:rsid w:val="00551E65"/>
    <w:rsid w:val="00551FD3"/>
    <w:rsid w:val="00553177"/>
    <w:rsid w:val="00553D98"/>
    <w:rsid w:val="00554E8D"/>
    <w:rsid w:val="005554B1"/>
    <w:rsid w:val="005554E6"/>
    <w:rsid w:val="00555CF5"/>
    <w:rsid w:val="00555D23"/>
    <w:rsid w:val="00555E9D"/>
    <w:rsid w:val="00557628"/>
    <w:rsid w:val="00557A6E"/>
    <w:rsid w:val="00560649"/>
    <w:rsid w:val="00560AF2"/>
    <w:rsid w:val="00561653"/>
    <w:rsid w:val="005622BE"/>
    <w:rsid w:val="00562DE8"/>
    <w:rsid w:val="00562FDC"/>
    <w:rsid w:val="0056313F"/>
    <w:rsid w:val="00563F47"/>
    <w:rsid w:val="00566C9C"/>
    <w:rsid w:val="00566D32"/>
    <w:rsid w:val="0056709F"/>
    <w:rsid w:val="005670BF"/>
    <w:rsid w:val="00570F27"/>
    <w:rsid w:val="00570FB7"/>
    <w:rsid w:val="00571AAA"/>
    <w:rsid w:val="00572BE9"/>
    <w:rsid w:val="00573892"/>
    <w:rsid w:val="00574186"/>
    <w:rsid w:val="005742AB"/>
    <w:rsid w:val="005760CA"/>
    <w:rsid w:val="005767F7"/>
    <w:rsid w:val="00576E4C"/>
    <w:rsid w:val="00577227"/>
    <w:rsid w:val="00577B5B"/>
    <w:rsid w:val="00577BCA"/>
    <w:rsid w:val="00577F66"/>
    <w:rsid w:val="005804B8"/>
    <w:rsid w:val="00580B4C"/>
    <w:rsid w:val="00580D0A"/>
    <w:rsid w:val="00581057"/>
    <w:rsid w:val="0058249C"/>
    <w:rsid w:val="00583746"/>
    <w:rsid w:val="00583D1A"/>
    <w:rsid w:val="00583D56"/>
    <w:rsid w:val="00584078"/>
    <w:rsid w:val="00584166"/>
    <w:rsid w:val="005843C5"/>
    <w:rsid w:val="00584513"/>
    <w:rsid w:val="00584BD2"/>
    <w:rsid w:val="00584DF1"/>
    <w:rsid w:val="00586427"/>
    <w:rsid w:val="0058714A"/>
    <w:rsid w:val="0059035C"/>
    <w:rsid w:val="005923BC"/>
    <w:rsid w:val="00592B4A"/>
    <w:rsid w:val="00592C46"/>
    <w:rsid w:val="00592EE4"/>
    <w:rsid w:val="005934B8"/>
    <w:rsid w:val="0059571D"/>
    <w:rsid w:val="00596C01"/>
    <w:rsid w:val="00596CCA"/>
    <w:rsid w:val="00597449"/>
    <w:rsid w:val="00597B53"/>
    <w:rsid w:val="00597BD7"/>
    <w:rsid w:val="005A13BB"/>
    <w:rsid w:val="005A17D0"/>
    <w:rsid w:val="005A186E"/>
    <w:rsid w:val="005A1ECD"/>
    <w:rsid w:val="005A2F7A"/>
    <w:rsid w:val="005A35C8"/>
    <w:rsid w:val="005A3DEF"/>
    <w:rsid w:val="005A4E02"/>
    <w:rsid w:val="005A51C0"/>
    <w:rsid w:val="005A5E91"/>
    <w:rsid w:val="005A6D95"/>
    <w:rsid w:val="005A7D8D"/>
    <w:rsid w:val="005B0354"/>
    <w:rsid w:val="005B1AF9"/>
    <w:rsid w:val="005B2126"/>
    <w:rsid w:val="005B2697"/>
    <w:rsid w:val="005B2AE8"/>
    <w:rsid w:val="005B2B6D"/>
    <w:rsid w:val="005B2FC0"/>
    <w:rsid w:val="005B32D6"/>
    <w:rsid w:val="005B42AB"/>
    <w:rsid w:val="005B4A24"/>
    <w:rsid w:val="005B5EC9"/>
    <w:rsid w:val="005B60D0"/>
    <w:rsid w:val="005B6D3A"/>
    <w:rsid w:val="005B74A7"/>
    <w:rsid w:val="005B7E42"/>
    <w:rsid w:val="005C050D"/>
    <w:rsid w:val="005C1FD9"/>
    <w:rsid w:val="005C29EB"/>
    <w:rsid w:val="005C3934"/>
    <w:rsid w:val="005C4995"/>
    <w:rsid w:val="005C5442"/>
    <w:rsid w:val="005C5EC9"/>
    <w:rsid w:val="005C6688"/>
    <w:rsid w:val="005C698C"/>
    <w:rsid w:val="005C7743"/>
    <w:rsid w:val="005C78AE"/>
    <w:rsid w:val="005C7A5B"/>
    <w:rsid w:val="005D1690"/>
    <w:rsid w:val="005D16B9"/>
    <w:rsid w:val="005D2A28"/>
    <w:rsid w:val="005D2A75"/>
    <w:rsid w:val="005D2C18"/>
    <w:rsid w:val="005D3000"/>
    <w:rsid w:val="005D4140"/>
    <w:rsid w:val="005D4755"/>
    <w:rsid w:val="005D5BED"/>
    <w:rsid w:val="005D6B71"/>
    <w:rsid w:val="005D7F08"/>
    <w:rsid w:val="005E0208"/>
    <w:rsid w:val="005E0883"/>
    <w:rsid w:val="005E0B85"/>
    <w:rsid w:val="005E11BA"/>
    <w:rsid w:val="005E28BD"/>
    <w:rsid w:val="005E30F8"/>
    <w:rsid w:val="005E3943"/>
    <w:rsid w:val="005E47C1"/>
    <w:rsid w:val="005E4BB1"/>
    <w:rsid w:val="005E58B7"/>
    <w:rsid w:val="005E5BAF"/>
    <w:rsid w:val="005E684D"/>
    <w:rsid w:val="005E7285"/>
    <w:rsid w:val="005E7B3C"/>
    <w:rsid w:val="005E7B67"/>
    <w:rsid w:val="005E7D67"/>
    <w:rsid w:val="005E7DD0"/>
    <w:rsid w:val="005F09A8"/>
    <w:rsid w:val="005F10DE"/>
    <w:rsid w:val="005F1267"/>
    <w:rsid w:val="005F15C6"/>
    <w:rsid w:val="005F178E"/>
    <w:rsid w:val="005F20DE"/>
    <w:rsid w:val="005F351D"/>
    <w:rsid w:val="005F48A8"/>
    <w:rsid w:val="005F52C7"/>
    <w:rsid w:val="005F5FEB"/>
    <w:rsid w:val="005F6006"/>
    <w:rsid w:val="005F6081"/>
    <w:rsid w:val="005F7032"/>
    <w:rsid w:val="0060012B"/>
    <w:rsid w:val="00601736"/>
    <w:rsid w:val="006024CF"/>
    <w:rsid w:val="006028E3"/>
    <w:rsid w:val="00602A40"/>
    <w:rsid w:val="00603B52"/>
    <w:rsid w:val="00604B8E"/>
    <w:rsid w:val="00605226"/>
    <w:rsid w:val="006065B3"/>
    <w:rsid w:val="006069F3"/>
    <w:rsid w:val="00606E93"/>
    <w:rsid w:val="006070B6"/>
    <w:rsid w:val="00607398"/>
    <w:rsid w:val="00607479"/>
    <w:rsid w:val="00607D43"/>
    <w:rsid w:val="006102A8"/>
    <w:rsid w:val="0061198C"/>
    <w:rsid w:val="006121E5"/>
    <w:rsid w:val="00613B86"/>
    <w:rsid w:val="00613DBF"/>
    <w:rsid w:val="00613FBE"/>
    <w:rsid w:val="006141B8"/>
    <w:rsid w:val="00614754"/>
    <w:rsid w:val="00614C35"/>
    <w:rsid w:val="00614E26"/>
    <w:rsid w:val="00614F74"/>
    <w:rsid w:val="0061579F"/>
    <w:rsid w:val="00617A76"/>
    <w:rsid w:val="00621F25"/>
    <w:rsid w:val="00622017"/>
    <w:rsid w:val="006222AD"/>
    <w:rsid w:val="00623251"/>
    <w:rsid w:val="00623F0E"/>
    <w:rsid w:val="00624200"/>
    <w:rsid w:val="00625B44"/>
    <w:rsid w:val="00626048"/>
    <w:rsid w:val="0062626F"/>
    <w:rsid w:val="00626568"/>
    <w:rsid w:val="006320A8"/>
    <w:rsid w:val="00632581"/>
    <w:rsid w:val="00632BC7"/>
    <w:rsid w:val="006335A1"/>
    <w:rsid w:val="0063464B"/>
    <w:rsid w:val="0063534A"/>
    <w:rsid w:val="00635471"/>
    <w:rsid w:val="00635572"/>
    <w:rsid w:val="00635F97"/>
    <w:rsid w:val="006365E9"/>
    <w:rsid w:val="006366D8"/>
    <w:rsid w:val="00637729"/>
    <w:rsid w:val="006377CA"/>
    <w:rsid w:val="00641485"/>
    <w:rsid w:val="006417B4"/>
    <w:rsid w:val="00641E9A"/>
    <w:rsid w:val="006453B0"/>
    <w:rsid w:val="0064564C"/>
    <w:rsid w:val="00645D8B"/>
    <w:rsid w:val="00646999"/>
    <w:rsid w:val="00646DFC"/>
    <w:rsid w:val="0064714C"/>
    <w:rsid w:val="0064755B"/>
    <w:rsid w:val="00647A51"/>
    <w:rsid w:val="00647FA8"/>
    <w:rsid w:val="0065066E"/>
    <w:rsid w:val="006511FE"/>
    <w:rsid w:val="0065139B"/>
    <w:rsid w:val="00652C36"/>
    <w:rsid w:val="00652ED1"/>
    <w:rsid w:val="00653DAD"/>
    <w:rsid w:val="00654CF1"/>
    <w:rsid w:val="00656091"/>
    <w:rsid w:val="006567E8"/>
    <w:rsid w:val="00657674"/>
    <w:rsid w:val="00661A2B"/>
    <w:rsid w:val="00661AE6"/>
    <w:rsid w:val="00662819"/>
    <w:rsid w:val="00663B5B"/>
    <w:rsid w:val="006656BC"/>
    <w:rsid w:val="00665F2D"/>
    <w:rsid w:val="00666BBA"/>
    <w:rsid w:val="00666C71"/>
    <w:rsid w:val="00666DAA"/>
    <w:rsid w:val="006676D2"/>
    <w:rsid w:val="00667ED6"/>
    <w:rsid w:val="00670E13"/>
    <w:rsid w:val="00671040"/>
    <w:rsid w:val="00671A91"/>
    <w:rsid w:val="00671FAC"/>
    <w:rsid w:val="0067213B"/>
    <w:rsid w:val="00672539"/>
    <w:rsid w:val="00672A73"/>
    <w:rsid w:val="00672E4C"/>
    <w:rsid w:val="00673BC7"/>
    <w:rsid w:val="00673CBB"/>
    <w:rsid w:val="00673D6C"/>
    <w:rsid w:val="006756CB"/>
    <w:rsid w:val="0067591C"/>
    <w:rsid w:val="006776ED"/>
    <w:rsid w:val="00677DE9"/>
    <w:rsid w:val="0068031E"/>
    <w:rsid w:val="00680C1C"/>
    <w:rsid w:val="00681414"/>
    <w:rsid w:val="00681548"/>
    <w:rsid w:val="00681827"/>
    <w:rsid w:val="00681F29"/>
    <w:rsid w:val="006822ED"/>
    <w:rsid w:val="0068279D"/>
    <w:rsid w:val="00683539"/>
    <w:rsid w:val="00684305"/>
    <w:rsid w:val="00684BB4"/>
    <w:rsid w:val="00685592"/>
    <w:rsid w:val="0068571A"/>
    <w:rsid w:val="006860C9"/>
    <w:rsid w:val="0068651E"/>
    <w:rsid w:val="00686C97"/>
    <w:rsid w:val="00686DD1"/>
    <w:rsid w:val="00687799"/>
    <w:rsid w:val="006901B7"/>
    <w:rsid w:val="006909D7"/>
    <w:rsid w:val="006912EA"/>
    <w:rsid w:val="006913C0"/>
    <w:rsid w:val="00691713"/>
    <w:rsid w:val="006918DE"/>
    <w:rsid w:val="00691C26"/>
    <w:rsid w:val="0069255D"/>
    <w:rsid w:val="00692DA0"/>
    <w:rsid w:val="0069345F"/>
    <w:rsid w:val="006942A7"/>
    <w:rsid w:val="00694522"/>
    <w:rsid w:val="006946E5"/>
    <w:rsid w:val="00695878"/>
    <w:rsid w:val="00695E99"/>
    <w:rsid w:val="006969C1"/>
    <w:rsid w:val="00697761"/>
    <w:rsid w:val="00697850"/>
    <w:rsid w:val="00697DCB"/>
    <w:rsid w:val="006A0307"/>
    <w:rsid w:val="006A09AC"/>
    <w:rsid w:val="006A0E96"/>
    <w:rsid w:val="006A12D3"/>
    <w:rsid w:val="006A1F27"/>
    <w:rsid w:val="006A2EBF"/>
    <w:rsid w:val="006A3A85"/>
    <w:rsid w:val="006A45D8"/>
    <w:rsid w:val="006A4885"/>
    <w:rsid w:val="006A4CB0"/>
    <w:rsid w:val="006A4D54"/>
    <w:rsid w:val="006A5B42"/>
    <w:rsid w:val="006A610C"/>
    <w:rsid w:val="006A764A"/>
    <w:rsid w:val="006A7725"/>
    <w:rsid w:val="006B06E7"/>
    <w:rsid w:val="006B0EDE"/>
    <w:rsid w:val="006B2C93"/>
    <w:rsid w:val="006B4483"/>
    <w:rsid w:val="006B44C3"/>
    <w:rsid w:val="006B453C"/>
    <w:rsid w:val="006B5834"/>
    <w:rsid w:val="006B59B8"/>
    <w:rsid w:val="006B5B55"/>
    <w:rsid w:val="006B5F9A"/>
    <w:rsid w:val="006B696E"/>
    <w:rsid w:val="006B6F5B"/>
    <w:rsid w:val="006B78FF"/>
    <w:rsid w:val="006B7AD6"/>
    <w:rsid w:val="006C101B"/>
    <w:rsid w:val="006C1080"/>
    <w:rsid w:val="006C14E5"/>
    <w:rsid w:val="006C1B0F"/>
    <w:rsid w:val="006C25DB"/>
    <w:rsid w:val="006C2D13"/>
    <w:rsid w:val="006C35EF"/>
    <w:rsid w:val="006C36C7"/>
    <w:rsid w:val="006C3CB7"/>
    <w:rsid w:val="006C3F72"/>
    <w:rsid w:val="006C4879"/>
    <w:rsid w:val="006C5DF1"/>
    <w:rsid w:val="006C68C7"/>
    <w:rsid w:val="006C713D"/>
    <w:rsid w:val="006C73B3"/>
    <w:rsid w:val="006C751D"/>
    <w:rsid w:val="006C7C67"/>
    <w:rsid w:val="006D4024"/>
    <w:rsid w:val="006D5049"/>
    <w:rsid w:val="006D6751"/>
    <w:rsid w:val="006D7041"/>
    <w:rsid w:val="006D72F4"/>
    <w:rsid w:val="006D759F"/>
    <w:rsid w:val="006E01C4"/>
    <w:rsid w:val="006E04F1"/>
    <w:rsid w:val="006E0534"/>
    <w:rsid w:val="006E1743"/>
    <w:rsid w:val="006E1882"/>
    <w:rsid w:val="006E1C99"/>
    <w:rsid w:val="006E2408"/>
    <w:rsid w:val="006E2E11"/>
    <w:rsid w:val="006E473D"/>
    <w:rsid w:val="006E5E9C"/>
    <w:rsid w:val="006E5F8A"/>
    <w:rsid w:val="006E6E7F"/>
    <w:rsid w:val="006E7399"/>
    <w:rsid w:val="006F01B8"/>
    <w:rsid w:val="006F025D"/>
    <w:rsid w:val="006F0687"/>
    <w:rsid w:val="006F19CB"/>
    <w:rsid w:val="006F1D75"/>
    <w:rsid w:val="006F1F40"/>
    <w:rsid w:val="006F2D89"/>
    <w:rsid w:val="006F42C5"/>
    <w:rsid w:val="006F46B5"/>
    <w:rsid w:val="006F4A65"/>
    <w:rsid w:val="006F6F67"/>
    <w:rsid w:val="006F7BD5"/>
    <w:rsid w:val="007008BA"/>
    <w:rsid w:val="00701033"/>
    <w:rsid w:val="007013FA"/>
    <w:rsid w:val="00701D98"/>
    <w:rsid w:val="0070230D"/>
    <w:rsid w:val="00702449"/>
    <w:rsid w:val="00702A18"/>
    <w:rsid w:val="00702BC2"/>
    <w:rsid w:val="007034C2"/>
    <w:rsid w:val="00703B47"/>
    <w:rsid w:val="0070416E"/>
    <w:rsid w:val="007050D3"/>
    <w:rsid w:val="007072F0"/>
    <w:rsid w:val="00707CEE"/>
    <w:rsid w:val="00710CE3"/>
    <w:rsid w:val="0071176B"/>
    <w:rsid w:val="00712BDE"/>
    <w:rsid w:val="0071340C"/>
    <w:rsid w:val="00714450"/>
    <w:rsid w:val="00715162"/>
    <w:rsid w:val="00715D71"/>
    <w:rsid w:val="00715EEC"/>
    <w:rsid w:val="00716B8F"/>
    <w:rsid w:val="00716C27"/>
    <w:rsid w:val="007179C1"/>
    <w:rsid w:val="0072025B"/>
    <w:rsid w:val="0072062E"/>
    <w:rsid w:val="00721AFB"/>
    <w:rsid w:val="00721B5C"/>
    <w:rsid w:val="0072213D"/>
    <w:rsid w:val="00722566"/>
    <w:rsid w:val="00722CC5"/>
    <w:rsid w:val="00723337"/>
    <w:rsid w:val="007248D1"/>
    <w:rsid w:val="0072534B"/>
    <w:rsid w:val="00725D20"/>
    <w:rsid w:val="00725DE5"/>
    <w:rsid w:val="00726305"/>
    <w:rsid w:val="007267B4"/>
    <w:rsid w:val="007267D6"/>
    <w:rsid w:val="00726A2C"/>
    <w:rsid w:val="00726E89"/>
    <w:rsid w:val="007276DC"/>
    <w:rsid w:val="00730DD5"/>
    <w:rsid w:val="0073126A"/>
    <w:rsid w:val="00731403"/>
    <w:rsid w:val="00731807"/>
    <w:rsid w:val="00733254"/>
    <w:rsid w:val="007332DD"/>
    <w:rsid w:val="007342C1"/>
    <w:rsid w:val="00736373"/>
    <w:rsid w:val="007378A5"/>
    <w:rsid w:val="00740F3A"/>
    <w:rsid w:val="00741419"/>
    <w:rsid w:val="00741AD7"/>
    <w:rsid w:val="00741EC0"/>
    <w:rsid w:val="0074478C"/>
    <w:rsid w:val="007450AA"/>
    <w:rsid w:val="007461A6"/>
    <w:rsid w:val="007466CB"/>
    <w:rsid w:val="007474FF"/>
    <w:rsid w:val="00747803"/>
    <w:rsid w:val="00747C6B"/>
    <w:rsid w:val="00750415"/>
    <w:rsid w:val="0075049C"/>
    <w:rsid w:val="0075113F"/>
    <w:rsid w:val="00751827"/>
    <w:rsid w:val="00751850"/>
    <w:rsid w:val="00751D25"/>
    <w:rsid w:val="00751DB8"/>
    <w:rsid w:val="007524A0"/>
    <w:rsid w:val="00752D38"/>
    <w:rsid w:val="0075337D"/>
    <w:rsid w:val="0075345C"/>
    <w:rsid w:val="00753976"/>
    <w:rsid w:val="00753BB9"/>
    <w:rsid w:val="00754533"/>
    <w:rsid w:val="00754A8F"/>
    <w:rsid w:val="007555B5"/>
    <w:rsid w:val="00755A35"/>
    <w:rsid w:val="00757311"/>
    <w:rsid w:val="007574F2"/>
    <w:rsid w:val="00760C26"/>
    <w:rsid w:val="00761887"/>
    <w:rsid w:val="00762254"/>
    <w:rsid w:val="00763365"/>
    <w:rsid w:val="00764D4E"/>
    <w:rsid w:val="00765638"/>
    <w:rsid w:val="007657DA"/>
    <w:rsid w:val="007663E9"/>
    <w:rsid w:val="007667E6"/>
    <w:rsid w:val="00766A94"/>
    <w:rsid w:val="00766B2A"/>
    <w:rsid w:val="007675DE"/>
    <w:rsid w:val="00767892"/>
    <w:rsid w:val="00767BD1"/>
    <w:rsid w:val="00770907"/>
    <w:rsid w:val="00770F67"/>
    <w:rsid w:val="00770FE2"/>
    <w:rsid w:val="007710E1"/>
    <w:rsid w:val="0077150D"/>
    <w:rsid w:val="007717CB"/>
    <w:rsid w:val="00771F45"/>
    <w:rsid w:val="007727F2"/>
    <w:rsid w:val="0077309D"/>
    <w:rsid w:val="00773115"/>
    <w:rsid w:val="00773664"/>
    <w:rsid w:val="00774DC0"/>
    <w:rsid w:val="0077522E"/>
    <w:rsid w:val="0077529C"/>
    <w:rsid w:val="007769EF"/>
    <w:rsid w:val="007772B0"/>
    <w:rsid w:val="00777429"/>
    <w:rsid w:val="0077752E"/>
    <w:rsid w:val="0077770E"/>
    <w:rsid w:val="007805C5"/>
    <w:rsid w:val="007808DB"/>
    <w:rsid w:val="00781268"/>
    <w:rsid w:val="007826E3"/>
    <w:rsid w:val="00782720"/>
    <w:rsid w:val="007831B4"/>
    <w:rsid w:val="007838D2"/>
    <w:rsid w:val="00783E1C"/>
    <w:rsid w:val="00785E55"/>
    <w:rsid w:val="00785F6D"/>
    <w:rsid w:val="0078614B"/>
    <w:rsid w:val="00786842"/>
    <w:rsid w:val="00786888"/>
    <w:rsid w:val="00787228"/>
    <w:rsid w:val="0078757F"/>
    <w:rsid w:val="00787651"/>
    <w:rsid w:val="007877F8"/>
    <w:rsid w:val="00787A02"/>
    <w:rsid w:val="00787AB3"/>
    <w:rsid w:val="00790013"/>
    <w:rsid w:val="00790371"/>
    <w:rsid w:val="007917D9"/>
    <w:rsid w:val="0079260C"/>
    <w:rsid w:val="0079265D"/>
    <w:rsid w:val="007926B8"/>
    <w:rsid w:val="007930BB"/>
    <w:rsid w:val="00793619"/>
    <w:rsid w:val="00793C56"/>
    <w:rsid w:val="00793FEE"/>
    <w:rsid w:val="007954FF"/>
    <w:rsid w:val="007958E0"/>
    <w:rsid w:val="00796F04"/>
    <w:rsid w:val="007A098E"/>
    <w:rsid w:val="007A11BC"/>
    <w:rsid w:val="007A1F5C"/>
    <w:rsid w:val="007A3354"/>
    <w:rsid w:val="007A500C"/>
    <w:rsid w:val="007A59B9"/>
    <w:rsid w:val="007B0243"/>
    <w:rsid w:val="007B25DC"/>
    <w:rsid w:val="007B528A"/>
    <w:rsid w:val="007B55A1"/>
    <w:rsid w:val="007B5CA9"/>
    <w:rsid w:val="007B79C3"/>
    <w:rsid w:val="007B79C8"/>
    <w:rsid w:val="007B7F7E"/>
    <w:rsid w:val="007C18DE"/>
    <w:rsid w:val="007C2817"/>
    <w:rsid w:val="007C2CDA"/>
    <w:rsid w:val="007C377B"/>
    <w:rsid w:val="007C388C"/>
    <w:rsid w:val="007C43F0"/>
    <w:rsid w:val="007C4EA7"/>
    <w:rsid w:val="007C64F3"/>
    <w:rsid w:val="007C6506"/>
    <w:rsid w:val="007C7A14"/>
    <w:rsid w:val="007C7CE1"/>
    <w:rsid w:val="007C7F33"/>
    <w:rsid w:val="007D0E44"/>
    <w:rsid w:val="007D1712"/>
    <w:rsid w:val="007D1E8F"/>
    <w:rsid w:val="007D2F73"/>
    <w:rsid w:val="007D2F81"/>
    <w:rsid w:val="007D31EC"/>
    <w:rsid w:val="007D32BE"/>
    <w:rsid w:val="007D409C"/>
    <w:rsid w:val="007D422B"/>
    <w:rsid w:val="007D5C4E"/>
    <w:rsid w:val="007D5E08"/>
    <w:rsid w:val="007D6C7B"/>
    <w:rsid w:val="007D73E5"/>
    <w:rsid w:val="007D76C0"/>
    <w:rsid w:val="007E10DD"/>
    <w:rsid w:val="007E2A39"/>
    <w:rsid w:val="007E2F6C"/>
    <w:rsid w:val="007E3462"/>
    <w:rsid w:val="007E4AB9"/>
    <w:rsid w:val="007E6E8B"/>
    <w:rsid w:val="007E7A86"/>
    <w:rsid w:val="007F0721"/>
    <w:rsid w:val="007F11A1"/>
    <w:rsid w:val="007F2A49"/>
    <w:rsid w:val="007F3347"/>
    <w:rsid w:val="007F3DCF"/>
    <w:rsid w:val="007F4703"/>
    <w:rsid w:val="007F5CF8"/>
    <w:rsid w:val="007F69C0"/>
    <w:rsid w:val="007F6EA4"/>
    <w:rsid w:val="007F70C5"/>
    <w:rsid w:val="007F77AB"/>
    <w:rsid w:val="007F7C33"/>
    <w:rsid w:val="007F7F4B"/>
    <w:rsid w:val="00800684"/>
    <w:rsid w:val="00800C4B"/>
    <w:rsid w:val="00802442"/>
    <w:rsid w:val="008037F2"/>
    <w:rsid w:val="00803D6F"/>
    <w:rsid w:val="00804A50"/>
    <w:rsid w:val="00805651"/>
    <w:rsid w:val="0080583E"/>
    <w:rsid w:val="008058BD"/>
    <w:rsid w:val="00805CAA"/>
    <w:rsid w:val="00805F09"/>
    <w:rsid w:val="00811019"/>
    <w:rsid w:val="00811062"/>
    <w:rsid w:val="0081194C"/>
    <w:rsid w:val="00812D15"/>
    <w:rsid w:val="00813BF0"/>
    <w:rsid w:val="00813DA6"/>
    <w:rsid w:val="00813DD2"/>
    <w:rsid w:val="00813F07"/>
    <w:rsid w:val="008152A6"/>
    <w:rsid w:val="008156CF"/>
    <w:rsid w:val="008159B5"/>
    <w:rsid w:val="00815B2E"/>
    <w:rsid w:val="00816301"/>
    <w:rsid w:val="00816998"/>
    <w:rsid w:val="008171DB"/>
    <w:rsid w:val="00817275"/>
    <w:rsid w:val="00820017"/>
    <w:rsid w:val="008215C0"/>
    <w:rsid w:val="00821F1A"/>
    <w:rsid w:val="00822B9B"/>
    <w:rsid w:val="00822C00"/>
    <w:rsid w:val="0082321D"/>
    <w:rsid w:val="00823509"/>
    <w:rsid w:val="008237FF"/>
    <w:rsid w:val="00823932"/>
    <w:rsid w:val="008251EE"/>
    <w:rsid w:val="008253A9"/>
    <w:rsid w:val="008261F1"/>
    <w:rsid w:val="008268D3"/>
    <w:rsid w:val="00827437"/>
    <w:rsid w:val="00827ADF"/>
    <w:rsid w:val="00827DF0"/>
    <w:rsid w:val="00830431"/>
    <w:rsid w:val="00830E13"/>
    <w:rsid w:val="00831A04"/>
    <w:rsid w:val="00831A5D"/>
    <w:rsid w:val="008326C9"/>
    <w:rsid w:val="00832CF9"/>
    <w:rsid w:val="0083427F"/>
    <w:rsid w:val="008350B9"/>
    <w:rsid w:val="0083699C"/>
    <w:rsid w:val="008371AB"/>
    <w:rsid w:val="008377C3"/>
    <w:rsid w:val="00837F49"/>
    <w:rsid w:val="008408B9"/>
    <w:rsid w:val="00841D5F"/>
    <w:rsid w:val="0084302D"/>
    <w:rsid w:val="00843359"/>
    <w:rsid w:val="008442D4"/>
    <w:rsid w:val="00845BA8"/>
    <w:rsid w:val="0084635E"/>
    <w:rsid w:val="00846705"/>
    <w:rsid w:val="00846A03"/>
    <w:rsid w:val="00847597"/>
    <w:rsid w:val="00847E56"/>
    <w:rsid w:val="00850671"/>
    <w:rsid w:val="00851AE8"/>
    <w:rsid w:val="0085298F"/>
    <w:rsid w:val="00852D27"/>
    <w:rsid w:val="00852F9D"/>
    <w:rsid w:val="00852FD7"/>
    <w:rsid w:val="00853C1B"/>
    <w:rsid w:val="00853D0D"/>
    <w:rsid w:val="00854B30"/>
    <w:rsid w:val="00856867"/>
    <w:rsid w:val="00857DD8"/>
    <w:rsid w:val="00860C0A"/>
    <w:rsid w:val="00861AB4"/>
    <w:rsid w:val="00861E1F"/>
    <w:rsid w:val="008625AD"/>
    <w:rsid w:val="00862F15"/>
    <w:rsid w:val="00864AD2"/>
    <w:rsid w:val="00867503"/>
    <w:rsid w:val="00870123"/>
    <w:rsid w:val="0087053C"/>
    <w:rsid w:val="0087220A"/>
    <w:rsid w:val="00873782"/>
    <w:rsid w:val="008741B0"/>
    <w:rsid w:val="00874EFE"/>
    <w:rsid w:val="008761B7"/>
    <w:rsid w:val="00876AB3"/>
    <w:rsid w:val="00876CEF"/>
    <w:rsid w:val="0087716F"/>
    <w:rsid w:val="00877860"/>
    <w:rsid w:val="00877FE9"/>
    <w:rsid w:val="008809E5"/>
    <w:rsid w:val="0088125A"/>
    <w:rsid w:val="00881EA8"/>
    <w:rsid w:val="00883881"/>
    <w:rsid w:val="00883B35"/>
    <w:rsid w:val="00883C60"/>
    <w:rsid w:val="00884048"/>
    <w:rsid w:val="00884716"/>
    <w:rsid w:val="00885364"/>
    <w:rsid w:val="00885F69"/>
    <w:rsid w:val="008869C2"/>
    <w:rsid w:val="00886EAE"/>
    <w:rsid w:val="00887828"/>
    <w:rsid w:val="00887F65"/>
    <w:rsid w:val="00890155"/>
    <w:rsid w:val="00890389"/>
    <w:rsid w:val="008906E0"/>
    <w:rsid w:val="00890D49"/>
    <w:rsid w:val="0089185C"/>
    <w:rsid w:val="00891EA6"/>
    <w:rsid w:val="008929C9"/>
    <w:rsid w:val="0089335D"/>
    <w:rsid w:val="00893460"/>
    <w:rsid w:val="008935D8"/>
    <w:rsid w:val="00894E4B"/>
    <w:rsid w:val="00894F78"/>
    <w:rsid w:val="00895778"/>
    <w:rsid w:val="00895893"/>
    <w:rsid w:val="00895C3B"/>
    <w:rsid w:val="00896133"/>
    <w:rsid w:val="00896434"/>
    <w:rsid w:val="00896652"/>
    <w:rsid w:val="00896926"/>
    <w:rsid w:val="00896992"/>
    <w:rsid w:val="008974AE"/>
    <w:rsid w:val="008A14AF"/>
    <w:rsid w:val="008A1BF4"/>
    <w:rsid w:val="008A1E3A"/>
    <w:rsid w:val="008A3069"/>
    <w:rsid w:val="008A4DB6"/>
    <w:rsid w:val="008A51C2"/>
    <w:rsid w:val="008A60DC"/>
    <w:rsid w:val="008B076E"/>
    <w:rsid w:val="008B0CAA"/>
    <w:rsid w:val="008B0DF3"/>
    <w:rsid w:val="008B10FE"/>
    <w:rsid w:val="008B2297"/>
    <w:rsid w:val="008B2776"/>
    <w:rsid w:val="008B2D3B"/>
    <w:rsid w:val="008B3688"/>
    <w:rsid w:val="008B3D6C"/>
    <w:rsid w:val="008B52B1"/>
    <w:rsid w:val="008B6318"/>
    <w:rsid w:val="008B664F"/>
    <w:rsid w:val="008B67A1"/>
    <w:rsid w:val="008B67A3"/>
    <w:rsid w:val="008B6A8E"/>
    <w:rsid w:val="008B703C"/>
    <w:rsid w:val="008B75D5"/>
    <w:rsid w:val="008C144D"/>
    <w:rsid w:val="008C29F1"/>
    <w:rsid w:val="008C3366"/>
    <w:rsid w:val="008C3D83"/>
    <w:rsid w:val="008C4412"/>
    <w:rsid w:val="008C475C"/>
    <w:rsid w:val="008C47DB"/>
    <w:rsid w:val="008C5993"/>
    <w:rsid w:val="008C5F90"/>
    <w:rsid w:val="008C7623"/>
    <w:rsid w:val="008C7B07"/>
    <w:rsid w:val="008D15AC"/>
    <w:rsid w:val="008D179D"/>
    <w:rsid w:val="008D1F2F"/>
    <w:rsid w:val="008D2677"/>
    <w:rsid w:val="008D280D"/>
    <w:rsid w:val="008D2825"/>
    <w:rsid w:val="008D2917"/>
    <w:rsid w:val="008D34CA"/>
    <w:rsid w:val="008D50AC"/>
    <w:rsid w:val="008D56A2"/>
    <w:rsid w:val="008D5A9C"/>
    <w:rsid w:val="008D5FB5"/>
    <w:rsid w:val="008D5FD3"/>
    <w:rsid w:val="008D6067"/>
    <w:rsid w:val="008D63A3"/>
    <w:rsid w:val="008D6406"/>
    <w:rsid w:val="008D6810"/>
    <w:rsid w:val="008D6A21"/>
    <w:rsid w:val="008D6DDD"/>
    <w:rsid w:val="008D6EA0"/>
    <w:rsid w:val="008E0646"/>
    <w:rsid w:val="008E145E"/>
    <w:rsid w:val="008E188F"/>
    <w:rsid w:val="008E20DE"/>
    <w:rsid w:val="008E2EFA"/>
    <w:rsid w:val="008E3033"/>
    <w:rsid w:val="008E4064"/>
    <w:rsid w:val="008E499B"/>
    <w:rsid w:val="008E59FB"/>
    <w:rsid w:val="008E6451"/>
    <w:rsid w:val="008E6CB2"/>
    <w:rsid w:val="008E6F86"/>
    <w:rsid w:val="008E77C6"/>
    <w:rsid w:val="008E7A03"/>
    <w:rsid w:val="008E7CDF"/>
    <w:rsid w:val="008F01A4"/>
    <w:rsid w:val="008F0C8B"/>
    <w:rsid w:val="008F223C"/>
    <w:rsid w:val="008F2DFA"/>
    <w:rsid w:val="008F2EC1"/>
    <w:rsid w:val="008F304F"/>
    <w:rsid w:val="008F3253"/>
    <w:rsid w:val="008F32E4"/>
    <w:rsid w:val="008F36EE"/>
    <w:rsid w:val="008F3A8A"/>
    <w:rsid w:val="008F3F17"/>
    <w:rsid w:val="008F4471"/>
    <w:rsid w:val="008F48D2"/>
    <w:rsid w:val="008F62D1"/>
    <w:rsid w:val="008F7061"/>
    <w:rsid w:val="008F7DA7"/>
    <w:rsid w:val="008F7E0C"/>
    <w:rsid w:val="0090065E"/>
    <w:rsid w:val="00900B55"/>
    <w:rsid w:val="00900BFA"/>
    <w:rsid w:val="00901878"/>
    <w:rsid w:val="009020F7"/>
    <w:rsid w:val="009024C7"/>
    <w:rsid w:val="00903707"/>
    <w:rsid w:val="00904037"/>
    <w:rsid w:val="0090413D"/>
    <w:rsid w:val="00904684"/>
    <w:rsid w:val="00904B06"/>
    <w:rsid w:val="009050B4"/>
    <w:rsid w:val="009057B6"/>
    <w:rsid w:val="00906E69"/>
    <w:rsid w:val="00907268"/>
    <w:rsid w:val="00907913"/>
    <w:rsid w:val="00910BBE"/>
    <w:rsid w:val="00911030"/>
    <w:rsid w:val="00912183"/>
    <w:rsid w:val="009124E1"/>
    <w:rsid w:val="00912891"/>
    <w:rsid w:val="009133D3"/>
    <w:rsid w:val="00913801"/>
    <w:rsid w:val="00913BF9"/>
    <w:rsid w:val="00914C9D"/>
    <w:rsid w:val="009153A4"/>
    <w:rsid w:val="00915683"/>
    <w:rsid w:val="00915964"/>
    <w:rsid w:val="00916222"/>
    <w:rsid w:val="0091642A"/>
    <w:rsid w:val="00917EF9"/>
    <w:rsid w:val="00920A09"/>
    <w:rsid w:val="00920B95"/>
    <w:rsid w:val="00921069"/>
    <w:rsid w:val="00921185"/>
    <w:rsid w:val="00922546"/>
    <w:rsid w:val="009225DB"/>
    <w:rsid w:val="009226F1"/>
    <w:rsid w:val="009232C9"/>
    <w:rsid w:val="00923F38"/>
    <w:rsid w:val="00924CD3"/>
    <w:rsid w:val="00925B8D"/>
    <w:rsid w:val="00926891"/>
    <w:rsid w:val="00926DB5"/>
    <w:rsid w:val="00930FBE"/>
    <w:rsid w:val="00931D4A"/>
    <w:rsid w:val="00932767"/>
    <w:rsid w:val="00932C84"/>
    <w:rsid w:val="009332AD"/>
    <w:rsid w:val="009347D6"/>
    <w:rsid w:val="00934CFC"/>
    <w:rsid w:val="00934E98"/>
    <w:rsid w:val="009352BD"/>
    <w:rsid w:val="009366F6"/>
    <w:rsid w:val="009366F7"/>
    <w:rsid w:val="00936B9B"/>
    <w:rsid w:val="00936BA0"/>
    <w:rsid w:val="00937523"/>
    <w:rsid w:val="00937AF2"/>
    <w:rsid w:val="00937B06"/>
    <w:rsid w:val="00937D75"/>
    <w:rsid w:val="0094368D"/>
    <w:rsid w:val="00943AC2"/>
    <w:rsid w:val="00943FE7"/>
    <w:rsid w:val="00944EAB"/>
    <w:rsid w:val="00945380"/>
    <w:rsid w:val="00945940"/>
    <w:rsid w:val="009473EA"/>
    <w:rsid w:val="0094795A"/>
    <w:rsid w:val="00947FB6"/>
    <w:rsid w:val="009508EC"/>
    <w:rsid w:val="00951A3C"/>
    <w:rsid w:val="00952574"/>
    <w:rsid w:val="00952BF4"/>
    <w:rsid w:val="00953A15"/>
    <w:rsid w:val="00953A3B"/>
    <w:rsid w:val="00953F6E"/>
    <w:rsid w:val="00954ABB"/>
    <w:rsid w:val="00954BBE"/>
    <w:rsid w:val="00954F40"/>
    <w:rsid w:val="00955177"/>
    <w:rsid w:val="00955431"/>
    <w:rsid w:val="0095560D"/>
    <w:rsid w:val="00955FEC"/>
    <w:rsid w:val="009564A0"/>
    <w:rsid w:val="0095651F"/>
    <w:rsid w:val="00956E32"/>
    <w:rsid w:val="00960179"/>
    <w:rsid w:val="00960D64"/>
    <w:rsid w:val="00961C2C"/>
    <w:rsid w:val="00961EA5"/>
    <w:rsid w:val="00962C24"/>
    <w:rsid w:val="00962D72"/>
    <w:rsid w:val="00962F25"/>
    <w:rsid w:val="00963049"/>
    <w:rsid w:val="0096372C"/>
    <w:rsid w:val="00963B88"/>
    <w:rsid w:val="009646B0"/>
    <w:rsid w:val="00964A20"/>
    <w:rsid w:val="00965119"/>
    <w:rsid w:val="00965BB2"/>
    <w:rsid w:val="0096665A"/>
    <w:rsid w:val="00966DC3"/>
    <w:rsid w:val="0096749D"/>
    <w:rsid w:val="00967ED5"/>
    <w:rsid w:val="0097167F"/>
    <w:rsid w:val="00971F1B"/>
    <w:rsid w:val="009735FA"/>
    <w:rsid w:val="009736CB"/>
    <w:rsid w:val="00974BF8"/>
    <w:rsid w:val="00974DE8"/>
    <w:rsid w:val="009753EA"/>
    <w:rsid w:val="00976096"/>
    <w:rsid w:val="009776BC"/>
    <w:rsid w:val="009809BC"/>
    <w:rsid w:val="009809DA"/>
    <w:rsid w:val="009827BD"/>
    <w:rsid w:val="009827F7"/>
    <w:rsid w:val="009832E0"/>
    <w:rsid w:val="00983ED0"/>
    <w:rsid w:val="009843DA"/>
    <w:rsid w:val="0098448D"/>
    <w:rsid w:val="009846FF"/>
    <w:rsid w:val="00984FF8"/>
    <w:rsid w:val="009862BA"/>
    <w:rsid w:val="009865F7"/>
    <w:rsid w:val="0098667C"/>
    <w:rsid w:val="0098716C"/>
    <w:rsid w:val="00987290"/>
    <w:rsid w:val="009900B1"/>
    <w:rsid w:val="00990AC8"/>
    <w:rsid w:val="009920D8"/>
    <w:rsid w:val="00992E2A"/>
    <w:rsid w:val="009930E0"/>
    <w:rsid w:val="00993733"/>
    <w:rsid w:val="00993C82"/>
    <w:rsid w:val="00994527"/>
    <w:rsid w:val="009946C9"/>
    <w:rsid w:val="009949BE"/>
    <w:rsid w:val="00994B15"/>
    <w:rsid w:val="00995A76"/>
    <w:rsid w:val="00996BC7"/>
    <w:rsid w:val="00996E57"/>
    <w:rsid w:val="00997031"/>
    <w:rsid w:val="00997CFF"/>
    <w:rsid w:val="009A0F1A"/>
    <w:rsid w:val="009A0FFA"/>
    <w:rsid w:val="009A1387"/>
    <w:rsid w:val="009A1C72"/>
    <w:rsid w:val="009A1EDD"/>
    <w:rsid w:val="009A3044"/>
    <w:rsid w:val="009A35A0"/>
    <w:rsid w:val="009A3FDD"/>
    <w:rsid w:val="009A4513"/>
    <w:rsid w:val="009A461C"/>
    <w:rsid w:val="009A4F89"/>
    <w:rsid w:val="009A52AD"/>
    <w:rsid w:val="009A6BE9"/>
    <w:rsid w:val="009A738F"/>
    <w:rsid w:val="009A7A6E"/>
    <w:rsid w:val="009B0352"/>
    <w:rsid w:val="009B039A"/>
    <w:rsid w:val="009B07B9"/>
    <w:rsid w:val="009B0B11"/>
    <w:rsid w:val="009B0CF3"/>
    <w:rsid w:val="009B200B"/>
    <w:rsid w:val="009C07F0"/>
    <w:rsid w:val="009C0978"/>
    <w:rsid w:val="009C0A5F"/>
    <w:rsid w:val="009C1221"/>
    <w:rsid w:val="009C18CB"/>
    <w:rsid w:val="009C237F"/>
    <w:rsid w:val="009C352D"/>
    <w:rsid w:val="009C3955"/>
    <w:rsid w:val="009C3E71"/>
    <w:rsid w:val="009C3EC8"/>
    <w:rsid w:val="009C4A22"/>
    <w:rsid w:val="009C5552"/>
    <w:rsid w:val="009C5872"/>
    <w:rsid w:val="009C5946"/>
    <w:rsid w:val="009C5B8F"/>
    <w:rsid w:val="009C7A5D"/>
    <w:rsid w:val="009D08DA"/>
    <w:rsid w:val="009D0CD1"/>
    <w:rsid w:val="009D25C2"/>
    <w:rsid w:val="009D3401"/>
    <w:rsid w:val="009D3E0F"/>
    <w:rsid w:val="009D3E83"/>
    <w:rsid w:val="009D4A77"/>
    <w:rsid w:val="009D5288"/>
    <w:rsid w:val="009D5437"/>
    <w:rsid w:val="009D6058"/>
    <w:rsid w:val="009D6670"/>
    <w:rsid w:val="009D77E0"/>
    <w:rsid w:val="009E01C4"/>
    <w:rsid w:val="009E02DB"/>
    <w:rsid w:val="009E0EC8"/>
    <w:rsid w:val="009E20F1"/>
    <w:rsid w:val="009E2F55"/>
    <w:rsid w:val="009E4D18"/>
    <w:rsid w:val="009E4F1E"/>
    <w:rsid w:val="009E5DD7"/>
    <w:rsid w:val="009E6095"/>
    <w:rsid w:val="009E76FF"/>
    <w:rsid w:val="009F1C7B"/>
    <w:rsid w:val="009F294C"/>
    <w:rsid w:val="009F3202"/>
    <w:rsid w:val="009F387B"/>
    <w:rsid w:val="009F3F5A"/>
    <w:rsid w:val="009F401E"/>
    <w:rsid w:val="009F4FB5"/>
    <w:rsid w:val="009F6C9F"/>
    <w:rsid w:val="009F7700"/>
    <w:rsid w:val="009F7A96"/>
    <w:rsid w:val="009F7E78"/>
    <w:rsid w:val="00A00376"/>
    <w:rsid w:val="00A00480"/>
    <w:rsid w:val="00A0152E"/>
    <w:rsid w:val="00A019CE"/>
    <w:rsid w:val="00A0282E"/>
    <w:rsid w:val="00A02D3F"/>
    <w:rsid w:val="00A0415C"/>
    <w:rsid w:val="00A04C5A"/>
    <w:rsid w:val="00A05322"/>
    <w:rsid w:val="00A0543A"/>
    <w:rsid w:val="00A06792"/>
    <w:rsid w:val="00A076E9"/>
    <w:rsid w:val="00A0788A"/>
    <w:rsid w:val="00A10EF2"/>
    <w:rsid w:val="00A12116"/>
    <w:rsid w:val="00A12E87"/>
    <w:rsid w:val="00A1307F"/>
    <w:rsid w:val="00A152AB"/>
    <w:rsid w:val="00A17BA9"/>
    <w:rsid w:val="00A223DA"/>
    <w:rsid w:val="00A223F9"/>
    <w:rsid w:val="00A228F4"/>
    <w:rsid w:val="00A23585"/>
    <w:rsid w:val="00A25911"/>
    <w:rsid w:val="00A270C5"/>
    <w:rsid w:val="00A27187"/>
    <w:rsid w:val="00A27C30"/>
    <w:rsid w:val="00A27CF1"/>
    <w:rsid w:val="00A3054D"/>
    <w:rsid w:val="00A31D40"/>
    <w:rsid w:val="00A31D90"/>
    <w:rsid w:val="00A31FB1"/>
    <w:rsid w:val="00A31FFB"/>
    <w:rsid w:val="00A335BA"/>
    <w:rsid w:val="00A33AE9"/>
    <w:rsid w:val="00A34FB4"/>
    <w:rsid w:val="00A35423"/>
    <w:rsid w:val="00A35638"/>
    <w:rsid w:val="00A361A7"/>
    <w:rsid w:val="00A36365"/>
    <w:rsid w:val="00A373CF"/>
    <w:rsid w:val="00A3741D"/>
    <w:rsid w:val="00A37B6C"/>
    <w:rsid w:val="00A40BFD"/>
    <w:rsid w:val="00A40C7B"/>
    <w:rsid w:val="00A41092"/>
    <w:rsid w:val="00A411B1"/>
    <w:rsid w:val="00A4261A"/>
    <w:rsid w:val="00A426D2"/>
    <w:rsid w:val="00A42753"/>
    <w:rsid w:val="00A42BEF"/>
    <w:rsid w:val="00A42F94"/>
    <w:rsid w:val="00A45A15"/>
    <w:rsid w:val="00A473DF"/>
    <w:rsid w:val="00A475D4"/>
    <w:rsid w:val="00A50515"/>
    <w:rsid w:val="00A5058A"/>
    <w:rsid w:val="00A5062C"/>
    <w:rsid w:val="00A5330F"/>
    <w:rsid w:val="00A539C3"/>
    <w:rsid w:val="00A53BA5"/>
    <w:rsid w:val="00A53E9A"/>
    <w:rsid w:val="00A556C2"/>
    <w:rsid w:val="00A55C73"/>
    <w:rsid w:val="00A5643E"/>
    <w:rsid w:val="00A56758"/>
    <w:rsid w:val="00A56A0E"/>
    <w:rsid w:val="00A5701D"/>
    <w:rsid w:val="00A57160"/>
    <w:rsid w:val="00A57802"/>
    <w:rsid w:val="00A57C35"/>
    <w:rsid w:val="00A600F0"/>
    <w:rsid w:val="00A60ACF"/>
    <w:rsid w:val="00A60D5A"/>
    <w:rsid w:val="00A61BFA"/>
    <w:rsid w:val="00A62AE7"/>
    <w:rsid w:val="00A63E7E"/>
    <w:rsid w:val="00A6447C"/>
    <w:rsid w:val="00A6505D"/>
    <w:rsid w:val="00A6520E"/>
    <w:rsid w:val="00A6588D"/>
    <w:rsid w:val="00A65B9D"/>
    <w:rsid w:val="00A65E4B"/>
    <w:rsid w:val="00A665E2"/>
    <w:rsid w:val="00A677FB"/>
    <w:rsid w:val="00A67A5F"/>
    <w:rsid w:val="00A67B62"/>
    <w:rsid w:val="00A7248F"/>
    <w:rsid w:val="00A7386A"/>
    <w:rsid w:val="00A73E0D"/>
    <w:rsid w:val="00A73E65"/>
    <w:rsid w:val="00A748FF"/>
    <w:rsid w:val="00A75818"/>
    <w:rsid w:val="00A804BD"/>
    <w:rsid w:val="00A808D5"/>
    <w:rsid w:val="00A821D9"/>
    <w:rsid w:val="00A82FE3"/>
    <w:rsid w:val="00A8362D"/>
    <w:rsid w:val="00A83F7D"/>
    <w:rsid w:val="00A8415E"/>
    <w:rsid w:val="00A84551"/>
    <w:rsid w:val="00A85BD7"/>
    <w:rsid w:val="00A85C1E"/>
    <w:rsid w:val="00A86229"/>
    <w:rsid w:val="00A87A9F"/>
    <w:rsid w:val="00A87CB4"/>
    <w:rsid w:val="00A901D9"/>
    <w:rsid w:val="00A90423"/>
    <w:rsid w:val="00A92C58"/>
    <w:rsid w:val="00A92E64"/>
    <w:rsid w:val="00A931CE"/>
    <w:rsid w:val="00A93292"/>
    <w:rsid w:val="00A936F2"/>
    <w:rsid w:val="00A937C1"/>
    <w:rsid w:val="00A938A0"/>
    <w:rsid w:val="00A93A07"/>
    <w:rsid w:val="00A93FBD"/>
    <w:rsid w:val="00A94254"/>
    <w:rsid w:val="00A947DC"/>
    <w:rsid w:val="00A94C88"/>
    <w:rsid w:val="00A959D3"/>
    <w:rsid w:val="00A96CF8"/>
    <w:rsid w:val="00A96D23"/>
    <w:rsid w:val="00A974CE"/>
    <w:rsid w:val="00A97BE4"/>
    <w:rsid w:val="00A97CDE"/>
    <w:rsid w:val="00AA059C"/>
    <w:rsid w:val="00AA0CDF"/>
    <w:rsid w:val="00AA199A"/>
    <w:rsid w:val="00AA1B10"/>
    <w:rsid w:val="00AA1E1F"/>
    <w:rsid w:val="00AA309A"/>
    <w:rsid w:val="00AA3676"/>
    <w:rsid w:val="00AA4AF5"/>
    <w:rsid w:val="00AA4FEA"/>
    <w:rsid w:val="00AA6D73"/>
    <w:rsid w:val="00AB15D9"/>
    <w:rsid w:val="00AB19E6"/>
    <w:rsid w:val="00AB27CF"/>
    <w:rsid w:val="00AB3034"/>
    <w:rsid w:val="00AB331F"/>
    <w:rsid w:val="00AB349D"/>
    <w:rsid w:val="00AB36DA"/>
    <w:rsid w:val="00AB3B3D"/>
    <w:rsid w:val="00AB42A1"/>
    <w:rsid w:val="00AB509F"/>
    <w:rsid w:val="00AB534F"/>
    <w:rsid w:val="00AB59C6"/>
    <w:rsid w:val="00AB60E1"/>
    <w:rsid w:val="00AB6A4A"/>
    <w:rsid w:val="00AB7842"/>
    <w:rsid w:val="00AB796C"/>
    <w:rsid w:val="00AC029A"/>
    <w:rsid w:val="00AC0E86"/>
    <w:rsid w:val="00AC0E94"/>
    <w:rsid w:val="00AC19A5"/>
    <w:rsid w:val="00AC220C"/>
    <w:rsid w:val="00AC2684"/>
    <w:rsid w:val="00AC3BA3"/>
    <w:rsid w:val="00AC410A"/>
    <w:rsid w:val="00AC53AA"/>
    <w:rsid w:val="00AC60C0"/>
    <w:rsid w:val="00AC67DB"/>
    <w:rsid w:val="00AC7478"/>
    <w:rsid w:val="00AD00D6"/>
    <w:rsid w:val="00AD0A39"/>
    <w:rsid w:val="00AD0E2C"/>
    <w:rsid w:val="00AD1331"/>
    <w:rsid w:val="00AD171F"/>
    <w:rsid w:val="00AD1752"/>
    <w:rsid w:val="00AD20A6"/>
    <w:rsid w:val="00AD277C"/>
    <w:rsid w:val="00AD2969"/>
    <w:rsid w:val="00AD4988"/>
    <w:rsid w:val="00AD55C1"/>
    <w:rsid w:val="00AD5A1B"/>
    <w:rsid w:val="00AD5B98"/>
    <w:rsid w:val="00AD6B7C"/>
    <w:rsid w:val="00AD6B98"/>
    <w:rsid w:val="00AD7505"/>
    <w:rsid w:val="00AD75A2"/>
    <w:rsid w:val="00AD79C7"/>
    <w:rsid w:val="00AE0AE7"/>
    <w:rsid w:val="00AE1A6F"/>
    <w:rsid w:val="00AE3E6D"/>
    <w:rsid w:val="00AE4993"/>
    <w:rsid w:val="00AE6234"/>
    <w:rsid w:val="00AE64E4"/>
    <w:rsid w:val="00AE6D22"/>
    <w:rsid w:val="00AE71D8"/>
    <w:rsid w:val="00AF0077"/>
    <w:rsid w:val="00AF1D17"/>
    <w:rsid w:val="00AF246C"/>
    <w:rsid w:val="00AF348A"/>
    <w:rsid w:val="00AF3E7C"/>
    <w:rsid w:val="00AF6AB4"/>
    <w:rsid w:val="00AF6EB1"/>
    <w:rsid w:val="00AF75A1"/>
    <w:rsid w:val="00AF7CDE"/>
    <w:rsid w:val="00B000C2"/>
    <w:rsid w:val="00B004AF"/>
    <w:rsid w:val="00B00E51"/>
    <w:rsid w:val="00B00FE7"/>
    <w:rsid w:val="00B01230"/>
    <w:rsid w:val="00B01535"/>
    <w:rsid w:val="00B01D45"/>
    <w:rsid w:val="00B02045"/>
    <w:rsid w:val="00B02C17"/>
    <w:rsid w:val="00B0326C"/>
    <w:rsid w:val="00B0416A"/>
    <w:rsid w:val="00B04527"/>
    <w:rsid w:val="00B105A4"/>
    <w:rsid w:val="00B1082D"/>
    <w:rsid w:val="00B10D2C"/>
    <w:rsid w:val="00B10FA6"/>
    <w:rsid w:val="00B110E8"/>
    <w:rsid w:val="00B1177C"/>
    <w:rsid w:val="00B119D9"/>
    <w:rsid w:val="00B11D04"/>
    <w:rsid w:val="00B1504A"/>
    <w:rsid w:val="00B1672C"/>
    <w:rsid w:val="00B169E6"/>
    <w:rsid w:val="00B171E5"/>
    <w:rsid w:val="00B1741D"/>
    <w:rsid w:val="00B17E73"/>
    <w:rsid w:val="00B20681"/>
    <w:rsid w:val="00B208D7"/>
    <w:rsid w:val="00B2118C"/>
    <w:rsid w:val="00B21590"/>
    <w:rsid w:val="00B216C9"/>
    <w:rsid w:val="00B21768"/>
    <w:rsid w:val="00B21B71"/>
    <w:rsid w:val="00B21D30"/>
    <w:rsid w:val="00B21DEA"/>
    <w:rsid w:val="00B22934"/>
    <w:rsid w:val="00B22D07"/>
    <w:rsid w:val="00B23757"/>
    <w:rsid w:val="00B23BB4"/>
    <w:rsid w:val="00B2457A"/>
    <w:rsid w:val="00B24A61"/>
    <w:rsid w:val="00B24F60"/>
    <w:rsid w:val="00B273B3"/>
    <w:rsid w:val="00B317F6"/>
    <w:rsid w:val="00B31A12"/>
    <w:rsid w:val="00B32D10"/>
    <w:rsid w:val="00B3310F"/>
    <w:rsid w:val="00B347D7"/>
    <w:rsid w:val="00B350AA"/>
    <w:rsid w:val="00B3524D"/>
    <w:rsid w:val="00B36141"/>
    <w:rsid w:val="00B36592"/>
    <w:rsid w:val="00B3700D"/>
    <w:rsid w:val="00B37158"/>
    <w:rsid w:val="00B37E9F"/>
    <w:rsid w:val="00B40C58"/>
    <w:rsid w:val="00B41446"/>
    <w:rsid w:val="00B41861"/>
    <w:rsid w:val="00B425BA"/>
    <w:rsid w:val="00B434D4"/>
    <w:rsid w:val="00B44551"/>
    <w:rsid w:val="00B4606F"/>
    <w:rsid w:val="00B4709C"/>
    <w:rsid w:val="00B4722B"/>
    <w:rsid w:val="00B5257F"/>
    <w:rsid w:val="00B525B0"/>
    <w:rsid w:val="00B54867"/>
    <w:rsid w:val="00B54CCB"/>
    <w:rsid w:val="00B55756"/>
    <w:rsid w:val="00B5625E"/>
    <w:rsid w:val="00B56587"/>
    <w:rsid w:val="00B57358"/>
    <w:rsid w:val="00B574CF"/>
    <w:rsid w:val="00B57B6D"/>
    <w:rsid w:val="00B60E70"/>
    <w:rsid w:val="00B60F3A"/>
    <w:rsid w:val="00B617FA"/>
    <w:rsid w:val="00B62639"/>
    <w:rsid w:val="00B62ACC"/>
    <w:rsid w:val="00B63267"/>
    <w:rsid w:val="00B6498C"/>
    <w:rsid w:val="00B64AB0"/>
    <w:rsid w:val="00B664C0"/>
    <w:rsid w:val="00B6774A"/>
    <w:rsid w:val="00B715AC"/>
    <w:rsid w:val="00B71791"/>
    <w:rsid w:val="00B7256D"/>
    <w:rsid w:val="00B73457"/>
    <w:rsid w:val="00B7349C"/>
    <w:rsid w:val="00B73858"/>
    <w:rsid w:val="00B74E41"/>
    <w:rsid w:val="00B75BF6"/>
    <w:rsid w:val="00B7724F"/>
    <w:rsid w:val="00B80CA1"/>
    <w:rsid w:val="00B812FF"/>
    <w:rsid w:val="00B82C0A"/>
    <w:rsid w:val="00B82DC7"/>
    <w:rsid w:val="00B86204"/>
    <w:rsid w:val="00B86BD5"/>
    <w:rsid w:val="00B875B5"/>
    <w:rsid w:val="00B90314"/>
    <w:rsid w:val="00B94422"/>
    <w:rsid w:val="00B948F6"/>
    <w:rsid w:val="00B950B9"/>
    <w:rsid w:val="00B95466"/>
    <w:rsid w:val="00B95D16"/>
    <w:rsid w:val="00B9776C"/>
    <w:rsid w:val="00BA178E"/>
    <w:rsid w:val="00BA2174"/>
    <w:rsid w:val="00BA2526"/>
    <w:rsid w:val="00BA39CA"/>
    <w:rsid w:val="00BA3E34"/>
    <w:rsid w:val="00BA4293"/>
    <w:rsid w:val="00BA446D"/>
    <w:rsid w:val="00BA5AFA"/>
    <w:rsid w:val="00BB0084"/>
    <w:rsid w:val="00BB075B"/>
    <w:rsid w:val="00BB0EB9"/>
    <w:rsid w:val="00BB1C8C"/>
    <w:rsid w:val="00BB2AD7"/>
    <w:rsid w:val="00BB2C44"/>
    <w:rsid w:val="00BB3283"/>
    <w:rsid w:val="00BB3EFF"/>
    <w:rsid w:val="00BB46AA"/>
    <w:rsid w:val="00BB4A2E"/>
    <w:rsid w:val="00BB52FE"/>
    <w:rsid w:val="00BC02AB"/>
    <w:rsid w:val="00BC0C20"/>
    <w:rsid w:val="00BC0C7F"/>
    <w:rsid w:val="00BC0E21"/>
    <w:rsid w:val="00BC1185"/>
    <w:rsid w:val="00BC282C"/>
    <w:rsid w:val="00BC2C32"/>
    <w:rsid w:val="00BC4441"/>
    <w:rsid w:val="00BC4B0C"/>
    <w:rsid w:val="00BC61AB"/>
    <w:rsid w:val="00BD0361"/>
    <w:rsid w:val="00BD1164"/>
    <w:rsid w:val="00BD1F2C"/>
    <w:rsid w:val="00BD2307"/>
    <w:rsid w:val="00BD2656"/>
    <w:rsid w:val="00BD482B"/>
    <w:rsid w:val="00BD4FF3"/>
    <w:rsid w:val="00BD54B2"/>
    <w:rsid w:val="00BD61CB"/>
    <w:rsid w:val="00BD6317"/>
    <w:rsid w:val="00BD6DEF"/>
    <w:rsid w:val="00BD722C"/>
    <w:rsid w:val="00BD7F57"/>
    <w:rsid w:val="00BE1377"/>
    <w:rsid w:val="00BE1FC7"/>
    <w:rsid w:val="00BE3989"/>
    <w:rsid w:val="00BE4679"/>
    <w:rsid w:val="00BE4CA1"/>
    <w:rsid w:val="00BE4D3F"/>
    <w:rsid w:val="00BE4F69"/>
    <w:rsid w:val="00BE54D6"/>
    <w:rsid w:val="00BE664A"/>
    <w:rsid w:val="00BE6DB6"/>
    <w:rsid w:val="00BF1BD0"/>
    <w:rsid w:val="00BF1E9B"/>
    <w:rsid w:val="00BF2A25"/>
    <w:rsid w:val="00BF30ED"/>
    <w:rsid w:val="00BF3AF4"/>
    <w:rsid w:val="00BF416D"/>
    <w:rsid w:val="00BF4255"/>
    <w:rsid w:val="00BF5D59"/>
    <w:rsid w:val="00BF6B6C"/>
    <w:rsid w:val="00BF73E6"/>
    <w:rsid w:val="00BF76EC"/>
    <w:rsid w:val="00BF7759"/>
    <w:rsid w:val="00BF7A9E"/>
    <w:rsid w:val="00C004A7"/>
    <w:rsid w:val="00C004F6"/>
    <w:rsid w:val="00C00533"/>
    <w:rsid w:val="00C00781"/>
    <w:rsid w:val="00C00E16"/>
    <w:rsid w:val="00C01095"/>
    <w:rsid w:val="00C013E3"/>
    <w:rsid w:val="00C01819"/>
    <w:rsid w:val="00C01956"/>
    <w:rsid w:val="00C01A90"/>
    <w:rsid w:val="00C01BBC"/>
    <w:rsid w:val="00C02DD7"/>
    <w:rsid w:val="00C02E77"/>
    <w:rsid w:val="00C030FF"/>
    <w:rsid w:val="00C03212"/>
    <w:rsid w:val="00C033D2"/>
    <w:rsid w:val="00C047E2"/>
    <w:rsid w:val="00C05269"/>
    <w:rsid w:val="00C05807"/>
    <w:rsid w:val="00C0593B"/>
    <w:rsid w:val="00C10D78"/>
    <w:rsid w:val="00C10F75"/>
    <w:rsid w:val="00C124C3"/>
    <w:rsid w:val="00C128F4"/>
    <w:rsid w:val="00C13391"/>
    <w:rsid w:val="00C140A7"/>
    <w:rsid w:val="00C14A5C"/>
    <w:rsid w:val="00C151ED"/>
    <w:rsid w:val="00C15337"/>
    <w:rsid w:val="00C15D23"/>
    <w:rsid w:val="00C15F06"/>
    <w:rsid w:val="00C16753"/>
    <w:rsid w:val="00C16EF2"/>
    <w:rsid w:val="00C1715B"/>
    <w:rsid w:val="00C17556"/>
    <w:rsid w:val="00C201CD"/>
    <w:rsid w:val="00C20648"/>
    <w:rsid w:val="00C20755"/>
    <w:rsid w:val="00C20B4E"/>
    <w:rsid w:val="00C20D02"/>
    <w:rsid w:val="00C22769"/>
    <w:rsid w:val="00C2337B"/>
    <w:rsid w:val="00C23D81"/>
    <w:rsid w:val="00C24BD8"/>
    <w:rsid w:val="00C24FCB"/>
    <w:rsid w:val="00C251F4"/>
    <w:rsid w:val="00C26E95"/>
    <w:rsid w:val="00C271FF"/>
    <w:rsid w:val="00C2741D"/>
    <w:rsid w:val="00C2771D"/>
    <w:rsid w:val="00C31116"/>
    <w:rsid w:val="00C32915"/>
    <w:rsid w:val="00C33793"/>
    <w:rsid w:val="00C34FEF"/>
    <w:rsid w:val="00C3508D"/>
    <w:rsid w:val="00C3723E"/>
    <w:rsid w:val="00C373CB"/>
    <w:rsid w:val="00C40A48"/>
    <w:rsid w:val="00C40B62"/>
    <w:rsid w:val="00C411A7"/>
    <w:rsid w:val="00C418C5"/>
    <w:rsid w:val="00C420D8"/>
    <w:rsid w:val="00C424F2"/>
    <w:rsid w:val="00C437C5"/>
    <w:rsid w:val="00C43BF6"/>
    <w:rsid w:val="00C4466D"/>
    <w:rsid w:val="00C45490"/>
    <w:rsid w:val="00C45ACD"/>
    <w:rsid w:val="00C4735E"/>
    <w:rsid w:val="00C473A6"/>
    <w:rsid w:val="00C47BE8"/>
    <w:rsid w:val="00C47C59"/>
    <w:rsid w:val="00C5021C"/>
    <w:rsid w:val="00C51352"/>
    <w:rsid w:val="00C514FC"/>
    <w:rsid w:val="00C5187E"/>
    <w:rsid w:val="00C51F88"/>
    <w:rsid w:val="00C52445"/>
    <w:rsid w:val="00C5246A"/>
    <w:rsid w:val="00C5246B"/>
    <w:rsid w:val="00C524F0"/>
    <w:rsid w:val="00C52A13"/>
    <w:rsid w:val="00C52AD7"/>
    <w:rsid w:val="00C52CA2"/>
    <w:rsid w:val="00C533A9"/>
    <w:rsid w:val="00C533BD"/>
    <w:rsid w:val="00C53830"/>
    <w:rsid w:val="00C54218"/>
    <w:rsid w:val="00C54CEC"/>
    <w:rsid w:val="00C55230"/>
    <w:rsid w:val="00C55530"/>
    <w:rsid w:val="00C55FF2"/>
    <w:rsid w:val="00C5693E"/>
    <w:rsid w:val="00C56C8E"/>
    <w:rsid w:val="00C57FCF"/>
    <w:rsid w:val="00C57FE2"/>
    <w:rsid w:val="00C60408"/>
    <w:rsid w:val="00C604AA"/>
    <w:rsid w:val="00C606B7"/>
    <w:rsid w:val="00C60CCC"/>
    <w:rsid w:val="00C60CFA"/>
    <w:rsid w:val="00C61675"/>
    <w:rsid w:val="00C627CA"/>
    <w:rsid w:val="00C62C2C"/>
    <w:rsid w:val="00C62D29"/>
    <w:rsid w:val="00C63AFB"/>
    <w:rsid w:val="00C6598E"/>
    <w:rsid w:val="00C65ADD"/>
    <w:rsid w:val="00C66D83"/>
    <w:rsid w:val="00C66EA7"/>
    <w:rsid w:val="00C67B7A"/>
    <w:rsid w:val="00C70266"/>
    <w:rsid w:val="00C70793"/>
    <w:rsid w:val="00C70D72"/>
    <w:rsid w:val="00C7119E"/>
    <w:rsid w:val="00C713E8"/>
    <w:rsid w:val="00C7164A"/>
    <w:rsid w:val="00C725DF"/>
    <w:rsid w:val="00C72974"/>
    <w:rsid w:val="00C72B0D"/>
    <w:rsid w:val="00C74B25"/>
    <w:rsid w:val="00C74E81"/>
    <w:rsid w:val="00C761EA"/>
    <w:rsid w:val="00C766FC"/>
    <w:rsid w:val="00C768DD"/>
    <w:rsid w:val="00C77496"/>
    <w:rsid w:val="00C77741"/>
    <w:rsid w:val="00C77D9B"/>
    <w:rsid w:val="00C77DB8"/>
    <w:rsid w:val="00C80954"/>
    <w:rsid w:val="00C809B3"/>
    <w:rsid w:val="00C80F02"/>
    <w:rsid w:val="00C810D2"/>
    <w:rsid w:val="00C81212"/>
    <w:rsid w:val="00C81CAA"/>
    <w:rsid w:val="00C825B4"/>
    <w:rsid w:val="00C83A17"/>
    <w:rsid w:val="00C8503B"/>
    <w:rsid w:val="00C8528D"/>
    <w:rsid w:val="00C852FF"/>
    <w:rsid w:val="00C861EF"/>
    <w:rsid w:val="00C86246"/>
    <w:rsid w:val="00C8773E"/>
    <w:rsid w:val="00C87D94"/>
    <w:rsid w:val="00C90039"/>
    <w:rsid w:val="00C90496"/>
    <w:rsid w:val="00C924DE"/>
    <w:rsid w:val="00C94224"/>
    <w:rsid w:val="00C94BCA"/>
    <w:rsid w:val="00C94D50"/>
    <w:rsid w:val="00CA05E6"/>
    <w:rsid w:val="00CA06A4"/>
    <w:rsid w:val="00CA17BB"/>
    <w:rsid w:val="00CA19A4"/>
    <w:rsid w:val="00CA207E"/>
    <w:rsid w:val="00CA2F8B"/>
    <w:rsid w:val="00CA34C5"/>
    <w:rsid w:val="00CA3694"/>
    <w:rsid w:val="00CA378C"/>
    <w:rsid w:val="00CA3C3E"/>
    <w:rsid w:val="00CA474D"/>
    <w:rsid w:val="00CA4855"/>
    <w:rsid w:val="00CA4F7D"/>
    <w:rsid w:val="00CA5579"/>
    <w:rsid w:val="00CA5B48"/>
    <w:rsid w:val="00CA69D2"/>
    <w:rsid w:val="00CA7FF4"/>
    <w:rsid w:val="00CB004A"/>
    <w:rsid w:val="00CB09A9"/>
    <w:rsid w:val="00CB31DA"/>
    <w:rsid w:val="00CB650B"/>
    <w:rsid w:val="00CB6985"/>
    <w:rsid w:val="00CC0096"/>
    <w:rsid w:val="00CC181E"/>
    <w:rsid w:val="00CC1C7A"/>
    <w:rsid w:val="00CC1CB1"/>
    <w:rsid w:val="00CC2065"/>
    <w:rsid w:val="00CC2DE6"/>
    <w:rsid w:val="00CC319F"/>
    <w:rsid w:val="00CC31D9"/>
    <w:rsid w:val="00CC3BE5"/>
    <w:rsid w:val="00CC3E91"/>
    <w:rsid w:val="00CC42DF"/>
    <w:rsid w:val="00CC5C95"/>
    <w:rsid w:val="00CC5EDD"/>
    <w:rsid w:val="00CC60F5"/>
    <w:rsid w:val="00CC7401"/>
    <w:rsid w:val="00CD1041"/>
    <w:rsid w:val="00CD3184"/>
    <w:rsid w:val="00CD3706"/>
    <w:rsid w:val="00CD44BA"/>
    <w:rsid w:val="00CD45DC"/>
    <w:rsid w:val="00CD5315"/>
    <w:rsid w:val="00CD5412"/>
    <w:rsid w:val="00CD5A9E"/>
    <w:rsid w:val="00CD67D3"/>
    <w:rsid w:val="00CD75B8"/>
    <w:rsid w:val="00CE03A9"/>
    <w:rsid w:val="00CE0A71"/>
    <w:rsid w:val="00CE2271"/>
    <w:rsid w:val="00CE248F"/>
    <w:rsid w:val="00CE4BFF"/>
    <w:rsid w:val="00CE5FEE"/>
    <w:rsid w:val="00CE68CC"/>
    <w:rsid w:val="00CE6F86"/>
    <w:rsid w:val="00CF165D"/>
    <w:rsid w:val="00CF1B24"/>
    <w:rsid w:val="00CF2E53"/>
    <w:rsid w:val="00CF3E17"/>
    <w:rsid w:val="00CF4896"/>
    <w:rsid w:val="00CF4D34"/>
    <w:rsid w:val="00CF510A"/>
    <w:rsid w:val="00CF56EB"/>
    <w:rsid w:val="00CF6894"/>
    <w:rsid w:val="00CF76F0"/>
    <w:rsid w:val="00CF79DF"/>
    <w:rsid w:val="00CF7E0A"/>
    <w:rsid w:val="00D00B80"/>
    <w:rsid w:val="00D00E1F"/>
    <w:rsid w:val="00D028BC"/>
    <w:rsid w:val="00D0434F"/>
    <w:rsid w:val="00D06EC1"/>
    <w:rsid w:val="00D07085"/>
    <w:rsid w:val="00D07151"/>
    <w:rsid w:val="00D07480"/>
    <w:rsid w:val="00D07666"/>
    <w:rsid w:val="00D07DAD"/>
    <w:rsid w:val="00D10188"/>
    <w:rsid w:val="00D1061D"/>
    <w:rsid w:val="00D11CA7"/>
    <w:rsid w:val="00D126FB"/>
    <w:rsid w:val="00D1371E"/>
    <w:rsid w:val="00D14507"/>
    <w:rsid w:val="00D14EFB"/>
    <w:rsid w:val="00D15316"/>
    <w:rsid w:val="00D153CC"/>
    <w:rsid w:val="00D158D0"/>
    <w:rsid w:val="00D161DD"/>
    <w:rsid w:val="00D16884"/>
    <w:rsid w:val="00D17573"/>
    <w:rsid w:val="00D17C0E"/>
    <w:rsid w:val="00D2046C"/>
    <w:rsid w:val="00D20AB6"/>
    <w:rsid w:val="00D212E6"/>
    <w:rsid w:val="00D218B9"/>
    <w:rsid w:val="00D23638"/>
    <w:rsid w:val="00D24C22"/>
    <w:rsid w:val="00D26527"/>
    <w:rsid w:val="00D26E19"/>
    <w:rsid w:val="00D274BD"/>
    <w:rsid w:val="00D27720"/>
    <w:rsid w:val="00D27ECA"/>
    <w:rsid w:val="00D3050D"/>
    <w:rsid w:val="00D3220C"/>
    <w:rsid w:val="00D32AAC"/>
    <w:rsid w:val="00D33453"/>
    <w:rsid w:val="00D3400A"/>
    <w:rsid w:val="00D34C75"/>
    <w:rsid w:val="00D35DCD"/>
    <w:rsid w:val="00D35EB2"/>
    <w:rsid w:val="00D364D2"/>
    <w:rsid w:val="00D36673"/>
    <w:rsid w:val="00D379A4"/>
    <w:rsid w:val="00D40465"/>
    <w:rsid w:val="00D40F11"/>
    <w:rsid w:val="00D410BD"/>
    <w:rsid w:val="00D41A6D"/>
    <w:rsid w:val="00D4218A"/>
    <w:rsid w:val="00D42470"/>
    <w:rsid w:val="00D43DF4"/>
    <w:rsid w:val="00D4417B"/>
    <w:rsid w:val="00D44377"/>
    <w:rsid w:val="00D4550E"/>
    <w:rsid w:val="00D458A4"/>
    <w:rsid w:val="00D45AE7"/>
    <w:rsid w:val="00D4678B"/>
    <w:rsid w:val="00D4693B"/>
    <w:rsid w:val="00D46AFE"/>
    <w:rsid w:val="00D4743F"/>
    <w:rsid w:val="00D4779D"/>
    <w:rsid w:val="00D50990"/>
    <w:rsid w:val="00D51FC8"/>
    <w:rsid w:val="00D520ED"/>
    <w:rsid w:val="00D5226D"/>
    <w:rsid w:val="00D533F1"/>
    <w:rsid w:val="00D53472"/>
    <w:rsid w:val="00D534F0"/>
    <w:rsid w:val="00D53F9A"/>
    <w:rsid w:val="00D54916"/>
    <w:rsid w:val="00D5569D"/>
    <w:rsid w:val="00D55CB1"/>
    <w:rsid w:val="00D56489"/>
    <w:rsid w:val="00D5689A"/>
    <w:rsid w:val="00D569F9"/>
    <w:rsid w:val="00D56AF5"/>
    <w:rsid w:val="00D56B21"/>
    <w:rsid w:val="00D57271"/>
    <w:rsid w:val="00D5793E"/>
    <w:rsid w:val="00D57F57"/>
    <w:rsid w:val="00D6039C"/>
    <w:rsid w:val="00D61209"/>
    <w:rsid w:val="00D6156F"/>
    <w:rsid w:val="00D619E4"/>
    <w:rsid w:val="00D61E41"/>
    <w:rsid w:val="00D626A5"/>
    <w:rsid w:val="00D62F0E"/>
    <w:rsid w:val="00D62F99"/>
    <w:rsid w:val="00D63404"/>
    <w:rsid w:val="00D65056"/>
    <w:rsid w:val="00D668B6"/>
    <w:rsid w:val="00D66BDF"/>
    <w:rsid w:val="00D674E3"/>
    <w:rsid w:val="00D675ED"/>
    <w:rsid w:val="00D67EB9"/>
    <w:rsid w:val="00D7029A"/>
    <w:rsid w:val="00D71AC9"/>
    <w:rsid w:val="00D71CE7"/>
    <w:rsid w:val="00D72B18"/>
    <w:rsid w:val="00D72C6A"/>
    <w:rsid w:val="00D73008"/>
    <w:rsid w:val="00D7367D"/>
    <w:rsid w:val="00D73915"/>
    <w:rsid w:val="00D74084"/>
    <w:rsid w:val="00D742A1"/>
    <w:rsid w:val="00D74478"/>
    <w:rsid w:val="00D7553D"/>
    <w:rsid w:val="00D7577B"/>
    <w:rsid w:val="00D763B5"/>
    <w:rsid w:val="00D76E45"/>
    <w:rsid w:val="00D76F02"/>
    <w:rsid w:val="00D77E8F"/>
    <w:rsid w:val="00D80A21"/>
    <w:rsid w:val="00D80DBB"/>
    <w:rsid w:val="00D81AB6"/>
    <w:rsid w:val="00D81FE0"/>
    <w:rsid w:val="00D82E41"/>
    <w:rsid w:val="00D8305F"/>
    <w:rsid w:val="00D84CD2"/>
    <w:rsid w:val="00D84D3D"/>
    <w:rsid w:val="00D85038"/>
    <w:rsid w:val="00D858BD"/>
    <w:rsid w:val="00D874E8"/>
    <w:rsid w:val="00D87C56"/>
    <w:rsid w:val="00D9010B"/>
    <w:rsid w:val="00D904B0"/>
    <w:rsid w:val="00D92ECC"/>
    <w:rsid w:val="00D939C3"/>
    <w:rsid w:val="00D95457"/>
    <w:rsid w:val="00D959CB"/>
    <w:rsid w:val="00D97423"/>
    <w:rsid w:val="00DA10DA"/>
    <w:rsid w:val="00DA16A7"/>
    <w:rsid w:val="00DA16B6"/>
    <w:rsid w:val="00DA1A30"/>
    <w:rsid w:val="00DA1A9F"/>
    <w:rsid w:val="00DA1FCA"/>
    <w:rsid w:val="00DA3241"/>
    <w:rsid w:val="00DA3347"/>
    <w:rsid w:val="00DA3CC9"/>
    <w:rsid w:val="00DA3FFA"/>
    <w:rsid w:val="00DA4C46"/>
    <w:rsid w:val="00DB07C7"/>
    <w:rsid w:val="00DB138C"/>
    <w:rsid w:val="00DB50F6"/>
    <w:rsid w:val="00DB546F"/>
    <w:rsid w:val="00DB5F81"/>
    <w:rsid w:val="00DB6759"/>
    <w:rsid w:val="00DB6A3A"/>
    <w:rsid w:val="00DC13FE"/>
    <w:rsid w:val="00DC1DC6"/>
    <w:rsid w:val="00DC2165"/>
    <w:rsid w:val="00DC2817"/>
    <w:rsid w:val="00DC2D83"/>
    <w:rsid w:val="00DC4443"/>
    <w:rsid w:val="00DC4C00"/>
    <w:rsid w:val="00DC52ED"/>
    <w:rsid w:val="00DC5E57"/>
    <w:rsid w:val="00DC5ECD"/>
    <w:rsid w:val="00DC5FBB"/>
    <w:rsid w:val="00DC6152"/>
    <w:rsid w:val="00DC72B6"/>
    <w:rsid w:val="00DC773F"/>
    <w:rsid w:val="00DC792F"/>
    <w:rsid w:val="00DC7CFF"/>
    <w:rsid w:val="00DD0208"/>
    <w:rsid w:val="00DD0F32"/>
    <w:rsid w:val="00DD0FF3"/>
    <w:rsid w:val="00DD13A0"/>
    <w:rsid w:val="00DD1BB0"/>
    <w:rsid w:val="00DD20C0"/>
    <w:rsid w:val="00DD245E"/>
    <w:rsid w:val="00DD2BAE"/>
    <w:rsid w:val="00DD2C99"/>
    <w:rsid w:val="00DD32FF"/>
    <w:rsid w:val="00DD4EF3"/>
    <w:rsid w:val="00DD543F"/>
    <w:rsid w:val="00DD5E18"/>
    <w:rsid w:val="00DD62C8"/>
    <w:rsid w:val="00DD64A1"/>
    <w:rsid w:val="00DD6BE3"/>
    <w:rsid w:val="00DD7742"/>
    <w:rsid w:val="00DE0273"/>
    <w:rsid w:val="00DE02B1"/>
    <w:rsid w:val="00DE0A72"/>
    <w:rsid w:val="00DE390C"/>
    <w:rsid w:val="00DE3C5D"/>
    <w:rsid w:val="00DE4C3E"/>
    <w:rsid w:val="00DE59C7"/>
    <w:rsid w:val="00DE5B8A"/>
    <w:rsid w:val="00DE720E"/>
    <w:rsid w:val="00DE7403"/>
    <w:rsid w:val="00DF0393"/>
    <w:rsid w:val="00DF04AA"/>
    <w:rsid w:val="00DF0D5B"/>
    <w:rsid w:val="00DF1F2F"/>
    <w:rsid w:val="00DF30E5"/>
    <w:rsid w:val="00DF3319"/>
    <w:rsid w:val="00DF34D5"/>
    <w:rsid w:val="00DF387C"/>
    <w:rsid w:val="00DF4586"/>
    <w:rsid w:val="00DF525E"/>
    <w:rsid w:val="00DF52D1"/>
    <w:rsid w:val="00DF540C"/>
    <w:rsid w:val="00DF59FA"/>
    <w:rsid w:val="00DF655B"/>
    <w:rsid w:val="00DF6BA1"/>
    <w:rsid w:val="00DF6F9C"/>
    <w:rsid w:val="00E00121"/>
    <w:rsid w:val="00E01E3F"/>
    <w:rsid w:val="00E02B20"/>
    <w:rsid w:val="00E031EC"/>
    <w:rsid w:val="00E0371D"/>
    <w:rsid w:val="00E03BB1"/>
    <w:rsid w:val="00E043AE"/>
    <w:rsid w:val="00E04428"/>
    <w:rsid w:val="00E04581"/>
    <w:rsid w:val="00E05009"/>
    <w:rsid w:val="00E0624B"/>
    <w:rsid w:val="00E06BD9"/>
    <w:rsid w:val="00E07791"/>
    <w:rsid w:val="00E07DE8"/>
    <w:rsid w:val="00E10118"/>
    <w:rsid w:val="00E10B23"/>
    <w:rsid w:val="00E10BE3"/>
    <w:rsid w:val="00E10C9B"/>
    <w:rsid w:val="00E10F4A"/>
    <w:rsid w:val="00E120E2"/>
    <w:rsid w:val="00E12EEC"/>
    <w:rsid w:val="00E1394C"/>
    <w:rsid w:val="00E13CB5"/>
    <w:rsid w:val="00E13DF2"/>
    <w:rsid w:val="00E157D7"/>
    <w:rsid w:val="00E16A54"/>
    <w:rsid w:val="00E179C0"/>
    <w:rsid w:val="00E17D9F"/>
    <w:rsid w:val="00E202F9"/>
    <w:rsid w:val="00E20848"/>
    <w:rsid w:val="00E20CA2"/>
    <w:rsid w:val="00E20DA8"/>
    <w:rsid w:val="00E212A5"/>
    <w:rsid w:val="00E21385"/>
    <w:rsid w:val="00E21484"/>
    <w:rsid w:val="00E21AD1"/>
    <w:rsid w:val="00E26DC7"/>
    <w:rsid w:val="00E27550"/>
    <w:rsid w:val="00E27F01"/>
    <w:rsid w:val="00E307F9"/>
    <w:rsid w:val="00E31654"/>
    <w:rsid w:val="00E32444"/>
    <w:rsid w:val="00E32631"/>
    <w:rsid w:val="00E32695"/>
    <w:rsid w:val="00E32BB5"/>
    <w:rsid w:val="00E32D96"/>
    <w:rsid w:val="00E3350E"/>
    <w:rsid w:val="00E338E6"/>
    <w:rsid w:val="00E344E5"/>
    <w:rsid w:val="00E36101"/>
    <w:rsid w:val="00E36814"/>
    <w:rsid w:val="00E36E4D"/>
    <w:rsid w:val="00E36ECB"/>
    <w:rsid w:val="00E36F04"/>
    <w:rsid w:val="00E37708"/>
    <w:rsid w:val="00E377E9"/>
    <w:rsid w:val="00E403B3"/>
    <w:rsid w:val="00E404DC"/>
    <w:rsid w:val="00E41059"/>
    <w:rsid w:val="00E41278"/>
    <w:rsid w:val="00E41A78"/>
    <w:rsid w:val="00E42015"/>
    <w:rsid w:val="00E42344"/>
    <w:rsid w:val="00E42451"/>
    <w:rsid w:val="00E431DB"/>
    <w:rsid w:val="00E435AE"/>
    <w:rsid w:val="00E43EC8"/>
    <w:rsid w:val="00E4501B"/>
    <w:rsid w:val="00E45296"/>
    <w:rsid w:val="00E45504"/>
    <w:rsid w:val="00E46540"/>
    <w:rsid w:val="00E46CFD"/>
    <w:rsid w:val="00E46D6D"/>
    <w:rsid w:val="00E46FBB"/>
    <w:rsid w:val="00E506C6"/>
    <w:rsid w:val="00E5161E"/>
    <w:rsid w:val="00E52514"/>
    <w:rsid w:val="00E540E2"/>
    <w:rsid w:val="00E54340"/>
    <w:rsid w:val="00E5518E"/>
    <w:rsid w:val="00E55411"/>
    <w:rsid w:val="00E55E83"/>
    <w:rsid w:val="00E56482"/>
    <w:rsid w:val="00E573FE"/>
    <w:rsid w:val="00E60B8C"/>
    <w:rsid w:val="00E60D0C"/>
    <w:rsid w:val="00E61949"/>
    <w:rsid w:val="00E627BB"/>
    <w:rsid w:val="00E62F84"/>
    <w:rsid w:val="00E63D80"/>
    <w:rsid w:val="00E64809"/>
    <w:rsid w:val="00E6519C"/>
    <w:rsid w:val="00E655BF"/>
    <w:rsid w:val="00E65FBD"/>
    <w:rsid w:val="00E66A2C"/>
    <w:rsid w:val="00E6733F"/>
    <w:rsid w:val="00E6777E"/>
    <w:rsid w:val="00E67B64"/>
    <w:rsid w:val="00E67BE8"/>
    <w:rsid w:val="00E67EE7"/>
    <w:rsid w:val="00E70433"/>
    <w:rsid w:val="00E70B7A"/>
    <w:rsid w:val="00E712CE"/>
    <w:rsid w:val="00E72CAA"/>
    <w:rsid w:val="00E73746"/>
    <w:rsid w:val="00E73BEB"/>
    <w:rsid w:val="00E74E62"/>
    <w:rsid w:val="00E75889"/>
    <w:rsid w:val="00E75B6F"/>
    <w:rsid w:val="00E773F9"/>
    <w:rsid w:val="00E775B4"/>
    <w:rsid w:val="00E77B06"/>
    <w:rsid w:val="00E80489"/>
    <w:rsid w:val="00E8083E"/>
    <w:rsid w:val="00E80C5C"/>
    <w:rsid w:val="00E817B2"/>
    <w:rsid w:val="00E8204E"/>
    <w:rsid w:val="00E820C0"/>
    <w:rsid w:val="00E826A3"/>
    <w:rsid w:val="00E8403B"/>
    <w:rsid w:val="00E8411E"/>
    <w:rsid w:val="00E86281"/>
    <w:rsid w:val="00E8680D"/>
    <w:rsid w:val="00E8699B"/>
    <w:rsid w:val="00E8769E"/>
    <w:rsid w:val="00E87A81"/>
    <w:rsid w:val="00E902A3"/>
    <w:rsid w:val="00E90ED4"/>
    <w:rsid w:val="00E91DBA"/>
    <w:rsid w:val="00E926AC"/>
    <w:rsid w:val="00E93220"/>
    <w:rsid w:val="00E93FE8"/>
    <w:rsid w:val="00E94586"/>
    <w:rsid w:val="00E96180"/>
    <w:rsid w:val="00E9689C"/>
    <w:rsid w:val="00E96E68"/>
    <w:rsid w:val="00E971E3"/>
    <w:rsid w:val="00EA09F9"/>
    <w:rsid w:val="00EA0CC7"/>
    <w:rsid w:val="00EA0D25"/>
    <w:rsid w:val="00EA0FC5"/>
    <w:rsid w:val="00EA149D"/>
    <w:rsid w:val="00EA1607"/>
    <w:rsid w:val="00EA29B1"/>
    <w:rsid w:val="00EA2CDF"/>
    <w:rsid w:val="00EA42E2"/>
    <w:rsid w:val="00EA52B1"/>
    <w:rsid w:val="00EA5874"/>
    <w:rsid w:val="00EB02BB"/>
    <w:rsid w:val="00EB06C7"/>
    <w:rsid w:val="00EB0B33"/>
    <w:rsid w:val="00EB1493"/>
    <w:rsid w:val="00EB1916"/>
    <w:rsid w:val="00EB5630"/>
    <w:rsid w:val="00EB5F03"/>
    <w:rsid w:val="00EB700C"/>
    <w:rsid w:val="00EB702E"/>
    <w:rsid w:val="00EB72B8"/>
    <w:rsid w:val="00EB73F2"/>
    <w:rsid w:val="00EC25E9"/>
    <w:rsid w:val="00EC2626"/>
    <w:rsid w:val="00EC3654"/>
    <w:rsid w:val="00EC3B6F"/>
    <w:rsid w:val="00EC490D"/>
    <w:rsid w:val="00EC5618"/>
    <w:rsid w:val="00EC57D5"/>
    <w:rsid w:val="00EC5A36"/>
    <w:rsid w:val="00EC70C1"/>
    <w:rsid w:val="00EC74F1"/>
    <w:rsid w:val="00ED03B4"/>
    <w:rsid w:val="00ED0CE8"/>
    <w:rsid w:val="00ED18CD"/>
    <w:rsid w:val="00ED1A4B"/>
    <w:rsid w:val="00ED1AFD"/>
    <w:rsid w:val="00ED1B01"/>
    <w:rsid w:val="00ED2302"/>
    <w:rsid w:val="00ED6189"/>
    <w:rsid w:val="00ED66DF"/>
    <w:rsid w:val="00ED67EA"/>
    <w:rsid w:val="00ED6937"/>
    <w:rsid w:val="00ED7EF8"/>
    <w:rsid w:val="00EE0E7A"/>
    <w:rsid w:val="00EE19B4"/>
    <w:rsid w:val="00EE375B"/>
    <w:rsid w:val="00EE4035"/>
    <w:rsid w:val="00EE42F0"/>
    <w:rsid w:val="00EE45F0"/>
    <w:rsid w:val="00EE4FF8"/>
    <w:rsid w:val="00EE51CE"/>
    <w:rsid w:val="00EE562E"/>
    <w:rsid w:val="00EE56C6"/>
    <w:rsid w:val="00EE5918"/>
    <w:rsid w:val="00EE5CF7"/>
    <w:rsid w:val="00EE690E"/>
    <w:rsid w:val="00EE7423"/>
    <w:rsid w:val="00EE7FD6"/>
    <w:rsid w:val="00EF0AB5"/>
    <w:rsid w:val="00EF105F"/>
    <w:rsid w:val="00EF2D0F"/>
    <w:rsid w:val="00EF3931"/>
    <w:rsid w:val="00EF41F9"/>
    <w:rsid w:val="00EF44F7"/>
    <w:rsid w:val="00EF4C8B"/>
    <w:rsid w:val="00EF63F4"/>
    <w:rsid w:val="00EF640C"/>
    <w:rsid w:val="00EF6882"/>
    <w:rsid w:val="00EF6DA3"/>
    <w:rsid w:val="00EF7A4E"/>
    <w:rsid w:val="00F00054"/>
    <w:rsid w:val="00F00A91"/>
    <w:rsid w:val="00F019BD"/>
    <w:rsid w:val="00F02045"/>
    <w:rsid w:val="00F045D0"/>
    <w:rsid w:val="00F0462F"/>
    <w:rsid w:val="00F06E3C"/>
    <w:rsid w:val="00F075E1"/>
    <w:rsid w:val="00F07F19"/>
    <w:rsid w:val="00F102D3"/>
    <w:rsid w:val="00F10B1E"/>
    <w:rsid w:val="00F11C02"/>
    <w:rsid w:val="00F11E64"/>
    <w:rsid w:val="00F127F3"/>
    <w:rsid w:val="00F12D06"/>
    <w:rsid w:val="00F1316E"/>
    <w:rsid w:val="00F1543B"/>
    <w:rsid w:val="00F1614F"/>
    <w:rsid w:val="00F1643A"/>
    <w:rsid w:val="00F16736"/>
    <w:rsid w:val="00F167B7"/>
    <w:rsid w:val="00F16A90"/>
    <w:rsid w:val="00F1744E"/>
    <w:rsid w:val="00F17C2F"/>
    <w:rsid w:val="00F20575"/>
    <w:rsid w:val="00F219A4"/>
    <w:rsid w:val="00F21A4A"/>
    <w:rsid w:val="00F21F3D"/>
    <w:rsid w:val="00F22742"/>
    <w:rsid w:val="00F2283C"/>
    <w:rsid w:val="00F23267"/>
    <w:rsid w:val="00F239A1"/>
    <w:rsid w:val="00F24B05"/>
    <w:rsid w:val="00F2588F"/>
    <w:rsid w:val="00F30305"/>
    <w:rsid w:val="00F30717"/>
    <w:rsid w:val="00F31214"/>
    <w:rsid w:val="00F322B0"/>
    <w:rsid w:val="00F33122"/>
    <w:rsid w:val="00F33155"/>
    <w:rsid w:val="00F33AA6"/>
    <w:rsid w:val="00F34247"/>
    <w:rsid w:val="00F345F6"/>
    <w:rsid w:val="00F346B4"/>
    <w:rsid w:val="00F34BB3"/>
    <w:rsid w:val="00F353D9"/>
    <w:rsid w:val="00F35405"/>
    <w:rsid w:val="00F36CDF"/>
    <w:rsid w:val="00F4042D"/>
    <w:rsid w:val="00F40F22"/>
    <w:rsid w:val="00F415EA"/>
    <w:rsid w:val="00F41CD2"/>
    <w:rsid w:val="00F42205"/>
    <w:rsid w:val="00F43F00"/>
    <w:rsid w:val="00F455CB"/>
    <w:rsid w:val="00F4592B"/>
    <w:rsid w:val="00F45FCD"/>
    <w:rsid w:val="00F46447"/>
    <w:rsid w:val="00F47B65"/>
    <w:rsid w:val="00F50433"/>
    <w:rsid w:val="00F50C1F"/>
    <w:rsid w:val="00F52A2E"/>
    <w:rsid w:val="00F52DD2"/>
    <w:rsid w:val="00F5331C"/>
    <w:rsid w:val="00F537AE"/>
    <w:rsid w:val="00F5383E"/>
    <w:rsid w:val="00F53B8B"/>
    <w:rsid w:val="00F545D7"/>
    <w:rsid w:val="00F551ED"/>
    <w:rsid w:val="00F55BFE"/>
    <w:rsid w:val="00F55C14"/>
    <w:rsid w:val="00F56ECA"/>
    <w:rsid w:val="00F570F4"/>
    <w:rsid w:val="00F577A5"/>
    <w:rsid w:val="00F577E4"/>
    <w:rsid w:val="00F60AB6"/>
    <w:rsid w:val="00F6234A"/>
    <w:rsid w:val="00F64265"/>
    <w:rsid w:val="00F658E3"/>
    <w:rsid w:val="00F661FF"/>
    <w:rsid w:val="00F66ED5"/>
    <w:rsid w:val="00F67074"/>
    <w:rsid w:val="00F673C3"/>
    <w:rsid w:val="00F70109"/>
    <w:rsid w:val="00F713EB"/>
    <w:rsid w:val="00F725CA"/>
    <w:rsid w:val="00F7302C"/>
    <w:rsid w:val="00F73213"/>
    <w:rsid w:val="00F752DF"/>
    <w:rsid w:val="00F75F2E"/>
    <w:rsid w:val="00F76B4A"/>
    <w:rsid w:val="00F76FD5"/>
    <w:rsid w:val="00F77189"/>
    <w:rsid w:val="00F771B9"/>
    <w:rsid w:val="00F80BA6"/>
    <w:rsid w:val="00F81057"/>
    <w:rsid w:val="00F816EC"/>
    <w:rsid w:val="00F817EF"/>
    <w:rsid w:val="00F83157"/>
    <w:rsid w:val="00F8570A"/>
    <w:rsid w:val="00F85BA2"/>
    <w:rsid w:val="00F85DDF"/>
    <w:rsid w:val="00F86758"/>
    <w:rsid w:val="00F86E66"/>
    <w:rsid w:val="00F8721C"/>
    <w:rsid w:val="00F87A82"/>
    <w:rsid w:val="00F87E3D"/>
    <w:rsid w:val="00F90AEB"/>
    <w:rsid w:val="00F90D9A"/>
    <w:rsid w:val="00F916AC"/>
    <w:rsid w:val="00F92564"/>
    <w:rsid w:val="00F92C56"/>
    <w:rsid w:val="00F92F11"/>
    <w:rsid w:val="00F9300E"/>
    <w:rsid w:val="00F9596D"/>
    <w:rsid w:val="00F96167"/>
    <w:rsid w:val="00F97005"/>
    <w:rsid w:val="00F9714B"/>
    <w:rsid w:val="00F979AF"/>
    <w:rsid w:val="00F97C6C"/>
    <w:rsid w:val="00FA093E"/>
    <w:rsid w:val="00FA0B2A"/>
    <w:rsid w:val="00FA0FDA"/>
    <w:rsid w:val="00FA158E"/>
    <w:rsid w:val="00FA166D"/>
    <w:rsid w:val="00FA17CB"/>
    <w:rsid w:val="00FA1A54"/>
    <w:rsid w:val="00FA2270"/>
    <w:rsid w:val="00FA399F"/>
    <w:rsid w:val="00FA4352"/>
    <w:rsid w:val="00FA478A"/>
    <w:rsid w:val="00FA4A9F"/>
    <w:rsid w:val="00FA5E01"/>
    <w:rsid w:val="00FA5FD4"/>
    <w:rsid w:val="00FA6EF7"/>
    <w:rsid w:val="00FA6F0F"/>
    <w:rsid w:val="00FA7354"/>
    <w:rsid w:val="00FA7760"/>
    <w:rsid w:val="00FB1439"/>
    <w:rsid w:val="00FB1A4B"/>
    <w:rsid w:val="00FB21FE"/>
    <w:rsid w:val="00FB2647"/>
    <w:rsid w:val="00FB276B"/>
    <w:rsid w:val="00FB28A7"/>
    <w:rsid w:val="00FB3DF7"/>
    <w:rsid w:val="00FB40D7"/>
    <w:rsid w:val="00FB42B7"/>
    <w:rsid w:val="00FB451E"/>
    <w:rsid w:val="00FB47D0"/>
    <w:rsid w:val="00FB4D13"/>
    <w:rsid w:val="00FB6CB1"/>
    <w:rsid w:val="00FB7978"/>
    <w:rsid w:val="00FB7FDA"/>
    <w:rsid w:val="00FC0819"/>
    <w:rsid w:val="00FC13A4"/>
    <w:rsid w:val="00FC1607"/>
    <w:rsid w:val="00FC1C7C"/>
    <w:rsid w:val="00FC44C6"/>
    <w:rsid w:val="00FC44E2"/>
    <w:rsid w:val="00FC4682"/>
    <w:rsid w:val="00FC4885"/>
    <w:rsid w:val="00FC595C"/>
    <w:rsid w:val="00FC61A8"/>
    <w:rsid w:val="00FC7829"/>
    <w:rsid w:val="00FC7964"/>
    <w:rsid w:val="00FD1D26"/>
    <w:rsid w:val="00FD1D42"/>
    <w:rsid w:val="00FD2AFF"/>
    <w:rsid w:val="00FD3163"/>
    <w:rsid w:val="00FD3500"/>
    <w:rsid w:val="00FD5510"/>
    <w:rsid w:val="00FD598A"/>
    <w:rsid w:val="00FD6DBE"/>
    <w:rsid w:val="00FD796E"/>
    <w:rsid w:val="00FE00A9"/>
    <w:rsid w:val="00FE050F"/>
    <w:rsid w:val="00FE0527"/>
    <w:rsid w:val="00FE0E8E"/>
    <w:rsid w:val="00FE1230"/>
    <w:rsid w:val="00FE1D9D"/>
    <w:rsid w:val="00FE3AD7"/>
    <w:rsid w:val="00FE3B39"/>
    <w:rsid w:val="00FE4284"/>
    <w:rsid w:val="00FE4507"/>
    <w:rsid w:val="00FE55E9"/>
    <w:rsid w:val="00FE6370"/>
    <w:rsid w:val="00FE6B0E"/>
    <w:rsid w:val="00FE6B3D"/>
    <w:rsid w:val="00FE7615"/>
    <w:rsid w:val="00FE77E9"/>
    <w:rsid w:val="00FE7C79"/>
    <w:rsid w:val="00FF0EB8"/>
    <w:rsid w:val="00FF1A2C"/>
    <w:rsid w:val="00FF1C0A"/>
    <w:rsid w:val="00FF2019"/>
    <w:rsid w:val="00FF2D93"/>
    <w:rsid w:val="00FF38BC"/>
    <w:rsid w:val="00FF4A80"/>
    <w:rsid w:val="00FF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EBA91"/>
  <w15:docId w15:val="{98D196C7-AAEE-4E39-8CF4-386BF4F1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D1"/>
    <w:pPr>
      <w:spacing w:after="200" w:line="276" w:lineRule="auto"/>
    </w:pPr>
    <w:rPr>
      <w:sz w:val="22"/>
      <w:szCs w:val="22"/>
    </w:rPr>
  </w:style>
  <w:style w:type="paragraph" w:styleId="Heading2">
    <w:name w:val="heading 2"/>
    <w:basedOn w:val="Normal"/>
    <w:link w:val="Heading2Char"/>
    <w:uiPriority w:val="9"/>
    <w:qFormat/>
    <w:rsid w:val="00767BD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3F75E3"/>
    <w:pPr>
      <w:ind w:left="720"/>
      <w:contextualSpacing/>
    </w:pPr>
  </w:style>
  <w:style w:type="paragraph" w:styleId="Header">
    <w:name w:val="header"/>
    <w:basedOn w:val="Normal"/>
    <w:link w:val="HeaderChar"/>
    <w:uiPriority w:val="99"/>
    <w:unhideWhenUsed/>
    <w:rsid w:val="0039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07"/>
  </w:style>
  <w:style w:type="paragraph" w:styleId="Footer">
    <w:name w:val="footer"/>
    <w:basedOn w:val="Normal"/>
    <w:link w:val="FooterChar"/>
    <w:uiPriority w:val="99"/>
    <w:unhideWhenUsed/>
    <w:rsid w:val="0039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07"/>
  </w:style>
  <w:style w:type="paragraph" w:styleId="NoSpacing">
    <w:name w:val="No Spacing"/>
    <w:link w:val="NoSpacingChar"/>
    <w:uiPriority w:val="1"/>
    <w:qFormat/>
    <w:rsid w:val="005C1FD9"/>
    <w:rPr>
      <w:rFonts w:eastAsia="Times New Roman"/>
      <w:sz w:val="22"/>
      <w:szCs w:val="22"/>
    </w:rPr>
  </w:style>
  <w:style w:type="character" w:customStyle="1" w:styleId="NoSpacingChar">
    <w:name w:val="No Spacing Char"/>
    <w:link w:val="NoSpacing"/>
    <w:uiPriority w:val="1"/>
    <w:rsid w:val="005C1FD9"/>
    <w:rPr>
      <w:rFonts w:eastAsia="Times New Roman"/>
    </w:rPr>
  </w:style>
  <w:style w:type="paragraph" w:customStyle="1" w:styleId="textmain">
    <w:name w:val="textmain"/>
    <w:basedOn w:val="Normal"/>
    <w:rsid w:val="00DE7403"/>
    <w:pPr>
      <w:spacing w:after="100" w:afterAutospacing="1" w:line="160" w:lineRule="atLeast"/>
      <w:ind w:firstLine="300"/>
      <w:jc w:val="both"/>
    </w:pPr>
    <w:rPr>
      <w:rFonts w:ascii="Times New Roman" w:eastAsia="Times New Roman" w:hAnsi="Times New Roman"/>
      <w:color w:val="000000"/>
      <w:sz w:val="14"/>
      <w:szCs w:val="14"/>
    </w:rPr>
  </w:style>
  <w:style w:type="table" w:customStyle="1" w:styleId="GridTable1Light1">
    <w:name w:val="Grid Table 1 Light1"/>
    <w:basedOn w:val="TableNormal"/>
    <w:uiPriority w:val="46"/>
    <w:rsid w:val="002923A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yperlink">
    <w:name w:val="Hyperlink"/>
    <w:uiPriority w:val="99"/>
    <w:rsid w:val="00570FB7"/>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D668B6"/>
  </w:style>
  <w:style w:type="paragraph" w:styleId="BalloonText">
    <w:name w:val="Balloon Text"/>
    <w:basedOn w:val="Normal"/>
    <w:link w:val="BalloonTextChar"/>
    <w:uiPriority w:val="99"/>
    <w:semiHidden/>
    <w:unhideWhenUsed/>
    <w:rsid w:val="00887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F65"/>
    <w:rPr>
      <w:rFonts w:ascii="Segoe UI" w:hAnsi="Segoe UI" w:cs="Segoe UI"/>
      <w:sz w:val="18"/>
      <w:szCs w:val="18"/>
    </w:rPr>
  </w:style>
  <w:style w:type="paragraph" w:customStyle="1" w:styleId="xmsonormal">
    <w:name w:val="x_msonormal"/>
    <w:basedOn w:val="Normal"/>
    <w:rsid w:val="00592EE4"/>
    <w:pPr>
      <w:spacing w:after="0" w:line="240" w:lineRule="auto"/>
    </w:pPr>
    <w:rPr>
      <w:rFonts w:ascii="Times New Roman" w:hAnsi="Times New Roman"/>
      <w:sz w:val="24"/>
      <w:szCs w:val="24"/>
    </w:rPr>
  </w:style>
  <w:style w:type="paragraph" w:styleId="PlainText">
    <w:name w:val="Plain Text"/>
    <w:basedOn w:val="Normal"/>
    <w:link w:val="PlainTextChar"/>
    <w:uiPriority w:val="99"/>
    <w:unhideWhenUsed/>
    <w:rsid w:val="00410615"/>
    <w:pPr>
      <w:spacing w:after="0" w:line="240" w:lineRule="auto"/>
    </w:pPr>
    <w:rPr>
      <w:szCs w:val="21"/>
    </w:rPr>
  </w:style>
  <w:style w:type="character" w:customStyle="1" w:styleId="PlainTextChar">
    <w:name w:val="Plain Text Char"/>
    <w:link w:val="PlainText"/>
    <w:uiPriority w:val="99"/>
    <w:rsid w:val="00410615"/>
    <w:rPr>
      <w:rFonts w:ascii="Calibri" w:hAnsi="Calibri"/>
      <w:szCs w:val="21"/>
    </w:rPr>
  </w:style>
  <w:style w:type="character" w:styleId="CommentReference">
    <w:name w:val="annotation reference"/>
    <w:uiPriority w:val="99"/>
    <w:semiHidden/>
    <w:unhideWhenUsed/>
    <w:rsid w:val="00755A35"/>
    <w:rPr>
      <w:sz w:val="16"/>
      <w:szCs w:val="16"/>
    </w:rPr>
  </w:style>
  <w:style w:type="paragraph" w:styleId="CommentText">
    <w:name w:val="annotation text"/>
    <w:basedOn w:val="Normal"/>
    <w:link w:val="CommentTextChar"/>
    <w:uiPriority w:val="99"/>
    <w:unhideWhenUsed/>
    <w:rsid w:val="00755A35"/>
    <w:pPr>
      <w:spacing w:line="240" w:lineRule="auto"/>
    </w:pPr>
    <w:rPr>
      <w:sz w:val="20"/>
      <w:szCs w:val="20"/>
    </w:rPr>
  </w:style>
  <w:style w:type="character" w:customStyle="1" w:styleId="CommentTextChar">
    <w:name w:val="Comment Text Char"/>
    <w:link w:val="CommentText"/>
    <w:uiPriority w:val="99"/>
    <w:rsid w:val="00755A35"/>
    <w:rPr>
      <w:sz w:val="20"/>
      <w:szCs w:val="20"/>
    </w:rPr>
  </w:style>
  <w:style w:type="paragraph" w:styleId="CommentSubject">
    <w:name w:val="annotation subject"/>
    <w:basedOn w:val="CommentText"/>
    <w:next w:val="CommentText"/>
    <w:link w:val="CommentSubjectChar"/>
    <w:uiPriority w:val="99"/>
    <w:semiHidden/>
    <w:unhideWhenUsed/>
    <w:rsid w:val="00755A35"/>
    <w:rPr>
      <w:b/>
      <w:bCs/>
    </w:rPr>
  </w:style>
  <w:style w:type="character" w:customStyle="1" w:styleId="CommentSubjectChar">
    <w:name w:val="Comment Subject Char"/>
    <w:link w:val="CommentSubject"/>
    <w:uiPriority w:val="99"/>
    <w:semiHidden/>
    <w:rsid w:val="00755A35"/>
    <w:rPr>
      <w:b/>
      <w:bCs/>
      <w:sz w:val="20"/>
      <w:szCs w:val="20"/>
    </w:rPr>
  </w:style>
  <w:style w:type="paragraph" w:styleId="Revision">
    <w:name w:val="Revision"/>
    <w:hidden/>
    <w:uiPriority w:val="99"/>
    <w:semiHidden/>
    <w:rsid w:val="00F53B8B"/>
    <w:rPr>
      <w:sz w:val="22"/>
      <w:szCs w:val="22"/>
    </w:rPr>
  </w:style>
  <w:style w:type="character" w:customStyle="1" w:styleId="SingleTxtChar">
    <w:name w:val="__Single Txt Char"/>
    <w:link w:val="SingleTxt"/>
    <w:locked/>
    <w:rsid w:val="00FA166D"/>
    <w:rPr>
      <w:rFonts w:ascii="Times New Roman" w:eastAsia="Times New Roman" w:hAnsi="Times New Roman" w:cs="Times New Roman"/>
      <w:spacing w:val="4"/>
      <w:w w:val="103"/>
      <w:kern w:val="14"/>
      <w:sz w:val="20"/>
      <w:szCs w:val="20"/>
      <w:lang w:val="en-GB"/>
    </w:rPr>
  </w:style>
  <w:style w:type="paragraph" w:customStyle="1" w:styleId="SingleTxt">
    <w:name w:val="__Single Txt"/>
    <w:basedOn w:val="Normal"/>
    <w:link w:val="SingleTxtChar"/>
    <w:rsid w:val="00FA166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Default">
    <w:name w:val="Default"/>
    <w:rsid w:val="003C4A6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872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Tegn1"/>
    <w:basedOn w:val="Normal"/>
    <w:link w:val="FootnoteTextChar"/>
    <w:uiPriority w:val="99"/>
    <w:unhideWhenUsed/>
    <w:qFormat/>
    <w:rsid w:val="00A12116"/>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A12116"/>
    <w:rPr>
      <w:rFonts w:eastAsiaTheme="minorHAnsi"/>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FO"/>
    <w:basedOn w:val="DefaultParagraphFont"/>
    <w:link w:val="BVIfnrCarCar"/>
    <w:uiPriority w:val="99"/>
    <w:unhideWhenUsed/>
    <w:qFormat/>
    <w:rsid w:val="00A12116"/>
    <w:rPr>
      <w:vertAlign w:val="superscript"/>
    </w:rPr>
  </w:style>
  <w:style w:type="paragraph" w:customStyle="1" w:styleId="BVIfnrCarCar">
    <w:name w:val="BVI fnr Car Car"/>
    <w:aliases w:val="BVI fnr Car,BVI fnr Car Car Car Car"/>
    <w:basedOn w:val="Normal"/>
    <w:link w:val="FootnoteReference"/>
    <w:uiPriority w:val="99"/>
    <w:rsid w:val="00686DD1"/>
    <w:pPr>
      <w:spacing w:after="160" w:line="240" w:lineRule="exact"/>
    </w:pPr>
    <w:rPr>
      <w:sz w:val="20"/>
      <w:szCs w:val="20"/>
      <w:vertAlign w:val="superscript"/>
    </w:rPr>
  </w:style>
  <w:style w:type="table" w:styleId="TableGrid">
    <w:name w:val="Table Grid"/>
    <w:basedOn w:val="TableNormal"/>
    <w:uiPriority w:val="39"/>
    <w:rsid w:val="00B717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rsid w:val="004531E4"/>
  </w:style>
  <w:style w:type="paragraph" w:styleId="EndnoteText">
    <w:name w:val="endnote text"/>
    <w:basedOn w:val="Normal"/>
    <w:link w:val="EndnoteTextChar"/>
    <w:uiPriority w:val="99"/>
    <w:semiHidden/>
    <w:unhideWhenUsed/>
    <w:rsid w:val="00D1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5316"/>
  </w:style>
  <w:style w:type="character" w:styleId="EndnoteReference">
    <w:name w:val="endnote reference"/>
    <w:basedOn w:val="DefaultParagraphFont"/>
    <w:uiPriority w:val="99"/>
    <w:semiHidden/>
    <w:unhideWhenUsed/>
    <w:rsid w:val="00D15316"/>
    <w:rPr>
      <w:vertAlign w:val="superscript"/>
    </w:rPr>
  </w:style>
  <w:style w:type="paragraph" w:customStyle="1" w:styleId="ColorfulShading-Accent31">
    <w:name w:val="Colorful Shading - Accent 31"/>
    <w:basedOn w:val="Normal"/>
    <w:uiPriority w:val="34"/>
    <w:qFormat/>
    <w:rsid w:val="00D11CA7"/>
    <w:pPr>
      <w:ind w:left="720"/>
      <w:contextualSpacing/>
    </w:pPr>
  </w:style>
  <w:style w:type="paragraph" w:customStyle="1" w:styleId="level2">
    <w:name w:val="_level2"/>
    <w:rsid w:val="00EF0A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 w:val="24"/>
      <w:szCs w:val="24"/>
    </w:rPr>
  </w:style>
  <w:style w:type="character" w:customStyle="1" w:styleId="st">
    <w:name w:val="st"/>
    <w:basedOn w:val="DefaultParagraphFont"/>
    <w:rsid w:val="006B2C93"/>
  </w:style>
  <w:style w:type="character" w:styleId="FollowedHyperlink">
    <w:name w:val="FollowedHyperlink"/>
    <w:basedOn w:val="DefaultParagraphFont"/>
    <w:uiPriority w:val="99"/>
    <w:semiHidden/>
    <w:unhideWhenUsed/>
    <w:rsid w:val="00B3524D"/>
    <w:rPr>
      <w:color w:val="954F72" w:themeColor="followedHyperlink"/>
      <w:u w:val="single"/>
    </w:rPr>
  </w:style>
  <w:style w:type="character" w:styleId="Strong">
    <w:name w:val="Strong"/>
    <w:basedOn w:val="DefaultParagraphFont"/>
    <w:uiPriority w:val="22"/>
    <w:qFormat/>
    <w:rsid w:val="00AC53AA"/>
    <w:rPr>
      <w:b/>
      <w:bCs/>
    </w:rPr>
  </w:style>
  <w:style w:type="paragraph" w:customStyle="1" w:styleId="BodyText-1">
    <w:name w:val="Body Text-1"/>
    <w:basedOn w:val="Normal"/>
    <w:next w:val="BodyText"/>
    <w:qFormat/>
    <w:rsid w:val="007D2F73"/>
    <w:pPr>
      <w:numPr>
        <w:numId w:val="4"/>
      </w:numPr>
      <w:tabs>
        <w:tab w:val="left" w:pos="540"/>
        <w:tab w:val="left" w:pos="810"/>
        <w:tab w:val="left" w:pos="8100"/>
      </w:tabs>
      <w:spacing w:before="240" w:after="120" w:line="240" w:lineRule="auto"/>
      <w:ind w:right="810"/>
      <w:jc w:val="both"/>
    </w:pPr>
    <w:rPr>
      <w:rFonts w:ascii="Times New Roman" w:hAnsi="Times New Roman"/>
      <w:sz w:val="20"/>
      <w:szCs w:val="20"/>
      <w:lang w:val="en-GB" w:eastAsia="x-none"/>
    </w:rPr>
  </w:style>
  <w:style w:type="paragraph" w:styleId="BodyText">
    <w:name w:val="Body Text"/>
    <w:basedOn w:val="Normal"/>
    <w:link w:val="BodyTextChar"/>
    <w:uiPriority w:val="99"/>
    <w:semiHidden/>
    <w:unhideWhenUsed/>
    <w:rsid w:val="007D2F73"/>
    <w:pPr>
      <w:spacing w:after="120"/>
    </w:pPr>
  </w:style>
  <w:style w:type="character" w:customStyle="1" w:styleId="BodyTextChar">
    <w:name w:val="Body Text Char"/>
    <w:basedOn w:val="DefaultParagraphFont"/>
    <w:link w:val="BodyText"/>
    <w:uiPriority w:val="99"/>
    <w:semiHidden/>
    <w:rsid w:val="007D2F73"/>
    <w:rPr>
      <w:sz w:val="22"/>
      <w:szCs w:val="22"/>
    </w:rPr>
  </w:style>
  <w:style w:type="character" w:customStyle="1" w:styleId="EmailStyle24">
    <w:name w:val="EmailStyle24"/>
    <w:basedOn w:val="DefaultParagraphFont"/>
    <w:semiHidden/>
    <w:rsid w:val="00317753"/>
    <w:rPr>
      <w:rFonts w:ascii="Arial" w:hAnsi="Arial" w:cs="Arial" w:hint="default"/>
      <w:color w:val="000000"/>
    </w:rPr>
  </w:style>
  <w:style w:type="paragraph" w:customStyle="1" w:styleId="Char2">
    <w:name w:val="Char2"/>
    <w:basedOn w:val="Normal"/>
    <w:uiPriority w:val="99"/>
    <w:rsid w:val="00932767"/>
    <w:pPr>
      <w:spacing w:after="160" w:line="240" w:lineRule="exact"/>
    </w:pPr>
    <w:rPr>
      <w:rFonts w:ascii="Times New Roman" w:eastAsia="Times New Roman" w:hAnsi="Times New Roman"/>
      <w:sz w:val="20"/>
      <w:szCs w:val="20"/>
      <w:vertAlign w:val="superscript"/>
      <w:lang w:val="en-GB" w:eastAsia="en-GB"/>
    </w:rPr>
  </w:style>
  <w:style w:type="paragraph" w:customStyle="1" w:styleId="ADRTextBulletL2">
    <w:name w:val="ADR_Text_Bullet_L2"/>
    <w:basedOn w:val="Normal"/>
    <w:link w:val="ADRTextBulletL2Char"/>
    <w:qFormat/>
    <w:rsid w:val="008C5F90"/>
    <w:pPr>
      <w:spacing w:before="120" w:after="120"/>
      <w:jc w:val="both"/>
    </w:pPr>
    <w:rPr>
      <w:rFonts w:eastAsia="Times New Roman"/>
      <w:szCs w:val="20"/>
      <w:lang w:val="en-GB" w:bidi="en-US"/>
    </w:rPr>
  </w:style>
  <w:style w:type="character" w:customStyle="1" w:styleId="ADRTextBulletL2Char">
    <w:name w:val="ADR_Text_Bullet_L2 Char"/>
    <w:basedOn w:val="DefaultParagraphFont"/>
    <w:link w:val="ADRTextBulletL2"/>
    <w:rsid w:val="008C5F90"/>
    <w:rPr>
      <w:rFonts w:eastAsia="Times New Roman"/>
      <w:sz w:val="22"/>
      <w:lang w:val="en-GB" w:bidi="en-US"/>
    </w:rPr>
  </w:style>
  <w:style w:type="character" w:customStyle="1" w:styleId="Heading2Char">
    <w:name w:val="Heading 2 Char"/>
    <w:basedOn w:val="DefaultParagraphFont"/>
    <w:link w:val="Heading2"/>
    <w:uiPriority w:val="9"/>
    <w:rsid w:val="00767BD1"/>
    <w:rPr>
      <w:rFonts w:ascii="Times New Roman" w:eastAsia="Times New Roman" w:hAnsi="Times New Roman"/>
      <w:b/>
      <w:bCs/>
      <w:sz w:val="36"/>
      <w:szCs w:val="36"/>
    </w:rPr>
  </w:style>
  <w:style w:type="character" w:customStyle="1" w:styleId="entry-title">
    <w:name w:val="entry-title"/>
    <w:basedOn w:val="DefaultParagraphFont"/>
    <w:rsid w:val="00767BD1"/>
  </w:style>
  <w:style w:type="character" w:styleId="UnresolvedMention">
    <w:name w:val="Unresolved Mention"/>
    <w:basedOn w:val="DefaultParagraphFont"/>
    <w:uiPriority w:val="99"/>
    <w:semiHidden/>
    <w:unhideWhenUsed/>
    <w:rsid w:val="0078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0945">
      <w:bodyDiv w:val="1"/>
      <w:marLeft w:val="0"/>
      <w:marRight w:val="0"/>
      <w:marTop w:val="0"/>
      <w:marBottom w:val="0"/>
      <w:divBdr>
        <w:top w:val="none" w:sz="0" w:space="0" w:color="auto"/>
        <w:left w:val="none" w:sz="0" w:space="0" w:color="auto"/>
        <w:bottom w:val="none" w:sz="0" w:space="0" w:color="auto"/>
        <w:right w:val="none" w:sz="0" w:space="0" w:color="auto"/>
      </w:divBdr>
    </w:div>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131559664">
      <w:bodyDiv w:val="1"/>
      <w:marLeft w:val="0"/>
      <w:marRight w:val="0"/>
      <w:marTop w:val="0"/>
      <w:marBottom w:val="0"/>
      <w:divBdr>
        <w:top w:val="none" w:sz="0" w:space="0" w:color="auto"/>
        <w:left w:val="none" w:sz="0" w:space="0" w:color="auto"/>
        <w:bottom w:val="none" w:sz="0" w:space="0" w:color="auto"/>
        <w:right w:val="none" w:sz="0" w:space="0" w:color="auto"/>
      </w:divBdr>
    </w:div>
    <w:div w:id="136459884">
      <w:bodyDiv w:val="1"/>
      <w:marLeft w:val="0"/>
      <w:marRight w:val="0"/>
      <w:marTop w:val="0"/>
      <w:marBottom w:val="0"/>
      <w:divBdr>
        <w:top w:val="none" w:sz="0" w:space="0" w:color="auto"/>
        <w:left w:val="none" w:sz="0" w:space="0" w:color="auto"/>
        <w:bottom w:val="none" w:sz="0" w:space="0" w:color="auto"/>
        <w:right w:val="none" w:sz="0" w:space="0" w:color="auto"/>
      </w:divBdr>
      <w:divsChild>
        <w:div w:id="330908930">
          <w:marLeft w:val="547"/>
          <w:marRight w:val="0"/>
          <w:marTop w:val="0"/>
          <w:marBottom w:val="160"/>
          <w:divBdr>
            <w:top w:val="none" w:sz="0" w:space="0" w:color="auto"/>
            <w:left w:val="none" w:sz="0" w:space="0" w:color="auto"/>
            <w:bottom w:val="none" w:sz="0" w:space="0" w:color="auto"/>
            <w:right w:val="none" w:sz="0" w:space="0" w:color="auto"/>
          </w:divBdr>
        </w:div>
        <w:div w:id="395788375">
          <w:marLeft w:val="547"/>
          <w:marRight w:val="0"/>
          <w:marTop w:val="200"/>
          <w:marBottom w:val="160"/>
          <w:divBdr>
            <w:top w:val="none" w:sz="0" w:space="0" w:color="auto"/>
            <w:left w:val="none" w:sz="0" w:space="0" w:color="auto"/>
            <w:bottom w:val="none" w:sz="0" w:space="0" w:color="auto"/>
            <w:right w:val="none" w:sz="0" w:space="0" w:color="auto"/>
          </w:divBdr>
        </w:div>
        <w:div w:id="447047089">
          <w:marLeft w:val="547"/>
          <w:marRight w:val="0"/>
          <w:marTop w:val="200"/>
          <w:marBottom w:val="160"/>
          <w:divBdr>
            <w:top w:val="none" w:sz="0" w:space="0" w:color="auto"/>
            <w:left w:val="none" w:sz="0" w:space="0" w:color="auto"/>
            <w:bottom w:val="none" w:sz="0" w:space="0" w:color="auto"/>
            <w:right w:val="none" w:sz="0" w:space="0" w:color="auto"/>
          </w:divBdr>
        </w:div>
        <w:div w:id="730349359">
          <w:marLeft w:val="547"/>
          <w:marRight w:val="0"/>
          <w:marTop w:val="0"/>
          <w:marBottom w:val="160"/>
          <w:divBdr>
            <w:top w:val="none" w:sz="0" w:space="0" w:color="auto"/>
            <w:left w:val="none" w:sz="0" w:space="0" w:color="auto"/>
            <w:bottom w:val="none" w:sz="0" w:space="0" w:color="auto"/>
            <w:right w:val="none" w:sz="0" w:space="0" w:color="auto"/>
          </w:divBdr>
        </w:div>
      </w:divsChild>
    </w:div>
    <w:div w:id="137115194">
      <w:bodyDiv w:val="1"/>
      <w:marLeft w:val="0"/>
      <w:marRight w:val="0"/>
      <w:marTop w:val="0"/>
      <w:marBottom w:val="0"/>
      <w:divBdr>
        <w:top w:val="none" w:sz="0" w:space="0" w:color="auto"/>
        <w:left w:val="none" w:sz="0" w:space="0" w:color="auto"/>
        <w:bottom w:val="none" w:sz="0" w:space="0" w:color="auto"/>
        <w:right w:val="none" w:sz="0" w:space="0" w:color="auto"/>
      </w:divBdr>
    </w:div>
    <w:div w:id="155535657">
      <w:bodyDiv w:val="1"/>
      <w:marLeft w:val="0"/>
      <w:marRight w:val="0"/>
      <w:marTop w:val="0"/>
      <w:marBottom w:val="0"/>
      <w:divBdr>
        <w:top w:val="none" w:sz="0" w:space="0" w:color="auto"/>
        <w:left w:val="none" w:sz="0" w:space="0" w:color="auto"/>
        <w:bottom w:val="none" w:sz="0" w:space="0" w:color="auto"/>
        <w:right w:val="none" w:sz="0" w:space="0" w:color="auto"/>
      </w:divBdr>
    </w:div>
    <w:div w:id="263805412">
      <w:bodyDiv w:val="1"/>
      <w:marLeft w:val="0"/>
      <w:marRight w:val="0"/>
      <w:marTop w:val="0"/>
      <w:marBottom w:val="0"/>
      <w:divBdr>
        <w:top w:val="none" w:sz="0" w:space="0" w:color="auto"/>
        <w:left w:val="none" w:sz="0" w:space="0" w:color="auto"/>
        <w:bottom w:val="none" w:sz="0" w:space="0" w:color="auto"/>
        <w:right w:val="none" w:sz="0" w:space="0" w:color="auto"/>
      </w:divBdr>
    </w:div>
    <w:div w:id="287668956">
      <w:bodyDiv w:val="1"/>
      <w:marLeft w:val="0"/>
      <w:marRight w:val="0"/>
      <w:marTop w:val="0"/>
      <w:marBottom w:val="0"/>
      <w:divBdr>
        <w:top w:val="none" w:sz="0" w:space="0" w:color="auto"/>
        <w:left w:val="none" w:sz="0" w:space="0" w:color="auto"/>
        <w:bottom w:val="none" w:sz="0" w:space="0" w:color="auto"/>
        <w:right w:val="none" w:sz="0" w:space="0" w:color="auto"/>
      </w:divBdr>
    </w:div>
    <w:div w:id="301421155">
      <w:bodyDiv w:val="1"/>
      <w:marLeft w:val="0"/>
      <w:marRight w:val="0"/>
      <w:marTop w:val="0"/>
      <w:marBottom w:val="0"/>
      <w:divBdr>
        <w:top w:val="none" w:sz="0" w:space="0" w:color="auto"/>
        <w:left w:val="none" w:sz="0" w:space="0" w:color="auto"/>
        <w:bottom w:val="none" w:sz="0" w:space="0" w:color="auto"/>
        <w:right w:val="none" w:sz="0" w:space="0" w:color="auto"/>
      </w:divBdr>
    </w:div>
    <w:div w:id="303976320">
      <w:bodyDiv w:val="1"/>
      <w:marLeft w:val="0"/>
      <w:marRight w:val="0"/>
      <w:marTop w:val="0"/>
      <w:marBottom w:val="0"/>
      <w:divBdr>
        <w:top w:val="none" w:sz="0" w:space="0" w:color="auto"/>
        <w:left w:val="none" w:sz="0" w:space="0" w:color="auto"/>
        <w:bottom w:val="none" w:sz="0" w:space="0" w:color="auto"/>
        <w:right w:val="none" w:sz="0" w:space="0" w:color="auto"/>
      </w:divBdr>
    </w:div>
    <w:div w:id="315958471">
      <w:bodyDiv w:val="1"/>
      <w:marLeft w:val="0"/>
      <w:marRight w:val="0"/>
      <w:marTop w:val="0"/>
      <w:marBottom w:val="0"/>
      <w:divBdr>
        <w:top w:val="none" w:sz="0" w:space="0" w:color="auto"/>
        <w:left w:val="none" w:sz="0" w:space="0" w:color="auto"/>
        <w:bottom w:val="none" w:sz="0" w:space="0" w:color="auto"/>
        <w:right w:val="none" w:sz="0" w:space="0" w:color="auto"/>
      </w:divBdr>
    </w:div>
    <w:div w:id="321783843">
      <w:bodyDiv w:val="1"/>
      <w:marLeft w:val="0"/>
      <w:marRight w:val="0"/>
      <w:marTop w:val="0"/>
      <w:marBottom w:val="0"/>
      <w:divBdr>
        <w:top w:val="none" w:sz="0" w:space="0" w:color="auto"/>
        <w:left w:val="none" w:sz="0" w:space="0" w:color="auto"/>
        <w:bottom w:val="none" w:sz="0" w:space="0" w:color="auto"/>
        <w:right w:val="none" w:sz="0" w:space="0" w:color="auto"/>
      </w:divBdr>
    </w:div>
    <w:div w:id="334654755">
      <w:bodyDiv w:val="1"/>
      <w:marLeft w:val="0"/>
      <w:marRight w:val="0"/>
      <w:marTop w:val="0"/>
      <w:marBottom w:val="0"/>
      <w:divBdr>
        <w:top w:val="none" w:sz="0" w:space="0" w:color="auto"/>
        <w:left w:val="none" w:sz="0" w:space="0" w:color="auto"/>
        <w:bottom w:val="none" w:sz="0" w:space="0" w:color="auto"/>
        <w:right w:val="none" w:sz="0" w:space="0" w:color="auto"/>
      </w:divBdr>
    </w:div>
    <w:div w:id="335771514">
      <w:bodyDiv w:val="1"/>
      <w:marLeft w:val="0"/>
      <w:marRight w:val="0"/>
      <w:marTop w:val="0"/>
      <w:marBottom w:val="0"/>
      <w:divBdr>
        <w:top w:val="none" w:sz="0" w:space="0" w:color="auto"/>
        <w:left w:val="none" w:sz="0" w:space="0" w:color="auto"/>
        <w:bottom w:val="none" w:sz="0" w:space="0" w:color="auto"/>
        <w:right w:val="none" w:sz="0" w:space="0" w:color="auto"/>
      </w:divBdr>
    </w:div>
    <w:div w:id="362905056">
      <w:bodyDiv w:val="1"/>
      <w:marLeft w:val="0"/>
      <w:marRight w:val="0"/>
      <w:marTop w:val="0"/>
      <w:marBottom w:val="0"/>
      <w:divBdr>
        <w:top w:val="none" w:sz="0" w:space="0" w:color="auto"/>
        <w:left w:val="none" w:sz="0" w:space="0" w:color="auto"/>
        <w:bottom w:val="none" w:sz="0" w:space="0" w:color="auto"/>
        <w:right w:val="none" w:sz="0" w:space="0" w:color="auto"/>
      </w:divBdr>
    </w:div>
    <w:div w:id="372928595">
      <w:bodyDiv w:val="1"/>
      <w:marLeft w:val="0"/>
      <w:marRight w:val="0"/>
      <w:marTop w:val="0"/>
      <w:marBottom w:val="0"/>
      <w:divBdr>
        <w:top w:val="none" w:sz="0" w:space="0" w:color="auto"/>
        <w:left w:val="none" w:sz="0" w:space="0" w:color="auto"/>
        <w:bottom w:val="none" w:sz="0" w:space="0" w:color="auto"/>
        <w:right w:val="none" w:sz="0" w:space="0" w:color="auto"/>
      </w:divBdr>
    </w:div>
    <w:div w:id="376441236">
      <w:bodyDiv w:val="1"/>
      <w:marLeft w:val="0"/>
      <w:marRight w:val="0"/>
      <w:marTop w:val="0"/>
      <w:marBottom w:val="0"/>
      <w:divBdr>
        <w:top w:val="none" w:sz="0" w:space="0" w:color="auto"/>
        <w:left w:val="none" w:sz="0" w:space="0" w:color="auto"/>
        <w:bottom w:val="none" w:sz="0" w:space="0" w:color="auto"/>
        <w:right w:val="none" w:sz="0" w:space="0" w:color="auto"/>
      </w:divBdr>
    </w:div>
    <w:div w:id="418798653">
      <w:bodyDiv w:val="1"/>
      <w:marLeft w:val="0"/>
      <w:marRight w:val="0"/>
      <w:marTop w:val="0"/>
      <w:marBottom w:val="0"/>
      <w:divBdr>
        <w:top w:val="none" w:sz="0" w:space="0" w:color="auto"/>
        <w:left w:val="none" w:sz="0" w:space="0" w:color="auto"/>
        <w:bottom w:val="none" w:sz="0" w:space="0" w:color="auto"/>
        <w:right w:val="none" w:sz="0" w:space="0" w:color="auto"/>
      </w:divBdr>
    </w:div>
    <w:div w:id="429665352">
      <w:bodyDiv w:val="1"/>
      <w:marLeft w:val="0"/>
      <w:marRight w:val="0"/>
      <w:marTop w:val="0"/>
      <w:marBottom w:val="0"/>
      <w:divBdr>
        <w:top w:val="none" w:sz="0" w:space="0" w:color="auto"/>
        <w:left w:val="none" w:sz="0" w:space="0" w:color="auto"/>
        <w:bottom w:val="none" w:sz="0" w:space="0" w:color="auto"/>
        <w:right w:val="none" w:sz="0" w:space="0" w:color="auto"/>
      </w:divBdr>
    </w:div>
    <w:div w:id="445271642">
      <w:bodyDiv w:val="1"/>
      <w:marLeft w:val="0"/>
      <w:marRight w:val="0"/>
      <w:marTop w:val="0"/>
      <w:marBottom w:val="0"/>
      <w:divBdr>
        <w:top w:val="none" w:sz="0" w:space="0" w:color="auto"/>
        <w:left w:val="none" w:sz="0" w:space="0" w:color="auto"/>
        <w:bottom w:val="none" w:sz="0" w:space="0" w:color="auto"/>
        <w:right w:val="none" w:sz="0" w:space="0" w:color="auto"/>
      </w:divBdr>
    </w:div>
    <w:div w:id="450443907">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507332099">
      <w:bodyDiv w:val="1"/>
      <w:marLeft w:val="0"/>
      <w:marRight w:val="0"/>
      <w:marTop w:val="0"/>
      <w:marBottom w:val="0"/>
      <w:divBdr>
        <w:top w:val="none" w:sz="0" w:space="0" w:color="auto"/>
        <w:left w:val="none" w:sz="0" w:space="0" w:color="auto"/>
        <w:bottom w:val="none" w:sz="0" w:space="0" w:color="auto"/>
        <w:right w:val="none" w:sz="0" w:space="0" w:color="auto"/>
      </w:divBdr>
    </w:div>
    <w:div w:id="507335456">
      <w:bodyDiv w:val="1"/>
      <w:marLeft w:val="0"/>
      <w:marRight w:val="0"/>
      <w:marTop w:val="0"/>
      <w:marBottom w:val="0"/>
      <w:divBdr>
        <w:top w:val="none" w:sz="0" w:space="0" w:color="auto"/>
        <w:left w:val="none" w:sz="0" w:space="0" w:color="auto"/>
        <w:bottom w:val="none" w:sz="0" w:space="0" w:color="auto"/>
        <w:right w:val="none" w:sz="0" w:space="0" w:color="auto"/>
      </w:divBdr>
    </w:div>
    <w:div w:id="606236061">
      <w:bodyDiv w:val="1"/>
      <w:marLeft w:val="0"/>
      <w:marRight w:val="0"/>
      <w:marTop w:val="0"/>
      <w:marBottom w:val="0"/>
      <w:divBdr>
        <w:top w:val="none" w:sz="0" w:space="0" w:color="auto"/>
        <w:left w:val="none" w:sz="0" w:space="0" w:color="auto"/>
        <w:bottom w:val="none" w:sz="0" w:space="0" w:color="auto"/>
        <w:right w:val="none" w:sz="0" w:space="0" w:color="auto"/>
      </w:divBdr>
    </w:div>
    <w:div w:id="623078325">
      <w:bodyDiv w:val="1"/>
      <w:marLeft w:val="0"/>
      <w:marRight w:val="0"/>
      <w:marTop w:val="0"/>
      <w:marBottom w:val="0"/>
      <w:divBdr>
        <w:top w:val="none" w:sz="0" w:space="0" w:color="auto"/>
        <w:left w:val="none" w:sz="0" w:space="0" w:color="auto"/>
        <w:bottom w:val="none" w:sz="0" w:space="0" w:color="auto"/>
        <w:right w:val="none" w:sz="0" w:space="0" w:color="auto"/>
      </w:divBdr>
    </w:div>
    <w:div w:id="649755001">
      <w:bodyDiv w:val="1"/>
      <w:marLeft w:val="0"/>
      <w:marRight w:val="0"/>
      <w:marTop w:val="0"/>
      <w:marBottom w:val="0"/>
      <w:divBdr>
        <w:top w:val="none" w:sz="0" w:space="0" w:color="auto"/>
        <w:left w:val="none" w:sz="0" w:space="0" w:color="auto"/>
        <w:bottom w:val="none" w:sz="0" w:space="0" w:color="auto"/>
        <w:right w:val="none" w:sz="0" w:space="0" w:color="auto"/>
      </w:divBdr>
    </w:div>
    <w:div w:id="680858725">
      <w:bodyDiv w:val="1"/>
      <w:marLeft w:val="0"/>
      <w:marRight w:val="0"/>
      <w:marTop w:val="0"/>
      <w:marBottom w:val="0"/>
      <w:divBdr>
        <w:top w:val="none" w:sz="0" w:space="0" w:color="auto"/>
        <w:left w:val="none" w:sz="0" w:space="0" w:color="auto"/>
        <w:bottom w:val="none" w:sz="0" w:space="0" w:color="auto"/>
        <w:right w:val="none" w:sz="0" w:space="0" w:color="auto"/>
      </w:divBdr>
    </w:div>
    <w:div w:id="708453589">
      <w:bodyDiv w:val="1"/>
      <w:marLeft w:val="0"/>
      <w:marRight w:val="0"/>
      <w:marTop w:val="0"/>
      <w:marBottom w:val="0"/>
      <w:divBdr>
        <w:top w:val="none" w:sz="0" w:space="0" w:color="auto"/>
        <w:left w:val="none" w:sz="0" w:space="0" w:color="auto"/>
        <w:bottom w:val="none" w:sz="0" w:space="0" w:color="auto"/>
        <w:right w:val="none" w:sz="0" w:space="0" w:color="auto"/>
      </w:divBdr>
    </w:div>
    <w:div w:id="717051282">
      <w:bodyDiv w:val="1"/>
      <w:marLeft w:val="0"/>
      <w:marRight w:val="0"/>
      <w:marTop w:val="0"/>
      <w:marBottom w:val="0"/>
      <w:divBdr>
        <w:top w:val="none" w:sz="0" w:space="0" w:color="auto"/>
        <w:left w:val="none" w:sz="0" w:space="0" w:color="auto"/>
        <w:bottom w:val="none" w:sz="0" w:space="0" w:color="auto"/>
        <w:right w:val="none" w:sz="0" w:space="0" w:color="auto"/>
      </w:divBdr>
    </w:div>
    <w:div w:id="740447926">
      <w:bodyDiv w:val="1"/>
      <w:marLeft w:val="0"/>
      <w:marRight w:val="0"/>
      <w:marTop w:val="0"/>
      <w:marBottom w:val="0"/>
      <w:divBdr>
        <w:top w:val="none" w:sz="0" w:space="0" w:color="auto"/>
        <w:left w:val="none" w:sz="0" w:space="0" w:color="auto"/>
        <w:bottom w:val="none" w:sz="0" w:space="0" w:color="auto"/>
        <w:right w:val="none" w:sz="0" w:space="0" w:color="auto"/>
      </w:divBdr>
    </w:div>
    <w:div w:id="749276087">
      <w:bodyDiv w:val="1"/>
      <w:marLeft w:val="0"/>
      <w:marRight w:val="0"/>
      <w:marTop w:val="0"/>
      <w:marBottom w:val="0"/>
      <w:divBdr>
        <w:top w:val="none" w:sz="0" w:space="0" w:color="auto"/>
        <w:left w:val="none" w:sz="0" w:space="0" w:color="auto"/>
        <w:bottom w:val="none" w:sz="0" w:space="0" w:color="auto"/>
        <w:right w:val="none" w:sz="0" w:space="0" w:color="auto"/>
      </w:divBdr>
    </w:div>
    <w:div w:id="755783513">
      <w:bodyDiv w:val="1"/>
      <w:marLeft w:val="0"/>
      <w:marRight w:val="0"/>
      <w:marTop w:val="0"/>
      <w:marBottom w:val="0"/>
      <w:divBdr>
        <w:top w:val="none" w:sz="0" w:space="0" w:color="auto"/>
        <w:left w:val="none" w:sz="0" w:space="0" w:color="auto"/>
        <w:bottom w:val="none" w:sz="0" w:space="0" w:color="auto"/>
        <w:right w:val="none" w:sz="0" w:space="0" w:color="auto"/>
      </w:divBdr>
    </w:div>
    <w:div w:id="761031020">
      <w:bodyDiv w:val="1"/>
      <w:marLeft w:val="0"/>
      <w:marRight w:val="0"/>
      <w:marTop w:val="0"/>
      <w:marBottom w:val="0"/>
      <w:divBdr>
        <w:top w:val="none" w:sz="0" w:space="0" w:color="auto"/>
        <w:left w:val="none" w:sz="0" w:space="0" w:color="auto"/>
        <w:bottom w:val="none" w:sz="0" w:space="0" w:color="auto"/>
        <w:right w:val="none" w:sz="0" w:space="0" w:color="auto"/>
      </w:divBdr>
    </w:div>
    <w:div w:id="764039979">
      <w:bodyDiv w:val="1"/>
      <w:marLeft w:val="0"/>
      <w:marRight w:val="0"/>
      <w:marTop w:val="0"/>
      <w:marBottom w:val="0"/>
      <w:divBdr>
        <w:top w:val="none" w:sz="0" w:space="0" w:color="auto"/>
        <w:left w:val="none" w:sz="0" w:space="0" w:color="auto"/>
        <w:bottom w:val="none" w:sz="0" w:space="0" w:color="auto"/>
        <w:right w:val="none" w:sz="0" w:space="0" w:color="auto"/>
      </w:divBdr>
      <w:divsChild>
        <w:div w:id="1279600090">
          <w:marLeft w:val="360"/>
          <w:marRight w:val="0"/>
          <w:marTop w:val="200"/>
          <w:marBottom w:val="0"/>
          <w:divBdr>
            <w:top w:val="none" w:sz="0" w:space="0" w:color="auto"/>
            <w:left w:val="none" w:sz="0" w:space="0" w:color="auto"/>
            <w:bottom w:val="none" w:sz="0" w:space="0" w:color="auto"/>
            <w:right w:val="none" w:sz="0" w:space="0" w:color="auto"/>
          </w:divBdr>
        </w:div>
      </w:divsChild>
    </w:div>
    <w:div w:id="788016389">
      <w:bodyDiv w:val="1"/>
      <w:marLeft w:val="0"/>
      <w:marRight w:val="0"/>
      <w:marTop w:val="0"/>
      <w:marBottom w:val="0"/>
      <w:divBdr>
        <w:top w:val="none" w:sz="0" w:space="0" w:color="auto"/>
        <w:left w:val="none" w:sz="0" w:space="0" w:color="auto"/>
        <w:bottom w:val="none" w:sz="0" w:space="0" w:color="auto"/>
        <w:right w:val="none" w:sz="0" w:space="0" w:color="auto"/>
      </w:divBdr>
    </w:div>
    <w:div w:id="819544341">
      <w:bodyDiv w:val="1"/>
      <w:marLeft w:val="0"/>
      <w:marRight w:val="0"/>
      <w:marTop w:val="0"/>
      <w:marBottom w:val="0"/>
      <w:divBdr>
        <w:top w:val="none" w:sz="0" w:space="0" w:color="auto"/>
        <w:left w:val="none" w:sz="0" w:space="0" w:color="auto"/>
        <w:bottom w:val="none" w:sz="0" w:space="0" w:color="auto"/>
        <w:right w:val="none" w:sz="0" w:space="0" w:color="auto"/>
      </w:divBdr>
    </w:div>
    <w:div w:id="820733001">
      <w:bodyDiv w:val="1"/>
      <w:marLeft w:val="0"/>
      <w:marRight w:val="0"/>
      <w:marTop w:val="0"/>
      <w:marBottom w:val="0"/>
      <w:divBdr>
        <w:top w:val="none" w:sz="0" w:space="0" w:color="auto"/>
        <w:left w:val="none" w:sz="0" w:space="0" w:color="auto"/>
        <w:bottom w:val="none" w:sz="0" w:space="0" w:color="auto"/>
        <w:right w:val="none" w:sz="0" w:space="0" w:color="auto"/>
      </w:divBdr>
    </w:div>
    <w:div w:id="884833267">
      <w:bodyDiv w:val="1"/>
      <w:marLeft w:val="0"/>
      <w:marRight w:val="0"/>
      <w:marTop w:val="0"/>
      <w:marBottom w:val="0"/>
      <w:divBdr>
        <w:top w:val="none" w:sz="0" w:space="0" w:color="auto"/>
        <w:left w:val="none" w:sz="0" w:space="0" w:color="auto"/>
        <w:bottom w:val="none" w:sz="0" w:space="0" w:color="auto"/>
        <w:right w:val="none" w:sz="0" w:space="0" w:color="auto"/>
      </w:divBdr>
    </w:div>
    <w:div w:id="892235899">
      <w:bodyDiv w:val="1"/>
      <w:marLeft w:val="0"/>
      <w:marRight w:val="0"/>
      <w:marTop w:val="0"/>
      <w:marBottom w:val="0"/>
      <w:divBdr>
        <w:top w:val="none" w:sz="0" w:space="0" w:color="auto"/>
        <w:left w:val="none" w:sz="0" w:space="0" w:color="auto"/>
        <w:bottom w:val="none" w:sz="0" w:space="0" w:color="auto"/>
        <w:right w:val="none" w:sz="0" w:space="0" w:color="auto"/>
      </w:divBdr>
    </w:div>
    <w:div w:id="919565000">
      <w:bodyDiv w:val="1"/>
      <w:marLeft w:val="0"/>
      <w:marRight w:val="0"/>
      <w:marTop w:val="0"/>
      <w:marBottom w:val="0"/>
      <w:divBdr>
        <w:top w:val="none" w:sz="0" w:space="0" w:color="auto"/>
        <w:left w:val="none" w:sz="0" w:space="0" w:color="auto"/>
        <w:bottom w:val="none" w:sz="0" w:space="0" w:color="auto"/>
        <w:right w:val="none" w:sz="0" w:space="0" w:color="auto"/>
      </w:divBdr>
    </w:div>
    <w:div w:id="985279958">
      <w:bodyDiv w:val="1"/>
      <w:marLeft w:val="0"/>
      <w:marRight w:val="0"/>
      <w:marTop w:val="0"/>
      <w:marBottom w:val="0"/>
      <w:divBdr>
        <w:top w:val="none" w:sz="0" w:space="0" w:color="auto"/>
        <w:left w:val="none" w:sz="0" w:space="0" w:color="auto"/>
        <w:bottom w:val="none" w:sz="0" w:space="0" w:color="auto"/>
        <w:right w:val="none" w:sz="0" w:space="0" w:color="auto"/>
      </w:divBdr>
    </w:div>
    <w:div w:id="991106939">
      <w:bodyDiv w:val="1"/>
      <w:marLeft w:val="0"/>
      <w:marRight w:val="0"/>
      <w:marTop w:val="0"/>
      <w:marBottom w:val="0"/>
      <w:divBdr>
        <w:top w:val="none" w:sz="0" w:space="0" w:color="auto"/>
        <w:left w:val="none" w:sz="0" w:space="0" w:color="auto"/>
        <w:bottom w:val="none" w:sz="0" w:space="0" w:color="auto"/>
        <w:right w:val="none" w:sz="0" w:space="0" w:color="auto"/>
      </w:divBdr>
    </w:div>
    <w:div w:id="1012217680">
      <w:bodyDiv w:val="1"/>
      <w:marLeft w:val="0"/>
      <w:marRight w:val="0"/>
      <w:marTop w:val="0"/>
      <w:marBottom w:val="0"/>
      <w:divBdr>
        <w:top w:val="none" w:sz="0" w:space="0" w:color="auto"/>
        <w:left w:val="none" w:sz="0" w:space="0" w:color="auto"/>
        <w:bottom w:val="none" w:sz="0" w:space="0" w:color="auto"/>
        <w:right w:val="none" w:sz="0" w:space="0" w:color="auto"/>
      </w:divBdr>
    </w:div>
    <w:div w:id="1049065502">
      <w:bodyDiv w:val="1"/>
      <w:marLeft w:val="0"/>
      <w:marRight w:val="0"/>
      <w:marTop w:val="0"/>
      <w:marBottom w:val="0"/>
      <w:divBdr>
        <w:top w:val="none" w:sz="0" w:space="0" w:color="auto"/>
        <w:left w:val="none" w:sz="0" w:space="0" w:color="auto"/>
        <w:bottom w:val="none" w:sz="0" w:space="0" w:color="auto"/>
        <w:right w:val="none" w:sz="0" w:space="0" w:color="auto"/>
      </w:divBdr>
    </w:div>
    <w:div w:id="1068455195">
      <w:bodyDiv w:val="1"/>
      <w:marLeft w:val="0"/>
      <w:marRight w:val="0"/>
      <w:marTop w:val="0"/>
      <w:marBottom w:val="0"/>
      <w:divBdr>
        <w:top w:val="none" w:sz="0" w:space="0" w:color="auto"/>
        <w:left w:val="none" w:sz="0" w:space="0" w:color="auto"/>
        <w:bottom w:val="none" w:sz="0" w:space="0" w:color="auto"/>
        <w:right w:val="none" w:sz="0" w:space="0" w:color="auto"/>
      </w:divBdr>
      <w:divsChild>
        <w:div w:id="572201827">
          <w:marLeft w:val="547"/>
          <w:marRight w:val="0"/>
          <w:marTop w:val="0"/>
          <w:marBottom w:val="240"/>
          <w:divBdr>
            <w:top w:val="none" w:sz="0" w:space="0" w:color="auto"/>
            <w:left w:val="none" w:sz="0" w:space="0" w:color="auto"/>
            <w:bottom w:val="none" w:sz="0" w:space="0" w:color="auto"/>
            <w:right w:val="none" w:sz="0" w:space="0" w:color="auto"/>
          </w:divBdr>
        </w:div>
      </w:divsChild>
    </w:div>
    <w:div w:id="1096369200">
      <w:bodyDiv w:val="1"/>
      <w:marLeft w:val="0"/>
      <w:marRight w:val="0"/>
      <w:marTop w:val="0"/>
      <w:marBottom w:val="0"/>
      <w:divBdr>
        <w:top w:val="none" w:sz="0" w:space="0" w:color="auto"/>
        <w:left w:val="none" w:sz="0" w:space="0" w:color="auto"/>
        <w:bottom w:val="none" w:sz="0" w:space="0" w:color="auto"/>
        <w:right w:val="none" w:sz="0" w:space="0" w:color="auto"/>
      </w:divBdr>
    </w:div>
    <w:div w:id="1096823406">
      <w:bodyDiv w:val="1"/>
      <w:marLeft w:val="0"/>
      <w:marRight w:val="0"/>
      <w:marTop w:val="0"/>
      <w:marBottom w:val="0"/>
      <w:divBdr>
        <w:top w:val="none" w:sz="0" w:space="0" w:color="auto"/>
        <w:left w:val="none" w:sz="0" w:space="0" w:color="auto"/>
        <w:bottom w:val="none" w:sz="0" w:space="0" w:color="auto"/>
        <w:right w:val="none" w:sz="0" w:space="0" w:color="auto"/>
      </w:divBdr>
    </w:div>
    <w:div w:id="1113399879">
      <w:bodyDiv w:val="1"/>
      <w:marLeft w:val="0"/>
      <w:marRight w:val="0"/>
      <w:marTop w:val="0"/>
      <w:marBottom w:val="0"/>
      <w:divBdr>
        <w:top w:val="none" w:sz="0" w:space="0" w:color="auto"/>
        <w:left w:val="none" w:sz="0" w:space="0" w:color="auto"/>
        <w:bottom w:val="none" w:sz="0" w:space="0" w:color="auto"/>
        <w:right w:val="none" w:sz="0" w:space="0" w:color="auto"/>
      </w:divBdr>
    </w:div>
    <w:div w:id="1127889358">
      <w:bodyDiv w:val="1"/>
      <w:marLeft w:val="0"/>
      <w:marRight w:val="0"/>
      <w:marTop w:val="0"/>
      <w:marBottom w:val="0"/>
      <w:divBdr>
        <w:top w:val="none" w:sz="0" w:space="0" w:color="auto"/>
        <w:left w:val="none" w:sz="0" w:space="0" w:color="auto"/>
        <w:bottom w:val="none" w:sz="0" w:space="0" w:color="auto"/>
        <w:right w:val="none" w:sz="0" w:space="0" w:color="auto"/>
      </w:divBdr>
    </w:div>
    <w:div w:id="1160535318">
      <w:bodyDiv w:val="1"/>
      <w:marLeft w:val="0"/>
      <w:marRight w:val="0"/>
      <w:marTop w:val="0"/>
      <w:marBottom w:val="0"/>
      <w:divBdr>
        <w:top w:val="none" w:sz="0" w:space="0" w:color="auto"/>
        <w:left w:val="none" w:sz="0" w:space="0" w:color="auto"/>
        <w:bottom w:val="none" w:sz="0" w:space="0" w:color="auto"/>
        <w:right w:val="none" w:sz="0" w:space="0" w:color="auto"/>
      </w:divBdr>
    </w:div>
    <w:div w:id="1161852221">
      <w:bodyDiv w:val="1"/>
      <w:marLeft w:val="0"/>
      <w:marRight w:val="0"/>
      <w:marTop w:val="0"/>
      <w:marBottom w:val="0"/>
      <w:divBdr>
        <w:top w:val="none" w:sz="0" w:space="0" w:color="auto"/>
        <w:left w:val="none" w:sz="0" w:space="0" w:color="auto"/>
        <w:bottom w:val="none" w:sz="0" w:space="0" w:color="auto"/>
        <w:right w:val="none" w:sz="0" w:space="0" w:color="auto"/>
      </w:divBdr>
    </w:div>
    <w:div w:id="1191070906">
      <w:bodyDiv w:val="1"/>
      <w:marLeft w:val="0"/>
      <w:marRight w:val="0"/>
      <w:marTop w:val="0"/>
      <w:marBottom w:val="0"/>
      <w:divBdr>
        <w:top w:val="none" w:sz="0" w:space="0" w:color="auto"/>
        <w:left w:val="none" w:sz="0" w:space="0" w:color="auto"/>
        <w:bottom w:val="none" w:sz="0" w:space="0" w:color="auto"/>
        <w:right w:val="none" w:sz="0" w:space="0" w:color="auto"/>
      </w:divBdr>
    </w:div>
    <w:div w:id="1191138557">
      <w:bodyDiv w:val="1"/>
      <w:marLeft w:val="0"/>
      <w:marRight w:val="0"/>
      <w:marTop w:val="0"/>
      <w:marBottom w:val="0"/>
      <w:divBdr>
        <w:top w:val="none" w:sz="0" w:space="0" w:color="auto"/>
        <w:left w:val="none" w:sz="0" w:space="0" w:color="auto"/>
        <w:bottom w:val="none" w:sz="0" w:space="0" w:color="auto"/>
        <w:right w:val="none" w:sz="0" w:space="0" w:color="auto"/>
      </w:divBdr>
    </w:div>
    <w:div w:id="1195465163">
      <w:bodyDiv w:val="1"/>
      <w:marLeft w:val="0"/>
      <w:marRight w:val="0"/>
      <w:marTop w:val="0"/>
      <w:marBottom w:val="0"/>
      <w:divBdr>
        <w:top w:val="none" w:sz="0" w:space="0" w:color="auto"/>
        <w:left w:val="none" w:sz="0" w:space="0" w:color="auto"/>
        <w:bottom w:val="none" w:sz="0" w:space="0" w:color="auto"/>
        <w:right w:val="none" w:sz="0" w:space="0" w:color="auto"/>
      </w:divBdr>
    </w:div>
    <w:div w:id="1195769960">
      <w:bodyDiv w:val="1"/>
      <w:marLeft w:val="0"/>
      <w:marRight w:val="0"/>
      <w:marTop w:val="0"/>
      <w:marBottom w:val="0"/>
      <w:divBdr>
        <w:top w:val="none" w:sz="0" w:space="0" w:color="auto"/>
        <w:left w:val="none" w:sz="0" w:space="0" w:color="auto"/>
        <w:bottom w:val="none" w:sz="0" w:space="0" w:color="auto"/>
        <w:right w:val="none" w:sz="0" w:space="0" w:color="auto"/>
      </w:divBdr>
    </w:div>
    <w:div w:id="1217282645">
      <w:bodyDiv w:val="1"/>
      <w:marLeft w:val="0"/>
      <w:marRight w:val="0"/>
      <w:marTop w:val="0"/>
      <w:marBottom w:val="0"/>
      <w:divBdr>
        <w:top w:val="none" w:sz="0" w:space="0" w:color="auto"/>
        <w:left w:val="none" w:sz="0" w:space="0" w:color="auto"/>
        <w:bottom w:val="none" w:sz="0" w:space="0" w:color="auto"/>
        <w:right w:val="none" w:sz="0" w:space="0" w:color="auto"/>
      </w:divBdr>
    </w:div>
    <w:div w:id="1232736873">
      <w:bodyDiv w:val="1"/>
      <w:marLeft w:val="0"/>
      <w:marRight w:val="0"/>
      <w:marTop w:val="0"/>
      <w:marBottom w:val="0"/>
      <w:divBdr>
        <w:top w:val="none" w:sz="0" w:space="0" w:color="auto"/>
        <w:left w:val="none" w:sz="0" w:space="0" w:color="auto"/>
        <w:bottom w:val="none" w:sz="0" w:space="0" w:color="auto"/>
        <w:right w:val="none" w:sz="0" w:space="0" w:color="auto"/>
      </w:divBdr>
    </w:div>
    <w:div w:id="1294869080">
      <w:bodyDiv w:val="1"/>
      <w:marLeft w:val="0"/>
      <w:marRight w:val="0"/>
      <w:marTop w:val="0"/>
      <w:marBottom w:val="0"/>
      <w:divBdr>
        <w:top w:val="none" w:sz="0" w:space="0" w:color="auto"/>
        <w:left w:val="none" w:sz="0" w:space="0" w:color="auto"/>
        <w:bottom w:val="none" w:sz="0" w:space="0" w:color="auto"/>
        <w:right w:val="none" w:sz="0" w:space="0" w:color="auto"/>
      </w:divBdr>
    </w:div>
    <w:div w:id="1382098809">
      <w:bodyDiv w:val="1"/>
      <w:marLeft w:val="0"/>
      <w:marRight w:val="0"/>
      <w:marTop w:val="0"/>
      <w:marBottom w:val="0"/>
      <w:divBdr>
        <w:top w:val="none" w:sz="0" w:space="0" w:color="auto"/>
        <w:left w:val="none" w:sz="0" w:space="0" w:color="auto"/>
        <w:bottom w:val="none" w:sz="0" w:space="0" w:color="auto"/>
        <w:right w:val="none" w:sz="0" w:space="0" w:color="auto"/>
      </w:divBdr>
    </w:div>
    <w:div w:id="1391491965">
      <w:bodyDiv w:val="1"/>
      <w:marLeft w:val="0"/>
      <w:marRight w:val="0"/>
      <w:marTop w:val="0"/>
      <w:marBottom w:val="0"/>
      <w:divBdr>
        <w:top w:val="none" w:sz="0" w:space="0" w:color="auto"/>
        <w:left w:val="none" w:sz="0" w:space="0" w:color="auto"/>
        <w:bottom w:val="none" w:sz="0" w:space="0" w:color="auto"/>
        <w:right w:val="none" w:sz="0" w:space="0" w:color="auto"/>
      </w:divBdr>
    </w:div>
    <w:div w:id="1404764256">
      <w:bodyDiv w:val="1"/>
      <w:marLeft w:val="0"/>
      <w:marRight w:val="0"/>
      <w:marTop w:val="0"/>
      <w:marBottom w:val="0"/>
      <w:divBdr>
        <w:top w:val="none" w:sz="0" w:space="0" w:color="auto"/>
        <w:left w:val="none" w:sz="0" w:space="0" w:color="auto"/>
        <w:bottom w:val="none" w:sz="0" w:space="0" w:color="auto"/>
        <w:right w:val="none" w:sz="0" w:space="0" w:color="auto"/>
      </w:divBdr>
    </w:div>
    <w:div w:id="1421876391">
      <w:bodyDiv w:val="1"/>
      <w:marLeft w:val="0"/>
      <w:marRight w:val="0"/>
      <w:marTop w:val="0"/>
      <w:marBottom w:val="0"/>
      <w:divBdr>
        <w:top w:val="none" w:sz="0" w:space="0" w:color="auto"/>
        <w:left w:val="none" w:sz="0" w:space="0" w:color="auto"/>
        <w:bottom w:val="none" w:sz="0" w:space="0" w:color="auto"/>
        <w:right w:val="none" w:sz="0" w:space="0" w:color="auto"/>
      </w:divBdr>
    </w:div>
    <w:div w:id="1441758148">
      <w:bodyDiv w:val="1"/>
      <w:marLeft w:val="0"/>
      <w:marRight w:val="0"/>
      <w:marTop w:val="0"/>
      <w:marBottom w:val="0"/>
      <w:divBdr>
        <w:top w:val="none" w:sz="0" w:space="0" w:color="auto"/>
        <w:left w:val="none" w:sz="0" w:space="0" w:color="auto"/>
        <w:bottom w:val="none" w:sz="0" w:space="0" w:color="auto"/>
        <w:right w:val="none" w:sz="0" w:space="0" w:color="auto"/>
      </w:divBdr>
    </w:div>
    <w:div w:id="1443377267">
      <w:bodyDiv w:val="1"/>
      <w:marLeft w:val="0"/>
      <w:marRight w:val="0"/>
      <w:marTop w:val="0"/>
      <w:marBottom w:val="0"/>
      <w:divBdr>
        <w:top w:val="none" w:sz="0" w:space="0" w:color="auto"/>
        <w:left w:val="none" w:sz="0" w:space="0" w:color="auto"/>
        <w:bottom w:val="none" w:sz="0" w:space="0" w:color="auto"/>
        <w:right w:val="none" w:sz="0" w:space="0" w:color="auto"/>
      </w:divBdr>
    </w:div>
    <w:div w:id="1455711434">
      <w:bodyDiv w:val="1"/>
      <w:marLeft w:val="0"/>
      <w:marRight w:val="0"/>
      <w:marTop w:val="0"/>
      <w:marBottom w:val="0"/>
      <w:divBdr>
        <w:top w:val="none" w:sz="0" w:space="0" w:color="auto"/>
        <w:left w:val="none" w:sz="0" w:space="0" w:color="auto"/>
        <w:bottom w:val="none" w:sz="0" w:space="0" w:color="auto"/>
        <w:right w:val="none" w:sz="0" w:space="0" w:color="auto"/>
      </w:divBdr>
    </w:div>
    <w:div w:id="1497304042">
      <w:bodyDiv w:val="1"/>
      <w:marLeft w:val="0"/>
      <w:marRight w:val="0"/>
      <w:marTop w:val="0"/>
      <w:marBottom w:val="0"/>
      <w:divBdr>
        <w:top w:val="none" w:sz="0" w:space="0" w:color="auto"/>
        <w:left w:val="none" w:sz="0" w:space="0" w:color="auto"/>
        <w:bottom w:val="none" w:sz="0" w:space="0" w:color="auto"/>
        <w:right w:val="none" w:sz="0" w:space="0" w:color="auto"/>
      </w:divBdr>
    </w:div>
    <w:div w:id="1536500102">
      <w:bodyDiv w:val="1"/>
      <w:marLeft w:val="0"/>
      <w:marRight w:val="0"/>
      <w:marTop w:val="0"/>
      <w:marBottom w:val="0"/>
      <w:divBdr>
        <w:top w:val="none" w:sz="0" w:space="0" w:color="auto"/>
        <w:left w:val="none" w:sz="0" w:space="0" w:color="auto"/>
        <w:bottom w:val="none" w:sz="0" w:space="0" w:color="auto"/>
        <w:right w:val="none" w:sz="0" w:space="0" w:color="auto"/>
      </w:divBdr>
    </w:div>
    <w:div w:id="1539321459">
      <w:bodyDiv w:val="1"/>
      <w:marLeft w:val="0"/>
      <w:marRight w:val="0"/>
      <w:marTop w:val="0"/>
      <w:marBottom w:val="0"/>
      <w:divBdr>
        <w:top w:val="none" w:sz="0" w:space="0" w:color="auto"/>
        <w:left w:val="none" w:sz="0" w:space="0" w:color="auto"/>
        <w:bottom w:val="none" w:sz="0" w:space="0" w:color="auto"/>
        <w:right w:val="none" w:sz="0" w:space="0" w:color="auto"/>
      </w:divBdr>
    </w:div>
    <w:div w:id="1575624235">
      <w:bodyDiv w:val="1"/>
      <w:marLeft w:val="0"/>
      <w:marRight w:val="0"/>
      <w:marTop w:val="0"/>
      <w:marBottom w:val="0"/>
      <w:divBdr>
        <w:top w:val="none" w:sz="0" w:space="0" w:color="auto"/>
        <w:left w:val="none" w:sz="0" w:space="0" w:color="auto"/>
        <w:bottom w:val="none" w:sz="0" w:space="0" w:color="auto"/>
        <w:right w:val="none" w:sz="0" w:space="0" w:color="auto"/>
      </w:divBdr>
    </w:div>
    <w:div w:id="1660114299">
      <w:bodyDiv w:val="1"/>
      <w:marLeft w:val="0"/>
      <w:marRight w:val="0"/>
      <w:marTop w:val="0"/>
      <w:marBottom w:val="0"/>
      <w:divBdr>
        <w:top w:val="none" w:sz="0" w:space="0" w:color="auto"/>
        <w:left w:val="none" w:sz="0" w:space="0" w:color="auto"/>
        <w:bottom w:val="none" w:sz="0" w:space="0" w:color="auto"/>
        <w:right w:val="none" w:sz="0" w:space="0" w:color="auto"/>
      </w:divBdr>
    </w:div>
    <w:div w:id="1664965698">
      <w:bodyDiv w:val="1"/>
      <w:marLeft w:val="0"/>
      <w:marRight w:val="0"/>
      <w:marTop w:val="0"/>
      <w:marBottom w:val="0"/>
      <w:divBdr>
        <w:top w:val="none" w:sz="0" w:space="0" w:color="auto"/>
        <w:left w:val="none" w:sz="0" w:space="0" w:color="auto"/>
        <w:bottom w:val="none" w:sz="0" w:space="0" w:color="auto"/>
        <w:right w:val="none" w:sz="0" w:space="0" w:color="auto"/>
      </w:divBdr>
    </w:div>
    <w:div w:id="1666974842">
      <w:bodyDiv w:val="1"/>
      <w:marLeft w:val="0"/>
      <w:marRight w:val="0"/>
      <w:marTop w:val="0"/>
      <w:marBottom w:val="0"/>
      <w:divBdr>
        <w:top w:val="none" w:sz="0" w:space="0" w:color="auto"/>
        <w:left w:val="none" w:sz="0" w:space="0" w:color="auto"/>
        <w:bottom w:val="none" w:sz="0" w:space="0" w:color="auto"/>
        <w:right w:val="none" w:sz="0" w:space="0" w:color="auto"/>
      </w:divBdr>
    </w:div>
    <w:div w:id="1729836948">
      <w:bodyDiv w:val="1"/>
      <w:marLeft w:val="0"/>
      <w:marRight w:val="0"/>
      <w:marTop w:val="0"/>
      <w:marBottom w:val="0"/>
      <w:divBdr>
        <w:top w:val="none" w:sz="0" w:space="0" w:color="auto"/>
        <w:left w:val="none" w:sz="0" w:space="0" w:color="auto"/>
        <w:bottom w:val="none" w:sz="0" w:space="0" w:color="auto"/>
        <w:right w:val="none" w:sz="0" w:space="0" w:color="auto"/>
      </w:divBdr>
    </w:div>
    <w:div w:id="1780560676">
      <w:bodyDiv w:val="1"/>
      <w:marLeft w:val="0"/>
      <w:marRight w:val="0"/>
      <w:marTop w:val="0"/>
      <w:marBottom w:val="0"/>
      <w:divBdr>
        <w:top w:val="none" w:sz="0" w:space="0" w:color="auto"/>
        <w:left w:val="none" w:sz="0" w:space="0" w:color="auto"/>
        <w:bottom w:val="none" w:sz="0" w:space="0" w:color="auto"/>
        <w:right w:val="none" w:sz="0" w:space="0" w:color="auto"/>
      </w:divBdr>
    </w:div>
    <w:div w:id="1796174934">
      <w:bodyDiv w:val="1"/>
      <w:marLeft w:val="0"/>
      <w:marRight w:val="0"/>
      <w:marTop w:val="0"/>
      <w:marBottom w:val="0"/>
      <w:divBdr>
        <w:top w:val="none" w:sz="0" w:space="0" w:color="auto"/>
        <w:left w:val="none" w:sz="0" w:space="0" w:color="auto"/>
        <w:bottom w:val="none" w:sz="0" w:space="0" w:color="auto"/>
        <w:right w:val="none" w:sz="0" w:space="0" w:color="auto"/>
      </w:divBdr>
    </w:div>
    <w:div w:id="1798376766">
      <w:bodyDiv w:val="1"/>
      <w:marLeft w:val="0"/>
      <w:marRight w:val="0"/>
      <w:marTop w:val="0"/>
      <w:marBottom w:val="0"/>
      <w:divBdr>
        <w:top w:val="none" w:sz="0" w:space="0" w:color="auto"/>
        <w:left w:val="none" w:sz="0" w:space="0" w:color="auto"/>
        <w:bottom w:val="none" w:sz="0" w:space="0" w:color="auto"/>
        <w:right w:val="none" w:sz="0" w:space="0" w:color="auto"/>
      </w:divBdr>
    </w:div>
    <w:div w:id="1831363488">
      <w:bodyDiv w:val="1"/>
      <w:marLeft w:val="0"/>
      <w:marRight w:val="0"/>
      <w:marTop w:val="0"/>
      <w:marBottom w:val="0"/>
      <w:divBdr>
        <w:top w:val="none" w:sz="0" w:space="0" w:color="auto"/>
        <w:left w:val="none" w:sz="0" w:space="0" w:color="auto"/>
        <w:bottom w:val="none" w:sz="0" w:space="0" w:color="auto"/>
        <w:right w:val="none" w:sz="0" w:space="0" w:color="auto"/>
      </w:divBdr>
    </w:div>
    <w:div w:id="1906186976">
      <w:bodyDiv w:val="1"/>
      <w:marLeft w:val="0"/>
      <w:marRight w:val="0"/>
      <w:marTop w:val="0"/>
      <w:marBottom w:val="0"/>
      <w:divBdr>
        <w:top w:val="none" w:sz="0" w:space="0" w:color="auto"/>
        <w:left w:val="none" w:sz="0" w:space="0" w:color="auto"/>
        <w:bottom w:val="none" w:sz="0" w:space="0" w:color="auto"/>
        <w:right w:val="none" w:sz="0" w:space="0" w:color="auto"/>
      </w:divBdr>
    </w:div>
    <w:div w:id="1942057827">
      <w:bodyDiv w:val="1"/>
      <w:marLeft w:val="0"/>
      <w:marRight w:val="0"/>
      <w:marTop w:val="0"/>
      <w:marBottom w:val="0"/>
      <w:divBdr>
        <w:top w:val="none" w:sz="0" w:space="0" w:color="auto"/>
        <w:left w:val="none" w:sz="0" w:space="0" w:color="auto"/>
        <w:bottom w:val="none" w:sz="0" w:space="0" w:color="auto"/>
        <w:right w:val="none" w:sz="0" w:space="0" w:color="auto"/>
      </w:divBdr>
    </w:div>
    <w:div w:id="1961570242">
      <w:bodyDiv w:val="1"/>
      <w:marLeft w:val="0"/>
      <w:marRight w:val="0"/>
      <w:marTop w:val="0"/>
      <w:marBottom w:val="0"/>
      <w:divBdr>
        <w:top w:val="none" w:sz="0" w:space="0" w:color="auto"/>
        <w:left w:val="none" w:sz="0" w:space="0" w:color="auto"/>
        <w:bottom w:val="none" w:sz="0" w:space="0" w:color="auto"/>
        <w:right w:val="none" w:sz="0" w:space="0" w:color="auto"/>
      </w:divBdr>
    </w:div>
    <w:div w:id="1967158710">
      <w:bodyDiv w:val="1"/>
      <w:marLeft w:val="0"/>
      <w:marRight w:val="0"/>
      <w:marTop w:val="0"/>
      <w:marBottom w:val="0"/>
      <w:divBdr>
        <w:top w:val="none" w:sz="0" w:space="0" w:color="auto"/>
        <w:left w:val="none" w:sz="0" w:space="0" w:color="auto"/>
        <w:bottom w:val="none" w:sz="0" w:space="0" w:color="auto"/>
        <w:right w:val="none" w:sz="0" w:space="0" w:color="auto"/>
      </w:divBdr>
    </w:div>
    <w:div w:id="1986427722">
      <w:bodyDiv w:val="1"/>
      <w:marLeft w:val="0"/>
      <w:marRight w:val="0"/>
      <w:marTop w:val="0"/>
      <w:marBottom w:val="0"/>
      <w:divBdr>
        <w:top w:val="none" w:sz="0" w:space="0" w:color="auto"/>
        <w:left w:val="none" w:sz="0" w:space="0" w:color="auto"/>
        <w:bottom w:val="none" w:sz="0" w:space="0" w:color="auto"/>
        <w:right w:val="none" w:sz="0" w:space="0" w:color="auto"/>
      </w:divBdr>
    </w:div>
    <w:div w:id="2000113014">
      <w:bodyDiv w:val="1"/>
      <w:marLeft w:val="0"/>
      <w:marRight w:val="0"/>
      <w:marTop w:val="0"/>
      <w:marBottom w:val="0"/>
      <w:divBdr>
        <w:top w:val="none" w:sz="0" w:space="0" w:color="auto"/>
        <w:left w:val="none" w:sz="0" w:space="0" w:color="auto"/>
        <w:bottom w:val="none" w:sz="0" w:space="0" w:color="auto"/>
        <w:right w:val="none" w:sz="0" w:space="0" w:color="auto"/>
      </w:divBdr>
    </w:div>
    <w:div w:id="212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c.undp.org/evaluation/evaluations/detail/7908" TargetMode="External"/><Relationship Id="rId18" Type="http://schemas.openxmlformats.org/officeDocument/2006/relationships/hyperlink" Target="http://web.undp.org/evaluation/guideline/index.shtml" TargetMode="External"/><Relationship Id="rId26"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hyperlink" Target="https://erc.undp.org/evaluation/evaluations/detail/960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rc.undp.org/evaluation/evaluations/detail/7850" TargetMode="External"/><Relationship Id="rId17" Type="http://schemas.openxmlformats.org/officeDocument/2006/relationships/hyperlink" Target="https://erc.undp.org/evaluation/reports/managementresponsesnapshot/ieo" TargetMode="External"/><Relationship Id="rId25" Type="http://schemas.openxmlformats.org/officeDocument/2006/relationships/hyperlink" Target="https://erc.undp.org/evaluation/evaluations/detail/948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rc.undp.org/evaluation/evaluations/detail/9523" TargetMode="External"/><Relationship Id="rId20" Type="http://schemas.openxmlformats.org/officeDocument/2006/relationships/chart" Target="charts/chart2.xml"/><Relationship Id="rId29" Type="http://schemas.openxmlformats.org/officeDocument/2006/relationships/hyperlink" Target="http://erc.undp.org/index.html;jsessionid=2825BA456DA1408C7BC53F6267CDC5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rc.undp.org/evaluation/evaluations/detail/997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rc.undp.org/evaluation/evaluations/detail/9522" TargetMode="External"/><Relationship Id="rId23" Type="http://schemas.openxmlformats.org/officeDocument/2006/relationships/hyperlink" Target="https://erc.undp.org/evaluation/evaluations/detail/9291"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rc.undp.org/evaluation/evaluations/detail/9741" TargetMode="External"/><Relationship Id="rId22" Type="http://schemas.openxmlformats.org/officeDocument/2006/relationships/hyperlink" Target="https://erc.undp.org/evaluation/evaluations/detail/9167" TargetMode="External"/><Relationship Id="rId27" Type="http://schemas.openxmlformats.org/officeDocument/2006/relationships/chart" Target="charts/chart4.xml"/><Relationship Id="rId30" Type="http://schemas.openxmlformats.org/officeDocument/2006/relationships/hyperlink" Target="http://open.undp.org/"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ristina.Leuchowius\Desktop\2019%20ARE%20reporting\Copy%20of%20Decentralised%20evaluations%202018%201st%20February%202019%20Richar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Kristina.Leuchowius\Desktop\2019%20ARE%20reporting\QADetailReportUNDP%2020190401%202016-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2018 decentralized ev</a:t>
            </a:r>
            <a:r>
              <a:rPr lang="en-US"/>
              <a:t>aluations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Sheet1!$M$3</c:f>
              <c:strCache>
                <c:ptCount val="1"/>
                <c:pt idx="0">
                  <c:v>Evaluations completed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97-40AD-9D57-0AD31AF185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97-40AD-9D57-0AD31AF185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97-40AD-9D57-0AD31AF185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97-40AD-9D57-0AD31AF185A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97-40AD-9D57-0AD31AF185A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097-40AD-9D57-0AD31AF185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Sheet1!$L$4:$L$9</c:f>
              <c:strCache>
                <c:ptCount val="6"/>
                <c:pt idx="0">
                  <c:v>Africa</c:v>
                </c:pt>
                <c:pt idx="1">
                  <c:v>Arab States</c:v>
                </c:pt>
                <c:pt idx="2">
                  <c:v>Asia and the Pacific</c:v>
                </c:pt>
                <c:pt idx="3">
                  <c:v>Europe and the CIS</c:v>
                </c:pt>
                <c:pt idx="4">
                  <c:v>Latin America and the Caribbean</c:v>
                </c:pt>
                <c:pt idx="5">
                  <c:v>Global</c:v>
                </c:pt>
              </c:strCache>
            </c:strRef>
          </c:cat>
          <c:val>
            <c:numRef>
              <c:f>Sheet1!$M$4:$M$9</c:f>
              <c:numCache>
                <c:formatCode>General</c:formatCode>
                <c:ptCount val="6"/>
                <c:pt idx="0">
                  <c:v>84</c:v>
                </c:pt>
                <c:pt idx="1">
                  <c:v>29</c:v>
                </c:pt>
                <c:pt idx="2">
                  <c:v>60</c:v>
                </c:pt>
                <c:pt idx="3">
                  <c:v>51</c:v>
                </c:pt>
                <c:pt idx="4">
                  <c:v>44</c:v>
                </c:pt>
                <c:pt idx="5">
                  <c:v>15</c:v>
                </c:pt>
              </c:numCache>
            </c:numRef>
          </c:val>
          <c:extLst>
            <c:ext xmlns:c16="http://schemas.microsoft.com/office/drawing/2014/chart" uri="{C3380CC4-5D6E-409C-BE32-E72D297353CC}">
              <c16:uniqueId val="{0000000C-7097-40AD-9D57-0AD31AF185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Quality assessment</a:t>
            </a:r>
            <a:r>
              <a:rPr lang="en-US" baseline="0"/>
              <a:t> ratings, 2016-2018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Charts!$B$2</c:f>
              <c:strCache>
                <c:ptCount val="1"/>
                <c:pt idx="0">
                  <c:v>Highly satisfactory (%)</c:v>
                </c:pt>
              </c:strCache>
            </c:strRef>
          </c:tx>
          <c:spPr>
            <a:solidFill>
              <a:srgbClr val="00B050"/>
            </a:solidFill>
            <a:ln>
              <a:noFill/>
            </a:ln>
            <a:effectLst/>
          </c:spPr>
          <c:invertIfNegative val="0"/>
          <c:dLbls>
            <c:dLbl>
              <c:idx val="0"/>
              <c:tx>
                <c:rich>
                  <a:bodyPr/>
                  <a:lstStyle/>
                  <a:p>
                    <a:r>
                      <a:rPr lang="en-US"/>
                      <a:t>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7D-4AA6-A96A-766DDC83A4B9}"/>
                </c:ext>
              </c:extLst>
            </c:dLbl>
            <c:dLbl>
              <c:idx val="1"/>
              <c:tx>
                <c:rich>
                  <a:bodyPr/>
                  <a:lstStyle/>
                  <a:p>
                    <a:r>
                      <a:rPr lang="en-US"/>
                      <a:t>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7D-4AA6-A96A-766DDC83A4B9}"/>
                </c:ext>
              </c:extLst>
            </c:dLbl>
            <c:dLbl>
              <c:idx val="2"/>
              <c:tx>
                <c:rich>
                  <a:bodyPr/>
                  <a:lstStyle/>
                  <a:p>
                    <a:r>
                      <a:rPr lang="en-US"/>
                      <a:t>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7D-4AA6-A96A-766DDC83A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Charts!$A$3:$A$5</c:f>
              <c:numCache>
                <c:formatCode>General</c:formatCode>
                <c:ptCount val="3"/>
                <c:pt idx="0">
                  <c:v>2016</c:v>
                </c:pt>
                <c:pt idx="1">
                  <c:v>2017</c:v>
                </c:pt>
                <c:pt idx="2">
                  <c:v>2018</c:v>
                </c:pt>
              </c:numCache>
            </c:numRef>
          </c:cat>
          <c:val>
            <c:numRef>
              <c:f>Charts!$B$3:$B$5</c:f>
              <c:numCache>
                <c:formatCode>0%</c:formatCode>
                <c:ptCount val="3"/>
                <c:pt idx="0">
                  <c:v>7.7220077220077222E-3</c:v>
                </c:pt>
                <c:pt idx="1">
                  <c:v>1.0452961672473868E-2</c:v>
                </c:pt>
                <c:pt idx="2">
                  <c:v>4.4444444444444444E-3</c:v>
                </c:pt>
              </c:numCache>
            </c:numRef>
          </c:val>
          <c:extLst>
            <c:ext xmlns:c16="http://schemas.microsoft.com/office/drawing/2014/chart" uri="{C3380CC4-5D6E-409C-BE32-E72D297353CC}">
              <c16:uniqueId val="{00000003-027D-4AA6-A96A-766DDC83A4B9}"/>
            </c:ext>
          </c:extLst>
        </c:ser>
        <c:ser>
          <c:idx val="1"/>
          <c:order val="1"/>
          <c:tx>
            <c:strRef>
              <c:f>Charts!$C$2</c:f>
              <c:strCache>
                <c:ptCount val="1"/>
                <c:pt idx="0">
                  <c:v>Satisfactory (%)</c:v>
                </c:pt>
              </c:strCache>
            </c:strRef>
          </c:tx>
          <c:spPr>
            <a:solidFill>
              <a:schemeClr val="accent1"/>
            </a:solidFill>
            <a:ln>
              <a:noFill/>
            </a:ln>
            <a:effectLst/>
          </c:spPr>
          <c:invertIfNegative val="0"/>
          <c:dLbls>
            <c:dLbl>
              <c:idx val="0"/>
              <c:tx>
                <c:rich>
                  <a:bodyPr/>
                  <a:lstStyle/>
                  <a:p>
                    <a:r>
                      <a:rPr lang="en-US"/>
                      <a:t>27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7D-4AA6-A96A-766DDC83A4B9}"/>
                </c:ext>
              </c:extLst>
            </c:dLbl>
            <c:dLbl>
              <c:idx val="1"/>
              <c:layout>
                <c:manualLayout>
                  <c:x val="0"/>
                  <c:y val="-3.9471087428458651E-3"/>
                </c:manualLayout>
              </c:layout>
              <c:tx>
                <c:rich>
                  <a:bodyPr/>
                  <a:lstStyle/>
                  <a:p>
                    <a:r>
                      <a:rPr lang="en-US"/>
                      <a:t>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7D-4AA6-A96A-766DDC83A4B9}"/>
                </c:ext>
              </c:extLst>
            </c:dLbl>
            <c:dLbl>
              <c:idx val="2"/>
              <c:tx>
                <c:rich>
                  <a:bodyPr/>
                  <a:lstStyle/>
                  <a:p>
                    <a:r>
                      <a:rPr lang="en-US"/>
                      <a:t>25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7D-4AA6-A96A-766DDC83A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Charts!$A$3:$A$5</c:f>
              <c:numCache>
                <c:formatCode>General</c:formatCode>
                <c:ptCount val="3"/>
                <c:pt idx="0">
                  <c:v>2016</c:v>
                </c:pt>
                <c:pt idx="1">
                  <c:v>2017</c:v>
                </c:pt>
                <c:pt idx="2">
                  <c:v>2018</c:v>
                </c:pt>
              </c:numCache>
            </c:numRef>
          </c:cat>
          <c:val>
            <c:numRef>
              <c:f>Charts!$C$3:$C$5</c:f>
              <c:numCache>
                <c:formatCode>0%</c:formatCode>
                <c:ptCount val="3"/>
                <c:pt idx="0">
                  <c:v>0.27027027027027029</c:v>
                </c:pt>
                <c:pt idx="1">
                  <c:v>0.18815331010452963</c:v>
                </c:pt>
                <c:pt idx="2">
                  <c:v>0.24888888888888888</c:v>
                </c:pt>
              </c:numCache>
            </c:numRef>
          </c:val>
          <c:extLst>
            <c:ext xmlns:c16="http://schemas.microsoft.com/office/drawing/2014/chart" uri="{C3380CC4-5D6E-409C-BE32-E72D297353CC}">
              <c16:uniqueId val="{00000007-027D-4AA6-A96A-766DDC83A4B9}"/>
            </c:ext>
          </c:extLst>
        </c:ser>
        <c:ser>
          <c:idx val="2"/>
          <c:order val="2"/>
          <c:tx>
            <c:strRef>
              <c:f>Charts!$D$2</c:f>
              <c:strCache>
                <c:ptCount val="1"/>
                <c:pt idx="0">
                  <c:v>Moderately satisfactory (%)</c:v>
                </c:pt>
              </c:strCache>
            </c:strRef>
          </c:tx>
          <c:spPr>
            <a:solidFill>
              <a:schemeClr val="accent6">
                <a:lumMod val="40000"/>
                <a:lumOff val="60000"/>
              </a:schemeClr>
            </a:solidFill>
            <a:ln>
              <a:noFill/>
            </a:ln>
            <a:effectLst/>
          </c:spPr>
          <c:invertIfNegative val="0"/>
          <c:dLbls>
            <c:dLbl>
              <c:idx val="0"/>
              <c:layout>
                <c:manualLayout>
                  <c:x val="-3.6976848623535273E-17"/>
                  <c:y val="0"/>
                </c:manualLayout>
              </c:layout>
              <c:tx>
                <c:rich>
                  <a:bodyPr/>
                  <a:lstStyle/>
                  <a:p>
                    <a:r>
                      <a:rPr lang="en-US"/>
                      <a:t>44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7D-4AA6-A96A-766DDC83A4B9}"/>
                </c:ext>
              </c:extLst>
            </c:dLbl>
            <c:dLbl>
              <c:idx val="1"/>
              <c:tx>
                <c:rich>
                  <a:bodyPr/>
                  <a:lstStyle/>
                  <a:p>
                    <a:r>
                      <a:rPr lang="en-US"/>
                      <a:t>54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7D-4AA6-A96A-766DDC83A4B9}"/>
                </c:ext>
              </c:extLst>
            </c:dLbl>
            <c:dLbl>
              <c:idx val="2"/>
              <c:tx>
                <c:rich>
                  <a:bodyPr/>
                  <a:lstStyle/>
                  <a:p>
                    <a:r>
                      <a:rPr lang="en-US"/>
                      <a:t>50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27D-4AA6-A96A-766DDC83A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Charts!$A$3:$A$5</c:f>
              <c:numCache>
                <c:formatCode>General</c:formatCode>
                <c:ptCount val="3"/>
                <c:pt idx="0">
                  <c:v>2016</c:v>
                </c:pt>
                <c:pt idx="1">
                  <c:v>2017</c:v>
                </c:pt>
                <c:pt idx="2">
                  <c:v>2018</c:v>
                </c:pt>
              </c:numCache>
            </c:numRef>
          </c:cat>
          <c:val>
            <c:numRef>
              <c:f>Charts!$D$3:$D$5</c:f>
              <c:numCache>
                <c:formatCode>0%</c:formatCode>
                <c:ptCount val="3"/>
                <c:pt idx="0">
                  <c:v>0.44401544401544402</c:v>
                </c:pt>
                <c:pt idx="1">
                  <c:v>0.54006968641114983</c:v>
                </c:pt>
                <c:pt idx="2">
                  <c:v>0.50222222222222224</c:v>
                </c:pt>
              </c:numCache>
            </c:numRef>
          </c:val>
          <c:extLst>
            <c:ext xmlns:c16="http://schemas.microsoft.com/office/drawing/2014/chart" uri="{C3380CC4-5D6E-409C-BE32-E72D297353CC}">
              <c16:uniqueId val="{0000000B-027D-4AA6-A96A-766DDC83A4B9}"/>
            </c:ext>
          </c:extLst>
        </c:ser>
        <c:ser>
          <c:idx val="3"/>
          <c:order val="3"/>
          <c:tx>
            <c:strRef>
              <c:f>Charts!$E$2</c:f>
              <c:strCache>
                <c:ptCount val="1"/>
                <c:pt idx="0">
                  <c:v>Moderately unsatisfactory (%)</c:v>
                </c:pt>
              </c:strCache>
            </c:strRef>
          </c:tx>
          <c:spPr>
            <a:solidFill>
              <a:schemeClr val="accent4"/>
            </a:solidFill>
            <a:ln>
              <a:noFill/>
            </a:ln>
            <a:effectLst/>
          </c:spPr>
          <c:invertIfNegative val="0"/>
          <c:dLbls>
            <c:dLbl>
              <c:idx val="0"/>
              <c:tx>
                <c:rich>
                  <a:bodyPr/>
                  <a:lstStyle/>
                  <a:p>
                    <a:r>
                      <a:rPr lang="en-US"/>
                      <a:t>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27D-4AA6-A96A-766DDC83A4B9}"/>
                </c:ext>
              </c:extLst>
            </c:dLbl>
            <c:dLbl>
              <c:idx val="1"/>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27D-4AA6-A96A-766DDC83A4B9}"/>
                </c:ext>
              </c:extLst>
            </c:dLbl>
            <c:dLbl>
              <c:idx val="2"/>
              <c:tx>
                <c:rich>
                  <a:bodyPr/>
                  <a:lstStyle/>
                  <a:p>
                    <a:r>
                      <a:rPr lang="en-US"/>
                      <a:t>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27D-4AA6-A96A-766DDC83A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Charts!$A$3:$A$5</c:f>
              <c:numCache>
                <c:formatCode>General</c:formatCode>
                <c:ptCount val="3"/>
                <c:pt idx="0">
                  <c:v>2016</c:v>
                </c:pt>
                <c:pt idx="1">
                  <c:v>2017</c:v>
                </c:pt>
                <c:pt idx="2">
                  <c:v>2018</c:v>
                </c:pt>
              </c:numCache>
            </c:numRef>
          </c:cat>
          <c:val>
            <c:numRef>
              <c:f>Charts!$E$3:$E$5</c:f>
              <c:numCache>
                <c:formatCode>0%</c:formatCode>
                <c:ptCount val="3"/>
                <c:pt idx="0">
                  <c:v>0.23552123552123552</c:v>
                </c:pt>
                <c:pt idx="1">
                  <c:v>0.1951219512195122</c:v>
                </c:pt>
                <c:pt idx="2">
                  <c:v>0.19111111111111112</c:v>
                </c:pt>
              </c:numCache>
            </c:numRef>
          </c:val>
          <c:extLst>
            <c:ext xmlns:c16="http://schemas.microsoft.com/office/drawing/2014/chart" uri="{C3380CC4-5D6E-409C-BE32-E72D297353CC}">
              <c16:uniqueId val="{0000000F-027D-4AA6-A96A-766DDC83A4B9}"/>
            </c:ext>
          </c:extLst>
        </c:ser>
        <c:ser>
          <c:idx val="4"/>
          <c:order val="4"/>
          <c:tx>
            <c:strRef>
              <c:f>Charts!$F$2</c:f>
              <c:strCache>
                <c:ptCount val="1"/>
                <c:pt idx="0">
                  <c:v>Unsatisfactory (%)</c:v>
                </c:pt>
              </c:strCache>
            </c:strRef>
          </c:tx>
          <c:spPr>
            <a:solidFill>
              <a:schemeClr val="accent2"/>
            </a:solidFill>
            <a:ln>
              <a:noFill/>
            </a:ln>
            <a:effectLst/>
          </c:spPr>
          <c:invertIfNegative val="0"/>
          <c:dLbls>
            <c:dLbl>
              <c:idx val="0"/>
              <c:tx>
                <c:rich>
                  <a:bodyPr/>
                  <a:lstStyle/>
                  <a:p>
                    <a:r>
                      <a:rPr lang="en-US"/>
                      <a:t>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27D-4AA6-A96A-766DDC83A4B9}"/>
                </c:ext>
              </c:extLst>
            </c:dLbl>
            <c:dLbl>
              <c:idx val="1"/>
              <c:tx>
                <c:rich>
                  <a:bodyPr/>
                  <a:lstStyle/>
                  <a:p>
                    <a:r>
                      <a:rPr lang="en-US"/>
                      <a:t>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27D-4AA6-A96A-766DDC83A4B9}"/>
                </c:ext>
              </c:extLst>
            </c:dLbl>
            <c:dLbl>
              <c:idx val="2"/>
              <c:tx>
                <c:rich>
                  <a:bodyPr/>
                  <a:lstStyle/>
                  <a:p>
                    <a:r>
                      <a:rPr lang="en-US"/>
                      <a:t>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27D-4AA6-A96A-766DDC83A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Charts!$A$3:$A$5</c:f>
              <c:numCache>
                <c:formatCode>General</c:formatCode>
                <c:ptCount val="3"/>
                <c:pt idx="0">
                  <c:v>2016</c:v>
                </c:pt>
                <c:pt idx="1">
                  <c:v>2017</c:v>
                </c:pt>
                <c:pt idx="2">
                  <c:v>2018</c:v>
                </c:pt>
              </c:numCache>
            </c:numRef>
          </c:cat>
          <c:val>
            <c:numRef>
              <c:f>Charts!$F$3:$F$5</c:f>
              <c:numCache>
                <c:formatCode>0%</c:formatCode>
                <c:ptCount val="3"/>
                <c:pt idx="0">
                  <c:v>3.8610038610038609E-2</c:v>
                </c:pt>
                <c:pt idx="1">
                  <c:v>6.6202090592334492E-2</c:v>
                </c:pt>
                <c:pt idx="2">
                  <c:v>5.3333333333333337E-2</c:v>
                </c:pt>
              </c:numCache>
            </c:numRef>
          </c:val>
          <c:extLst>
            <c:ext xmlns:c16="http://schemas.microsoft.com/office/drawing/2014/chart" uri="{C3380CC4-5D6E-409C-BE32-E72D297353CC}">
              <c16:uniqueId val="{00000013-027D-4AA6-A96A-766DDC83A4B9}"/>
            </c:ext>
          </c:extLst>
        </c:ser>
        <c:ser>
          <c:idx val="5"/>
          <c:order val="5"/>
          <c:tx>
            <c:strRef>
              <c:f>Charts!$G$2</c:f>
              <c:strCache>
                <c:ptCount val="1"/>
                <c:pt idx="0">
                  <c:v>Highly unsatisfactory (%)</c:v>
                </c:pt>
              </c:strCache>
            </c:strRef>
          </c:tx>
          <c:spPr>
            <a:solidFill>
              <a:srgbClr val="FF0000"/>
            </a:solidFill>
            <a:ln>
              <a:noFill/>
            </a:ln>
            <a:effectLst/>
          </c:spPr>
          <c:invertIfNegative val="0"/>
          <c:dLbls>
            <c:delete val="1"/>
          </c:dLbls>
          <c:cat>
            <c:numRef>
              <c:f>Charts!$A$3:$A$5</c:f>
              <c:numCache>
                <c:formatCode>General</c:formatCode>
                <c:ptCount val="3"/>
                <c:pt idx="0">
                  <c:v>2016</c:v>
                </c:pt>
                <c:pt idx="1">
                  <c:v>2017</c:v>
                </c:pt>
                <c:pt idx="2">
                  <c:v>2018</c:v>
                </c:pt>
              </c:numCache>
            </c:numRef>
          </c:cat>
          <c:val>
            <c:numRef>
              <c:f>Charts!$G$3:$G$5</c:f>
              <c:numCache>
                <c:formatCode>0%</c:formatCode>
                <c:ptCount val="3"/>
                <c:pt idx="0">
                  <c:v>3.8610038610038611E-3</c:v>
                </c:pt>
                <c:pt idx="1">
                  <c:v>0</c:v>
                </c:pt>
                <c:pt idx="2">
                  <c:v>0</c:v>
                </c:pt>
              </c:numCache>
            </c:numRef>
          </c:val>
          <c:extLst>
            <c:ext xmlns:c16="http://schemas.microsoft.com/office/drawing/2014/chart" uri="{C3380CC4-5D6E-409C-BE32-E72D297353CC}">
              <c16:uniqueId val="{00000014-027D-4AA6-A96A-766DDC83A4B9}"/>
            </c:ext>
          </c:extLst>
        </c:ser>
        <c:dLbls>
          <c:dLblPos val="ctr"/>
          <c:showLegendKey val="0"/>
          <c:showVal val="1"/>
          <c:showCatName val="0"/>
          <c:showSerName val="0"/>
          <c:showPercent val="0"/>
          <c:showBubbleSize val="0"/>
        </c:dLbls>
        <c:gapWidth val="150"/>
        <c:overlap val="100"/>
        <c:axId val="1568879984"/>
        <c:axId val="1406189600"/>
      </c:barChart>
      <c:catAx>
        <c:axId val="156887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6189600"/>
        <c:crosses val="autoZero"/>
        <c:auto val="0"/>
        <c:lblAlgn val="ctr"/>
        <c:lblOffset val="100"/>
        <c:noMultiLvlLbl val="0"/>
      </c:catAx>
      <c:valAx>
        <c:axId val="140618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87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lumMod val="50000"/>
          <a:lumOff val="50000"/>
        </a:sysClr>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50000"/>
                    <a:lumOff val="50000"/>
                  </a:schemeClr>
                </a:solidFill>
                <a:latin typeface="+mn-lt"/>
                <a:ea typeface="+mn-ea"/>
                <a:cs typeface="+mn-cs"/>
              </a:defRPr>
            </a:pPr>
            <a:r>
              <a:rPr lang="en-US"/>
              <a:t>UNDP QA ratings per section, 2016-2018 (%)</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Sheet6!$AO$19</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Sheet6!$AP$18:$AS$18</c:f>
              <c:strCache>
                <c:ptCount val="4"/>
                <c:pt idx="0">
                  <c:v>TOR</c:v>
                </c:pt>
                <c:pt idx="1">
                  <c:v>Structure, methodology and data sources</c:v>
                </c:pt>
                <c:pt idx="2">
                  <c:v>Cross-cutting</c:v>
                </c:pt>
                <c:pt idx="3">
                  <c:v>Findings, conclusions, recommendations</c:v>
                </c:pt>
              </c:strCache>
            </c:strRef>
          </c:cat>
          <c:val>
            <c:numRef>
              <c:f>Sheet6!$AP$19:$AS$19</c:f>
              <c:numCache>
                <c:formatCode>General</c:formatCode>
                <c:ptCount val="4"/>
                <c:pt idx="0">
                  <c:v>82</c:v>
                </c:pt>
                <c:pt idx="1">
                  <c:v>82</c:v>
                </c:pt>
                <c:pt idx="2">
                  <c:v>53</c:v>
                </c:pt>
                <c:pt idx="3">
                  <c:v>70</c:v>
                </c:pt>
              </c:numCache>
            </c:numRef>
          </c:val>
          <c:extLst>
            <c:ext xmlns:c16="http://schemas.microsoft.com/office/drawing/2014/chart" uri="{C3380CC4-5D6E-409C-BE32-E72D297353CC}">
              <c16:uniqueId val="{00000000-F6B1-4E17-A07E-F72E70A6DFE2}"/>
            </c:ext>
          </c:extLst>
        </c:ser>
        <c:ser>
          <c:idx val="1"/>
          <c:order val="1"/>
          <c:tx>
            <c:strRef>
              <c:f>Sheet6!$AO$20</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Sheet6!$AP$18:$AS$18</c:f>
              <c:strCache>
                <c:ptCount val="4"/>
                <c:pt idx="0">
                  <c:v>TOR</c:v>
                </c:pt>
                <c:pt idx="1">
                  <c:v>Structure, methodology and data sources</c:v>
                </c:pt>
                <c:pt idx="2">
                  <c:v>Cross-cutting</c:v>
                </c:pt>
                <c:pt idx="3">
                  <c:v>Findings, conclusions, recommendations</c:v>
                </c:pt>
              </c:strCache>
            </c:strRef>
          </c:cat>
          <c:val>
            <c:numRef>
              <c:f>Sheet6!$AP$20:$AS$20</c:f>
              <c:numCache>
                <c:formatCode>General</c:formatCode>
                <c:ptCount val="4"/>
                <c:pt idx="0">
                  <c:v>77</c:v>
                </c:pt>
                <c:pt idx="1">
                  <c:v>77</c:v>
                </c:pt>
                <c:pt idx="2">
                  <c:v>56</c:v>
                </c:pt>
                <c:pt idx="3">
                  <c:v>67</c:v>
                </c:pt>
              </c:numCache>
            </c:numRef>
          </c:val>
          <c:extLst>
            <c:ext xmlns:c16="http://schemas.microsoft.com/office/drawing/2014/chart" uri="{C3380CC4-5D6E-409C-BE32-E72D297353CC}">
              <c16:uniqueId val="{00000001-F6B1-4E17-A07E-F72E70A6DFE2}"/>
            </c:ext>
          </c:extLst>
        </c:ser>
        <c:ser>
          <c:idx val="2"/>
          <c:order val="2"/>
          <c:tx>
            <c:strRef>
              <c:f>Sheet6!$AO$21</c:f>
              <c:strCache>
                <c:ptCount val="1"/>
                <c:pt idx="0">
                  <c:v>2018</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Sheet6!$AP$18:$AS$18</c:f>
              <c:strCache>
                <c:ptCount val="4"/>
                <c:pt idx="0">
                  <c:v>TOR</c:v>
                </c:pt>
                <c:pt idx="1">
                  <c:v>Structure, methodology and data sources</c:v>
                </c:pt>
                <c:pt idx="2">
                  <c:v>Cross-cutting</c:v>
                </c:pt>
                <c:pt idx="3">
                  <c:v>Findings, conclusions, recommendations</c:v>
                </c:pt>
              </c:strCache>
            </c:strRef>
          </c:cat>
          <c:val>
            <c:numRef>
              <c:f>Sheet6!$AP$21:$AS$21</c:f>
              <c:numCache>
                <c:formatCode>General</c:formatCode>
                <c:ptCount val="4"/>
                <c:pt idx="0">
                  <c:v>85</c:v>
                </c:pt>
                <c:pt idx="1">
                  <c:v>76</c:v>
                </c:pt>
                <c:pt idx="2">
                  <c:v>60</c:v>
                </c:pt>
                <c:pt idx="3">
                  <c:v>71</c:v>
                </c:pt>
              </c:numCache>
            </c:numRef>
          </c:val>
          <c:extLst>
            <c:ext xmlns:c16="http://schemas.microsoft.com/office/drawing/2014/chart" uri="{C3380CC4-5D6E-409C-BE32-E72D297353CC}">
              <c16:uniqueId val="{00000002-F6B1-4E17-A07E-F72E70A6DFE2}"/>
            </c:ext>
          </c:extLst>
        </c:ser>
        <c:dLbls>
          <c:showLegendKey val="0"/>
          <c:showVal val="0"/>
          <c:showCatName val="0"/>
          <c:showSerName val="0"/>
          <c:showPercent val="0"/>
          <c:showBubbleSize val="0"/>
        </c:dLbls>
        <c:gapWidth val="150"/>
        <c:axId val="354278520"/>
        <c:axId val="354277536"/>
      </c:barChart>
      <c:catAx>
        <c:axId val="354278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354277536"/>
        <c:crosses val="autoZero"/>
        <c:auto val="1"/>
        <c:lblAlgn val="ctr"/>
        <c:lblOffset val="100"/>
        <c:noMultiLvlLbl val="0"/>
      </c:catAx>
      <c:valAx>
        <c:axId val="354277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crossAx val="35427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ln>
            <a:noFill/>
          </a:ln>
          <a:solidFill>
            <a:schemeClr val="tx1">
              <a:lumMod val="50000"/>
              <a:lumOff val="50000"/>
            </a:schemeClr>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Evaluation related expenditures 2016-2018 (USD)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Expenditures (USD million)</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Sheet1!$A$2:$A$4</c:f>
              <c:numCache>
                <c:formatCode>General</c:formatCode>
                <c:ptCount val="3"/>
                <c:pt idx="0">
                  <c:v>2016</c:v>
                </c:pt>
                <c:pt idx="1">
                  <c:v>2017</c:v>
                </c:pt>
                <c:pt idx="2">
                  <c:v>2018</c:v>
                </c:pt>
              </c:numCache>
            </c:numRef>
          </c:cat>
          <c:val>
            <c:numRef>
              <c:f>Sheet1!$B$2:$B$4</c:f>
              <c:numCache>
                <c:formatCode>General</c:formatCode>
                <c:ptCount val="3"/>
                <c:pt idx="0">
                  <c:v>19.850000000000001</c:v>
                </c:pt>
                <c:pt idx="1">
                  <c:v>21.73</c:v>
                </c:pt>
                <c:pt idx="2">
                  <c:v>22.08</c:v>
                </c:pt>
              </c:numCache>
            </c:numRef>
          </c:val>
          <c:smooth val="0"/>
          <c:extLst>
            <c:ext xmlns:c16="http://schemas.microsoft.com/office/drawing/2014/chart" uri="{C3380CC4-5D6E-409C-BE32-E72D297353CC}">
              <c16:uniqueId val="{00000001-964C-4CF3-BA21-D926AE4EA35F}"/>
            </c:ext>
          </c:extLst>
        </c:ser>
        <c:dLbls>
          <c:showLegendKey val="0"/>
          <c:showVal val="0"/>
          <c:showCatName val="0"/>
          <c:showSerName val="0"/>
          <c:showPercent val="0"/>
          <c:showBubbleSize val="0"/>
        </c:dLbls>
        <c:smooth val="0"/>
        <c:axId val="899599400"/>
        <c:axId val="899601368"/>
      </c:lineChart>
      <c:catAx>
        <c:axId val="89959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601368"/>
        <c:crosses val="autoZero"/>
        <c:auto val="1"/>
        <c:lblAlgn val="ctr"/>
        <c:lblOffset val="100"/>
        <c:noMultiLvlLbl val="0"/>
      </c:catAx>
      <c:valAx>
        <c:axId val="89960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599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lumMod val="50000"/>
          <a:lumOff val="50000"/>
        </a:sys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Status of implementation, evaluations completed 2014-2018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'Final Dec 31st'!$G$20</c:f>
              <c:strCache>
                <c:ptCount val="1"/>
                <c:pt idx="0">
                  <c:v>Thematic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'Final Dec 31st'!$H$19:$L$19</c:f>
              <c:strCache>
                <c:ptCount val="5"/>
                <c:pt idx="0">
                  <c:v>Completed</c:v>
                </c:pt>
                <c:pt idx="1">
                  <c:v>Ongoing</c:v>
                </c:pt>
                <c:pt idx="2">
                  <c:v>Not initiated</c:v>
                </c:pt>
                <c:pt idx="3">
                  <c:v>Overdue</c:v>
                </c:pt>
                <c:pt idx="4">
                  <c:v>No longer applicable</c:v>
                </c:pt>
              </c:strCache>
            </c:strRef>
          </c:cat>
          <c:val>
            <c:numRef>
              <c:f>'Final Dec 31st'!$H$20:$L$20</c:f>
              <c:numCache>
                <c:formatCode>General</c:formatCode>
                <c:ptCount val="5"/>
                <c:pt idx="0">
                  <c:v>66</c:v>
                </c:pt>
                <c:pt idx="1">
                  <c:v>31</c:v>
                </c:pt>
                <c:pt idx="2">
                  <c:v>2</c:v>
                </c:pt>
                <c:pt idx="3">
                  <c:v>0</c:v>
                </c:pt>
                <c:pt idx="4">
                  <c:v>1</c:v>
                </c:pt>
              </c:numCache>
            </c:numRef>
          </c:val>
          <c:extLst>
            <c:ext xmlns:c16="http://schemas.microsoft.com/office/drawing/2014/chart" uri="{C3380CC4-5D6E-409C-BE32-E72D297353CC}">
              <c16:uniqueId val="{00000000-4D41-4818-B732-6AA483177FB9}"/>
            </c:ext>
          </c:extLst>
        </c:ser>
        <c:ser>
          <c:idx val="1"/>
          <c:order val="1"/>
          <c:tx>
            <c:strRef>
              <c:f>'Final Dec 31st'!$G$21</c:f>
              <c:strCache>
                <c:ptCount val="1"/>
                <c:pt idx="0">
                  <c:v>ADR/ICPEs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'Final Dec 31st'!$H$19:$L$19</c:f>
              <c:strCache>
                <c:ptCount val="5"/>
                <c:pt idx="0">
                  <c:v>Completed</c:v>
                </c:pt>
                <c:pt idx="1">
                  <c:v>Ongoing</c:v>
                </c:pt>
                <c:pt idx="2">
                  <c:v>Not initiated</c:v>
                </c:pt>
                <c:pt idx="3">
                  <c:v>Overdue</c:v>
                </c:pt>
                <c:pt idx="4">
                  <c:v>No longer applicable</c:v>
                </c:pt>
              </c:strCache>
            </c:strRef>
          </c:cat>
          <c:val>
            <c:numRef>
              <c:f>'Final Dec 31st'!$H$21:$L$21</c:f>
              <c:numCache>
                <c:formatCode>General</c:formatCode>
                <c:ptCount val="5"/>
                <c:pt idx="0">
                  <c:v>57</c:v>
                </c:pt>
                <c:pt idx="1">
                  <c:v>17</c:v>
                </c:pt>
                <c:pt idx="2">
                  <c:v>2</c:v>
                </c:pt>
                <c:pt idx="3">
                  <c:v>23</c:v>
                </c:pt>
                <c:pt idx="4">
                  <c:v>1</c:v>
                </c:pt>
              </c:numCache>
            </c:numRef>
          </c:val>
          <c:extLst>
            <c:ext xmlns:c16="http://schemas.microsoft.com/office/drawing/2014/chart" uri="{C3380CC4-5D6E-409C-BE32-E72D297353CC}">
              <c16:uniqueId val="{00000001-4D41-4818-B732-6AA483177FB9}"/>
            </c:ext>
          </c:extLst>
        </c:ser>
        <c:ser>
          <c:idx val="2"/>
          <c:order val="2"/>
          <c:tx>
            <c:strRef>
              <c:f>'Final Dec 31st'!$G$22</c:f>
              <c:strCache>
                <c:ptCount val="1"/>
                <c:pt idx="0">
                  <c:v>Decentralized evaluations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'Final Dec 31st'!$H$19:$L$19</c:f>
              <c:strCache>
                <c:ptCount val="5"/>
                <c:pt idx="0">
                  <c:v>Completed</c:v>
                </c:pt>
                <c:pt idx="1">
                  <c:v>Ongoing</c:v>
                </c:pt>
                <c:pt idx="2">
                  <c:v>Not initiated</c:v>
                </c:pt>
                <c:pt idx="3">
                  <c:v>Overdue</c:v>
                </c:pt>
                <c:pt idx="4">
                  <c:v>No longer applicable</c:v>
                </c:pt>
              </c:strCache>
            </c:strRef>
          </c:cat>
          <c:val>
            <c:numRef>
              <c:f>'Final Dec 31st'!$H$22:$L$22</c:f>
              <c:numCache>
                <c:formatCode>General</c:formatCode>
                <c:ptCount val="5"/>
                <c:pt idx="0">
                  <c:v>66</c:v>
                </c:pt>
                <c:pt idx="1">
                  <c:v>15</c:v>
                </c:pt>
                <c:pt idx="2">
                  <c:v>5</c:v>
                </c:pt>
                <c:pt idx="3">
                  <c:v>8</c:v>
                </c:pt>
                <c:pt idx="4">
                  <c:v>6</c:v>
                </c:pt>
              </c:numCache>
            </c:numRef>
          </c:val>
          <c:extLst>
            <c:ext xmlns:c16="http://schemas.microsoft.com/office/drawing/2014/chart" uri="{C3380CC4-5D6E-409C-BE32-E72D297353CC}">
              <c16:uniqueId val="{00000002-4D41-4818-B732-6AA483177FB9}"/>
            </c:ext>
          </c:extLst>
        </c:ser>
        <c:dLbls>
          <c:showLegendKey val="0"/>
          <c:showVal val="0"/>
          <c:showCatName val="0"/>
          <c:showSerName val="0"/>
          <c:showPercent val="0"/>
          <c:showBubbleSize val="0"/>
        </c:dLbls>
        <c:gapWidth val="219"/>
        <c:overlap val="-27"/>
        <c:axId val="525616176"/>
        <c:axId val="525609616"/>
        <c:extLst>
          <c:ext xmlns:c15="http://schemas.microsoft.com/office/drawing/2012/chart" uri="{02D57815-91ED-43cb-92C2-25804820EDAC}">
            <c15:filteredBarSeries>
              <c15:ser>
                <c:idx val="3"/>
                <c:order val="3"/>
                <c:tx>
                  <c:strRef>
                    <c:extLst>
                      <c:ext uri="{02D57815-91ED-43cb-92C2-25804820EDAC}">
                        <c15:formulaRef>
                          <c15:sqref>'Final Dec 31st'!$G$23</c15:sqref>
                        </c15:formulaRef>
                      </c:ext>
                    </c:extLst>
                    <c:strCache>
                      <c:ptCount val="1"/>
                    </c:strCache>
                  </c:strRef>
                </c:tx>
                <c:spPr>
                  <a:solidFill>
                    <a:schemeClr val="accent4"/>
                  </a:solidFill>
                  <a:ln>
                    <a:noFill/>
                  </a:ln>
                  <a:effectLst/>
                </c:spPr>
                <c:invertIfNegative val="0"/>
                <c:cat>
                  <c:strRef>
                    <c:extLst>
                      <c:ext uri="{02D57815-91ED-43cb-92C2-25804820EDAC}">
                        <c15:formulaRef>
                          <c15:sqref>'Final Dec 31st'!$H$19:$L$19</c15:sqref>
                        </c15:formulaRef>
                      </c:ext>
                    </c:extLst>
                    <c:strCache>
                      <c:ptCount val="5"/>
                      <c:pt idx="0">
                        <c:v>Completed</c:v>
                      </c:pt>
                      <c:pt idx="1">
                        <c:v>Ongoing</c:v>
                      </c:pt>
                      <c:pt idx="2">
                        <c:v>Not initiated</c:v>
                      </c:pt>
                      <c:pt idx="3">
                        <c:v>Overdue</c:v>
                      </c:pt>
                      <c:pt idx="4">
                        <c:v>No longer applicable</c:v>
                      </c:pt>
                    </c:strCache>
                  </c:strRef>
                </c:cat>
                <c:val>
                  <c:numRef>
                    <c:extLst>
                      <c:ext uri="{02D57815-91ED-43cb-92C2-25804820EDAC}">
                        <c15:formulaRef>
                          <c15:sqref>'Final Dec 31st'!$H$23:$L$23</c15:sqref>
                        </c15:formulaRef>
                      </c:ext>
                    </c:extLst>
                    <c:numCache>
                      <c:formatCode>General</c:formatCode>
                      <c:ptCount val="5"/>
                    </c:numCache>
                  </c:numRef>
                </c:val>
                <c:extLst>
                  <c:ext xmlns:c16="http://schemas.microsoft.com/office/drawing/2014/chart" uri="{C3380CC4-5D6E-409C-BE32-E72D297353CC}">
                    <c16:uniqueId val="{00000003-4D41-4818-B732-6AA483177FB9}"/>
                  </c:ext>
                </c:extLst>
              </c15:ser>
            </c15:filteredBarSeries>
          </c:ext>
        </c:extLst>
      </c:barChart>
      <c:catAx>
        <c:axId val="52561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609616"/>
        <c:crosses val="autoZero"/>
        <c:auto val="1"/>
        <c:lblAlgn val="ctr"/>
        <c:lblOffset val="100"/>
        <c:noMultiLvlLbl val="0"/>
      </c:catAx>
      <c:valAx>
        <c:axId val="52560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61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0.19043</cdr:x>
      <cdr:y>0.11529</cdr:y>
    </cdr:from>
    <cdr:to>
      <cdr:x>0.21098</cdr:x>
      <cdr:y>0.13405</cdr:y>
    </cdr:to>
    <cdr:sp macro="" textlink="">
      <cdr:nvSpPr>
        <cdr:cNvPr id="2" name="Text Box 1"/>
        <cdr:cNvSpPr txBox="1"/>
      </cdr:nvSpPr>
      <cdr:spPr>
        <a:xfrm xmlns:a="http://schemas.openxmlformats.org/drawingml/2006/main">
          <a:off x="1199072" y="370936"/>
          <a:ext cx="129396" cy="60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7E5D4-535C-4AEB-8E4B-299AFD7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Executive Board of undp/unfpa/unops</dc:subject>
  <dc:creator>Mary Mugambi</dc:creator>
  <cp:keywords/>
  <dc:description/>
  <cp:lastModifiedBy>Svetlana Iazykova</cp:lastModifiedBy>
  <cp:revision>5</cp:revision>
  <cp:lastPrinted>2019-04-03T14:02:00Z</cp:lastPrinted>
  <dcterms:created xsi:type="dcterms:W3CDTF">2019-04-29T14:58:00Z</dcterms:created>
  <dcterms:modified xsi:type="dcterms:W3CDTF">2019-05-08T15:34:00Z</dcterms:modified>
</cp:coreProperties>
</file>