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015E" w14:textId="1FF4F865" w:rsidR="00A22D2A" w:rsidRPr="00A22D2A" w:rsidRDefault="00A22D2A" w:rsidP="00A22D2A">
      <w:pPr>
        <w:spacing w:after="200" w:line="240" w:lineRule="auto"/>
        <w:jc w:val="center"/>
        <w:rPr>
          <w:rFonts w:ascii="Calibri" w:eastAsia="Calibri" w:hAnsi="Calibri" w:cs="Times New Roman"/>
          <w:b/>
          <w:sz w:val="24"/>
          <w:szCs w:val="24"/>
          <w:lang w:val="en-AU"/>
        </w:rPr>
      </w:pPr>
      <w:r w:rsidRPr="00A22D2A">
        <w:rPr>
          <w:rFonts w:ascii="Calibri" w:eastAsia="Calibri" w:hAnsi="Calibri" w:cs="Times New Roman"/>
          <w:b/>
          <w:sz w:val="24"/>
          <w:szCs w:val="24"/>
          <w:lang w:val="en-AU"/>
        </w:rPr>
        <w:t xml:space="preserve">COMMENTS ON THE UNDP DRAFT COUNTRY PROGRAMME DOCUMENT FOR </w:t>
      </w:r>
      <w:r>
        <w:rPr>
          <w:rFonts w:ascii="Calibri" w:eastAsia="Calibri" w:hAnsi="Calibri" w:cs="Times New Roman"/>
          <w:b/>
          <w:sz w:val="24"/>
          <w:szCs w:val="24"/>
          <w:lang w:val="en-AU"/>
        </w:rPr>
        <w:t>INDONESIA</w:t>
      </w:r>
      <w:r w:rsidRPr="00A22D2A">
        <w:rPr>
          <w:rFonts w:ascii="Calibri" w:eastAsia="Calibri" w:hAnsi="Calibri" w:cs="Times New Roman"/>
          <w:b/>
          <w:sz w:val="24"/>
          <w:szCs w:val="24"/>
          <w:lang w:val="en-AU"/>
        </w:rPr>
        <w:t xml:space="preserve"> (2021-2025)</w:t>
      </w:r>
    </w:p>
    <w:p w14:paraId="45951DDC" w14:textId="77777777" w:rsidR="00A22D2A" w:rsidRPr="00A22D2A" w:rsidRDefault="00A22D2A" w:rsidP="00703D70">
      <w:pPr>
        <w:spacing w:after="0" w:line="240" w:lineRule="auto"/>
        <w:jc w:val="center"/>
        <w:rPr>
          <w:rFonts w:ascii="Calibri" w:eastAsia="Calibri" w:hAnsi="Calibri" w:cs="Times New Roman"/>
          <w:i/>
          <w:sz w:val="24"/>
          <w:szCs w:val="24"/>
          <w:lang w:val="en-AU"/>
        </w:rPr>
      </w:pPr>
      <w:r w:rsidRPr="00A22D2A">
        <w:rPr>
          <w:rFonts w:ascii="Calibri" w:eastAsia="Calibri" w:hAnsi="Calibri" w:cs="Times New Roman"/>
          <w:i/>
          <w:sz w:val="24"/>
          <w:szCs w:val="24"/>
          <w:lang w:val="en-AU"/>
        </w:rPr>
        <w:t>Second regular session 2020</w:t>
      </w:r>
    </w:p>
    <w:p w14:paraId="7C5CBC0F" w14:textId="77777777" w:rsidR="006837DE" w:rsidRPr="00C20BFF" w:rsidRDefault="006837DE" w:rsidP="00C20BFF">
      <w:pPr>
        <w:autoSpaceDE w:val="0"/>
        <w:autoSpaceDN w:val="0"/>
        <w:adjustRightInd w:val="0"/>
        <w:spacing w:before="120" w:after="0" w:line="252" w:lineRule="auto"/>
        <w:rPr>
          <w:rFonts w:cstheme="minorHAnsi"/>
          <w:color w:val="000000"/>
        </w:rPr>
      </w:pPr>
    </w:p>
    <w:tbl>
      <w:tblPr>
        <w:tblStyle w:val="TableGrid"/>
        <w:tblW w:w="0" w:type="auto"/>
        <w:tblLook w:val="04A0" w:firstRow="1" w:lastRow="0" w:firstColumn="1" w:lastColumn="0" w:noHBand="0" w:noVBand="1"/>
      </w:tblPr>
      <w:tblGrid>
        <w:gridCol w:w="6974"/>
        <w:gridCol w:w="6974"/>
      </w:tblGrid>
      <w:tr w:rsidR="006837DE" w:rsidRPr="00C20BFF" w14:paraId="3E8A6795" w14:textId="77777777" w:rsidTr="00101298">
        <w:trPr>
          <w:trHeight w:val="512"/>
        </w:trPr>
        <w:tc>
          <w:tcPr>
            <w:tcW w:w="6974" w:type="dxa"/>
            <w:vAlign w:val="center"/>
          </w:tcPr>
          <w:p w14:paraId="691F9F80" w14:textId="6C924FF8" w:rsidR="006837DE" w:rsidRPr="00C20BFF" w:rsidRDefault="00101298" w:rsidP="00101298">
            <w:pPr>
              <w:autoSpaceDE w:val="0"/>
              <w:autoSpaceDN w:val="0"/>
              <w:adjustRightInd w:val="0"/>
              <w:spacing w:line="252" w:lineRule="auto"/>
              <w:jc w:val="center"/>
              <w:rPr>
                <w:rFonts w:cstheme="minorHAnsi"/>
                <w:b/>
                <w:bCs/>
                <w:color w:val="000000"/>
              </w:rPr>
            </w:pPr>
            <w:r>
              <w:rPr>
                <w:rFonts w:cstheme="minorHAnsi"/>
                <w:b/>
                <w:bCs/>
                <w:color w:val="000000"/>
              </w:rPr>
              <w:t>Comments by the U.S.A.</w:t>
            </w:r>
          </w:p>
        </w:tc>
        <w:tc>
          <w:tcPr>
            <w:tcW w:w="6974" w:type="dxa"/>
            <w:vAlign w:val="center"/>
          </w:tcPr>
          <w:p w14:paraId="7D36E8B5" w14:textId="69790D27" w:rsidR="006837DE" w:rsidRPr="00C20BFF" w:rsidRDefault="00101298" w:rsidP="00101298">
            <w:pPr>
              <w:autoSpaceDE w:val="0"/>
              <w:autoSpaceDN w:val="0"/>
              <w:adjustRightInd w:val="0"/>
              <w:spacing w:line="252" w:lineRule="auto"/>
              <w:jc w:val="center"/>
              <w:rPr>
                <w:rFonts w:cstheme="minorHAnsi"/>
                <w:b/>
                <w:bCs/>
                <w:color w:val="000000"/>
              </w:rPr>
            </w:pPr>
            <w:r>
              <w:rPr>
                <w:rFonts w:cstheme="minorHAnsi"/>
                <w:b/>
                <w:bCs/>
                <w:color w:val="000000"/>
              </w:rPr>
              <w:t>R</w:t>
            </w:r>
            <w:r w:rsidR="006837DE" w:rsidRPr="00C20BFF">
              <w:rPr>
                <w:rFonts w:cstheme="minorHAnsi"/>
                <w:b/>
                <w:bCs/>
                <w:color w:val="000000"/>
              </w:rPr>
              <w:t xml:space="preserve">esponse </w:t>
            </w:r>
            <w:r>
              <w:rPr>
                <w:rFonts w:cstheme="minorHAnsi"/>
                <w:b/>
                <w:bCs/>
                <w:color w:val="000000"/>
              </w:rPr>
              <w:t>by the UNDP Country Office</w:t>
            </w:r>
          </w:p>
        </w:tc>
      </w:tr>
      <w:tr w:rsidR="006837DE" w:rsidRPr="00C20BFF" w14:paraId="2716EE28" w14:textId="77777777" w:rsidTr="78D92F9B">
        <w:tc>
          <w:tcPr>
            <w:tcW w:w="6974" w:type="dxa"/>
          </w:tcPr>
          <w:p w14:paraId="5EB49478" w14:textId="44445952" w:rsidR="006837DE" w:rsidRPr="00C20BFF" w:rsidRDefault="006837DE" w:rsidP="00C20BFF">
            <w:pPr>
              <w:autoSpaceDE w:val="0"/>
              <w:autoSpaceDN w:val="0"/>
              <w:adjustRightInd w:val="0"/>
              <w:spacing w:before="120" w:line="252" w:lineRule="auto"/>
              <w:rPr>
                <w:rFonts w:cstheme="minorHAnsi"/>
                <w:color w:val="000000"/>
              </w:rPr>
            </w:pPr>
            <w:r w:rsidRPr="00C20BFF">
              <w:rPr>
                <w:rFonts w:cstheme="minorHAnsi"/>
              </w:rPr>
              <w:t xml:space="preserve">The CPD describes lessons learned from the independent evaluation on the successes. However, there are no lessons learned (especially on what </w:t>
            </w:r>
            <w:proofErr w:type="gramStart"/>
            <w:r w:rsidRPr="00C20BFF">
              <w:rPr>
                <w:rFonts w:cstheme="minorHAnsi"/>
              </w:rPr>
              <w:t>doesn't</w:t>
            </w:r>
            <w:proofErr w:type="gramEnd"/>
            <w:r w:rsidRPr="00C20BFF">
              <w:rPr>
                <w:rFonts w:cstheme="minorHAnsi"/>
              </w:rPr>
              <w:t xml:space="preserve"> work) related with the four outcomes that UNDP intends to do. Describing the lesson learned will help and justify why the current approaches are a better tool to address the development challenges.</w:t>
            </w:r>
          </w:p>
        </w:tc>
        <w:tc>
          <w:tcPr>
            <w:tcW w:w="6974" w:type="dxa"/>
          </w:tcPr>
          <w:p w14:paraId="07748C8A" w14:textId="457DD89F" w:rsidR="002A7BC4" w:rsidRPr="00C20BFF" w:rsidRDefault="00543643" w:rsidP="00C20BFF">
            <w:pPr>
              <w:autoSpaceDE w:val="0"/>
              <w:autoSpaceDN w:val="0"/>
              <w:adjustRightInd w:val="0"/>
              <w:spacing w:before="120" w:line="252" w:lineRule="auto"/>
              <w:jc w:val="both"/>
              <w:rPr>
                <w:rFonts w:cstheme="minorHAnsi"/>
                <w:color w:val="000000"/>
              </w:rPr>
            </w:pPr>
            <w:r w:rsidRPr="00C20BFF">
              <w:rPr>
                <w:rFonts w:cstheme="minorHAnsi"/>
                <w:color w:val="000000"/>
              </w:rPr>
              <w:t xml:space="preserve">Para 7 </w:t>
            </w:r>
            <w:r w:rsidR="002A7BC4" w:rsidRPr="00C20BFF">
              <w:rPr>
                <w:rFonts w:cstheme="minorHAnsi"/>
                <w:color w:val="000000"/>
              </w:rPr>
              <w:t xml:space="preserve">discusses </w:t>
            </w:r>
            <w:r w:rsidRPr="00C20BFF">
              <w:rPr>
                <w:rFonts w:cstheme="minorHAnsi"/>
                <w:color w:val="000000"/>
              </w:rPr>
              <w:t>three</w:t>
            </w:r>
            <w:r w:rsidR="002A7BC4" w:rsidRPr="00C20BFF">
              <w:rPr>
                <w:rFonts w:cstheme="minorHAnsi"/>
                <w:color w:val="000000"/>
              </w:rPr>
              <w:t xml:space="preserve"> key recommendations of the evaluation: </w:t>
            </w:r>
          </w:p>
          <w:p w14:paraId="11A2223C" w14:textId="77777777" w:rsidR="006837DE" w:rsidRPr="00C20BFF" w:rsidRDefault="002A7BC4" w:rsidP="00C20BFF">
            <w:pPr>
              <w:pStyle w:val="ListParagraph"/>
              <w:numPr>
                <w:ilvl w:val="0"/>
                <w:numId w:val="26"/>
              </w:numPr>
              <w:autoSpaceDE w:val="0"/>
              <w:autoSpaceDN w:val="0"/>
              <w:adjustRightInd w:val="0"/>
              <w:spacing w:before="120" w:after="0" w:line="252" w:lineRule="auto"/>
              <w:contextualSpacing w:val="0"/>
              <w:jc w:val="both"/>
              <w:rPr>
                <w:rFonts w:cstheme="minorHAnsi"/>
                <w:color w:val="000000"/>
              </w:rPr>
            </w:pPr>
            <w:r w:rsidRPr="00C20BFF">
              <w:rPr>
                <w:rFonts w:cstheme="minorHAnsi"/>
                <w:color w:val="000000"/>
              </w:rPr>
              <w:t>Ensuring financial sustainability of the country programme</w:t>
            </w:r>
          </w:p>
          <w:p w14:paraId="59A0BC8E" w14:textId="1312A249" w:rsidR="002A7BC4" w:rsidRPr="00C20BFF" w:rsidRDefault="002A7BC4" w:rsidP="00C20BFF">
            <w:pPr>
              <w:pStyle w:val="ListParagraph"/>
              <w:numPr>
                <w:ilvl w:val="0"/>
                <w:numId w:val="26"/>
              </w:numPr>
              <w:autoSpaceDE w:val="0"/>
              <w:autoSpaceDN w:val="0"/>
              <w:adjustRightInd w:val="0"/>
              <w:spacing w:before="120" w:after="0" w:line="252" w:lineRule="auto"/>
              <w:contextualSpacing w:val="0"/>
              <w:jc w:val="both"/>
              <w:rPr>
                <w:rFonts w:cstheme="minorHAnsi"/>
                <w:color w:val="000000"/>
              </w:rPr>
            </w:pPr>
            <w:r w:rsidRPr="00C20BFF">
              <w:rPr>
                <w:rFonts w:cstheme="minorHAnsi"/>
                <w:color w:val="000000"/>
              </w:rPr>
              <w:t xml:space="preserve">Making UNDP support to government more strategic and demand driven </w:t>
            </w:r>
          </w:p>
          <w:p w14:paraId="01E67C66" w14:textId="77777777" w:rsidR="002A7BC4" w:rsidRPr="00C20BFF" w:rsidRDefault="002A7BC4" w:rsidP="00C20BFF">
            <w:pPr>
              <w:pStyle w:val="ListParagraph"/>
              <w:numPr>
                <w:ilvl w:val="0"/>
                <w:numId w:val="26"/>
              </w:numPr>
              <w:autoSpaceDE w:val="0"/>
              <w:autoSpaceDN w:val="0"/>
              <w:adjustRightInd w:val="0"/>
              <w:spacing w:before="120" w:after="0" w:line="252" w:lineRule="auto"/>
              <w:contextualSpacing w:val="0"/>
              <w:jc w:val="both"/>
              <w:rPr>
                <w:rFonts w:cstheme="minorHAnsi"/>
                <w:color w:val="000000"/>
              </w:rPr>
            </w:pPr>
            <w:r w:rsidRPr="00C20BFF">
              <w:rPr>
                <w:rFonts w:cstheme="minorHAnsi"/>
                <w:color w:val="000000"/>
              </w:rPr>
              <w:t>Improving monitoring and evaluation function, especially with regard to investments on gender</w:t>
            </w:r>
          </w:p>
          <w:p w14:paraId="029D19A5" w14:textId="06EA5376" w:rsidR="00276C9B" w:rsidRPr="00C20BFF" w:rsidRDefault="00276C9B" w:rsidP="00C20BFF">
            <w:pPr>
              <w:autoSpaceDE w:val="0"/>
              <w:autoSpaceDN w:val="0"/>
              <w:adjustRightInd w:val="0"/>
              <w:spacing w:before="120" w:line="252" w:lineRule="auto"/>
              <w:jc w:val="both"/>
              <w:rPr>
                <w:rFonts w:cstheme="minorHAnsi"/>
                <w:color w:val="000000"/>
              </w:rPr>
            </w:pPr>
            <w:r w:rsidRPr="00C20BFF">
              <w:rPr>
                <w:rFonts w:cstheme="minorHAnsi"/>
                <w:color w:val="000000"/>
              </w:rPr>
              <w:t xml:space="preserve">Accordingly, the CPD stresses strengthening existing and new partnerships at the national </w:t>
            </w:r>
            <w:proofErr w:type="spellStart"/>
            <w:r w:rsidRPr="00C20BFF">
              <w:rPr>
                <w:rFonts w:cstheme="minorHAnsi"/>
                <w:color w:val="000000"/>
              </w:rPr>
              <w:t>andat</w:t>
            </w:r>
            <w:proofErr w:type="spellEnd"/>
            <w:r w:rsidRPr="00C20BFF">
              <w:rPr>
                <w:rFonts w:cstheme="minorHAnsi"/>
                <w:color w:val="000000"/>
              </w:rPr>
              <w:t xml:space="preserve"> the regional level (para36).</w:t>
            </w:r>
          </w:p>
          <w:p w14:paraId="333E70BD" w14:textId="1E586D67" w:rsidR="00276C9B" w:rsidRPr="00C20BFF" w:rsidRDefault="00276C9B" w:rsidP="00C20BFF">
            <w:pPr>
              <w:autoSpaceDE w:val="0"/>
              <w:autoSpaceDN w:val="0"/>
              <w:adjustRightInd w:val="0"/>
              <w:spacing w:before="120" w:line="252" w:lineRule="auto"/>
              <w:jc w:val="both"/>
              <w:rPr>
                <w:rFonts w:cstheme="minorHAnsi"/>
                <w:color w:val="000000"/>
              </w:rPr>
            </w:pPr>
            <w:r w:rsidRPr="00C20BFF">
              <w:rPr>
                <w:rFonts w:cstheme="minorHAnsi"/>
                <w:color w:val="000000"/>
              </w:rPr>
              <w:t xml:space="preserve"> With a view to enhancing the financial portfolio of the country office as well as support for achieving the SDGs in Indonesia, a twin strategy is proposed in para 31 and 32. One, UNDP will support the Government in developing an integrated national financing framework as elaborated in the Addis Ababa Action Agenda. Two, considerable emphasis is placed on innovative financing models in partnership with the government, private sector and non-traditional partners.</w:t>
            </w:r>
          </w:p>
          <w:p w14:paraId="250E6B1F" w14:textId="7442272F" w:rsidR="00276C9B" w:rsidRPr="00C20BFF" w:rsidRDefault="00276C9B" w:rsidP="00C20BFF">
            <w:pPr>
              <w:autoSpaceDE w:val="0"/>
              <w:autoSpaceDN w:val="0"/>
              <w:adjustRightInd w:val="0"/>
              <w:spacing w:before="120" w:line="252" w:lineRule="auto"/>
              <w:jc w:val="both"/>
              <w:rPr>
                <w:rFonts w:cstheme="minorHAnsi"/>
                <w:color w:val="000000"/>
              </w:rPr>
            </w:pPr>
            <w:r w:rsidRPr="00C20BFF">
              <w:rPr>
                <w:rFonts w:cstheme="minorHAnsi"/>
                <w:color w:val="000000"/>
              </w:rPr>
              <w:t xml:space="preserve"> Regarding making UNDP support strategic and demand driven, UNDP has elaborated three key methods across outcome areas:  1) by maximising the integrator role across the Goals, 2) by finding opportunities to influence change through system-wide interventions and 3) </w:t>
            </w:r>
            <w:r w:rsidR="00440A11" w:rsidRPr="00C20BFF">
              <w:rPr>
                <w:rFonts w:cstheme="minorHAnsi"/>
                <w:color w:val="000000"/>
              </w:rPr>
              <w:t>by</w:t>
            </w:r>
            <w:r w:rsidRPr="00C20BFF">
              <w:rPr>
                <w:rFonts w:cstheme="minorHAnsi"/>
                <w:color w:val="000000"/>
              </w:rPr>
              <w:t xml:space="preserve"> leverag</w:t>
            </w:r>
            <w:r w:rsidR="00440A11" w:rsidRPr="00C20BFF">
              <w:rPr>
                <w:rFonts w:cstheme="minorHAnsi"/>
                <w:color w:val="000000"/>
              </w:rPr>
              <w:t>ing</w:t>
            </w:r>
            <w:r w:rsidRPr="00C20BFF">
              <w:rPr>
                <w:rFonts w:cstheme="minorHAnsi"/>
                <w:color w:val="000000"/>
              </w:rPr>
              <w:t xml:space="preserve"> innovation for new development approaches and solutions </w:t>
            </w:r>
            <w:r w:rsidR="00440A11" w:rsidRPr="00C20BFF">
              <w:rPr>
                <w:rFonts w:cstheme="minorHAnsi"/>
                <w:color w:val="000000"/>
              </w:rPr>
              <w:t>. T</w:t>
            </w:r>
            <w:r w:rsidRPr="00C20BFF">
              <w:rPr>
                <w:rFonts w:cstheme="minorHAnsi"/>
                <w:color w:val="000000"/>
              </w:rPr>
              <w:t>hese pathways are elaborated across all four outcomes</w:t>
            </w:r>
            <w:r w:rsidR="00440A11" w:rsidRPr="00C20BFF">
              <w:rPr>
                <w:rFonts w:cstheme="minorHAnsi"/>
                <w:color w:val="000000"/>
              </w:rPr>
              <w:t>.</w:t>
            </w:r>
            <w:r w:rsidRPr="00C20BFF">
              <w:rPr>
                <w:rFonts w:cstheme="minorHAnsi"/>
                <w:color w:val="000000"/>
              </w:rPr>
              <w:t xml:space="preserve"> </w:t>
            </w:r>
          </w:p>
          <w:p w14:paraId="50B0BB86" w14:textId="475A5777" w:rsidR="00276C9B" w:rsidRPr="00C20BFF" w:rsidRDefault="00276C9B" w:rsidP="00C20BFF">
            <w:pPr>
              <w:autoSpaceDE w:val="0"/>
              <w:autoSpaceDN w:val="0"/>
              <w:adjustRightInd w:val="0"/>
              <w:spacing w:before="120" w:line="252" w:lineRule="auto"/>
              <w:jc w:val="both"/>
              <w:rPr>
                <w:rFonts w:cstheme="minorHAnsi"/>
                <w:color w:val="000000"/>
              </w:rPr>
            </w:pPr>
            <w:r w:rsidRPr="00C20BFF">
              <w:rPr>
                <w:rFonts w:cstheme="minorHAnsi"/>
                <w:color w:val="000000"/>
              </w:rPr>
              <w:lastRenderedPageBreak/>
              <w:t xml:space="preserve">Regarding improving monitoring and evaluation function, especially with regard to investments on gender, para 39-42 elaborate </w:t>
            </w:r>
            <w:r w:rsidR="00440A11" w:rsidRPr="00C20BFF">
              <w:rPr>
                <w:rFonts w:cstheme="minorHAnsi"/>
                <w:color w:val="000000"/>
              </w:rPr>
              <w:t xml:space="preserve">on </w:t>
            </w:r>
            <w:r w:rsidRPr="00C20BFF">
              <w:rPr>
                <w:rFonts w:cstheme="minorHAnsi"/>
                <w:color w:val="000000"/>
              </w:rPr>
              <w:t>the technical and financial investments towards enhanced monitoring and evaluation function, with a special emphasis on gender.</w:t>
            </w:r>
          </w:p>
        </w:tc>
      </w:tr>
      <w:tr w:rsidR="006837DE" w:rsidRPr="00C20BFF" w14:paraId="237C0437" w14:textId="77777777" w:rsidTr="78D92F9B">
        <w:tc>
          <w:tcPr>
            <w:tcW w:w="6974" w:type="dxa"/>
          </w:tcPr>
          <w:p w14:paraId="35BB2C47" w14:textId="06F34213" w:rsidR="006837DE" w:rsidRPr="00C20BFF" w:rsidRDefault="006837DE" w:rsidP="00C20BFF">
            <w:pPr>
              <w:autoSpaceDE w:val="0"/>
              <w:autoSpaceDN w:val="0"/>
              <w:adjustRightInd w:val="0"/>
              <w:spacing w:before="120" w:line="252" w:lineRule="auto"/>
              <w:rPr>
                <w:rFonts w:cstheme="minorHAnsi"/>
                <w:color w:val="000000"/>
              </w:rPr>
            </w:pPr>
            <w:r w:rsidRPr="00C20BFF">
              <w:rPr>
                <w:rFonts w:cstheme="minorHAnsi"/>
              </w:rPr>
              <w:lastRenderedPageBreak/>
              <w:t xml:space="preserve">Each outcome contains a theory of change / hypothesis (#11, #18, #24, #29). </w:t>
            </w:r>
            <w:proofErr w:type="gramStart"/>
            <w:r w:rsidRPr="00C20BFF">
              <w:rPr>
                <w:rFonts w:cstheme="minorHAnsi"/>
              </w:rPr>
              <w:t>However</w:t>
            </w:r>
            <w:proofErr w:type="gramEnd"/>
            <w:r w:rsidRPr="00C20BFF">
              <w:rPr>
                <w:rFonts w:cstheme="minorHAnsi"/>
              </w:rPr>
              <w:t xml:space="preserve"> there are no problem analyses that will be addressed by the theory of change. A problem analysis (maybe summary of what the problems are) will help the audience to understand better the theory of change.</w:t>
            </w:r>
          </w:p>
        </w:tc>
        <w:tc>
          <w:tcPr>
            <w:tcW w:w="6974" w:type="dxa"/>
          </w:tcPr>
          <w:p w14:paraId="689E7F06" w14:textId="07E55CA2" w:rsidR="006837DE" w:rsidRPr="00C20BFF" w:rsidRDefault="006837DE" w:rsidP="00C20BFF">
            <w:pPr>
              <w:autoSpaceDE w:val="0"/>
              <w:autoSpaceDN w:val="0"/>
              <w:adjustRightInd w:val="0"/>
              <w:spacing w:before="120" w:line="252" w:lineRule="auto"/>
              <w:jc w:val="both"/>
              <w:rPr>
                <w:rFonts w:cstheme="minorHAnsi"/>
                <w:color w:val="000000"/>
              </w:rPr>
            </w:pPr>
            <w:r w:rsidRPr="00C20BFF">
              <w:rPr>
                <w:rFonts w:cstheme="minorHAnsi"/>
                <w:color w:val="000000" w:themeColor="text1"/>
              </w:rPr>
              <w:t xml:space="preserve">The CPD is directly derived from the </w:t>
            </w:r>
            <w:hyperlink r:id="rId10" w:history="1">
              <w:r w:rsidR="00543643" w:rsidRPr="00C20BFF">
                <w:rPr>
                  <w:rStyle w:val="Hyperlink"/>
                  <w:rFonts w:cstheme="minorHAnsi"/>
                </w:rPr>
                <w:t>UN Sustainable Development Cooperation Framework (</w:t>
              </w:r>
              <w:r w:rsidRPr="00C20BFF">
                <w:rPr>
                  <w:rStyle w:val="Hyperlink"/>
                  <w:rFonts w:cstheme="minorHAnsi"/>
                </w:rPr>
                <w:t>UNSDCF</w:t>
              </w:r>
              <w:r w:rsidR="00543643" w:rsidRPr="00C20BFF">
                <w:rPr>
                  <w:rStyle w:val="Hyperlink"/>
                  <w:rFonts w:cstheme="minorHAnsi"/>
                </w:rPr>
                <w:t>)</w:t>
              </w:r>
            </w:hyperlink>
            <w:r w:rsidRPr="00C20BFF">
              <w:rPr>
                <w:rFonts w:cstheme="minorHAnsi"/>
                <w:color w:val="000000" w:themeColor="text1"/>
              </w:rPr>
              <w:t xml:space="preserve"> which contains a detailed problem analysis for each outcome area.  </w:t>
            </w:r>
            <w:r w:rsidR="12960298" w:rsidRPr="00C20BFF">
              <w:rPr>
                <w:rFonts w:cstheme="minorHAnsi"/>
                <w:color w:val="000000" w:themeColor="text1"/>
              </w:rPr>
              <w:t xml:space="preserve"> Please kindly refer to</w:t>
            </w:r>
            <w:r w:rsidRPr="00C20BFF">
              <w:rPr>
                <w:rFonts w:cstheme="minorHAnsi"/>
                <w:color w:val="000000" w:themeColor="text1"/>
              </w:rPr>
              <w:t xml:space="preserve"> the UNSDCF. </w:t>
            </w:r>
          </w:p>
        </w:tc>
      </w:tr>
      <w:tr w:rsidR="006837DE" w:rsidRPr="00C20BFF" w14:paraId="5F225C86" w14:textId="77777777" w:rsidTr="78D92F9B">
        <w:tc>
          <w:tcPr>
            <w:tcW w:w="6974" w:type="dxa"/>
          </w:tcPr>
          <w:p w14:paraId="67BA6F32" w14:textId="67A21B17" w:rsidR="006837DE" w:rsidRPr="00C20BFF" w:rsidRDefault="006837DE" w:rsidP="00C20BFF">
            <w:pPr>
              <w:autoSpaceDE w:val="0"/>
              <w:autoSpaceDN w:val="0"/>
              <w:adjustRightInd w:val="0"/>
              <w:spacing w:before="120" w:line="252" w:lineRule="auto"/>
              <w:rPr>
                <w:rFonts w:cstheme="minorHAnsi"/>
                <w:color w:val="000000"/>
              </w:rPr>
            </w:pPr>
            <w:r w:rsidRPr="00C20BFF">
              <w:rPr>
                <w:rFonts w:cstheme="minorHAnsi"/>
              </w:rPr>
              <w:t>The theory of change is only at the outcome level.  Will a theory of change summarizing all four outcomes to reflect a higher development goal be helpful?</w:t>
            </w:r>
          </w:p>
        </w:tc>
        <w:tc>
          <w:tcPr>
            <w:tcW w:w="6974" w:type="dxa"/>
          </w:tcPr>
          <w:p w14:paraId="2A5F5325" w14:textId="7C711331" w:rsidR="006837DE" w:rsidRPr="00C20BFF" w:rsidRDefault="002A7BC4" w:rsidP="00C20BFF">
            <w:pPr>
              <w:autoSpaceDE w:val="0"/>
              <w:autoSpaceDN w:val="0"/>
              <w:adjustRightInd w:val="0"/>
              <w:spacing w:before="120" w:line="252" w:lineRule="auto"/>
              <w:jc w:val="both"/>
              <w:rPr>
                <w:rFonts w:cstheme="minorHAnsi"/>
                <w:color w:val="000000"/>
              </w:rPr>
            </w:pPr>
            <w:r w:rsidRPr="00C20BFF">
              <w:rPr>
                <w:rFonts w:cstheme="minorHAnsi"/>
                <w:color w:val="000000"/>
              </w:rPr>
              <w:t>Pl</w:t>
            </w:r>
            <w:r w:rsidR="00543643" w:rsidRPr="00C20BFF">
              <w:rPr>
                <w:rFonts w:cstheme="minorHAnsi"/>
                <w:color w:val="000000"/>
              </w:rPr>
              <w:t>ea</w:t>
            </w:r>
            <w:r w:rsidRPr="00C20BFF">
              <w:rPr>
                <w:rFonts w:cstheme="minorHAnsi"/>
                <w:color w:val="000000"/>
              </w:rPr>
              <w:t>s</w:t>
            </w:r>
            <w:r w:rsidR="00543643" w:rsidRPr="00C20BFF">
              <w:rPr>
                <w:rFonts w:cstheme="minorHAnsi"/>
                <w:color w:val="000000"/>
              </w:rPr>
              <w:t>e</w:t>
            </w:r>
            <w:r w:rsidRPr="00C20BFF">
              <w:rPr>
                <w:rFonts w:cstheme="minorHAnsi"/>
                <w:color w:val="000000"/>
              </w:rPr>
              <w:t xml:space="preserve"> refer to para 4 - </w:t>
            </w:r>
            <w:r w:rsidR="006837DE" w:rsidRPr="00C20BFF">
              <w:rPr>
                <w:rFonts w:cstheme="minorHAnsi"/>
                <w:color w:val="000000"/>
              </w:rPr>
              <w:t xml:space="preserve">The CPD is directly derived from the UNSDCF which contains </w:t>
            </w:r>
            <w:r w:rsidR="00AF4413" w:rsidRPr="00C20BFF">
              <w:rPr>
                <w:rFonts w:cstheme="minorHAnsi"/>
                <w:color w:val="000000"/>
              </w:rPr>
              <w:t xml:space="preserve">the </w:t>
            </w:r>
            <w:r w:rsidR="006837DE" w:rsidRPr="00C20BFF">
              <w:rPr>
                <w:rFonts w:cstheme="minorHAnsi"/>
                <w:color w:val="000000"/>
              </w:rPr>
              <w:t xml:space="preserve">detailed description of the higher overall development goal towards which all UN agencies contribute. </w:t>
            </w:r>
          </w:p>
          <w:p w14:paraId="7648BA5C" w14:textId="01ED194B" w:rsidR="00AF4413" w:rsidRPr="00C20BFF" w:rsidRDefault="00AF4413" w:rsidP="00101298">
            <w:pPr>
              <w:autoSpaceDE w:val="0"/>
              <w:autoSpaceDN w:val="0"/>
              <w:adjustRightInd w:val="0"/>
              <w:spacing w:before="120" w:after="120" w:line="252" w:lineRule="auto"/>
              <w:jc w:val="both"/>
              <w:rPr>
                <w:rFonts w:cstheme="minorHAnsi"/>
                <w:color w:val="000000"/>
              </w:rPr>
            </w:pPr>
            <w:r w:rsidRPr="00C20BFF">
              <w:rPr>
                <w:rFonts w:cstheme="minorHAnsi"/>
                <w:color w:val="000000"/>
              </w:rPr>
              <w:t>Pl</w:t>
            </w:r>
            <w:r w:rsidR="00543643" w:rsidRPr="00C20BFF">
              <w:rPr>
                <w:rFonts w:cstheme="minorHAnsi"/>
                <w:color w:val="000000"/>
              </w:rPr>
              <w:t>ea</w:t>
            </w:r>
            <w:r w:rsidRPr="00C20BFF">
              <w:rPr>
                <w:rFonts w:cstheme="minorHAnsi"/>
                <w:color w:val="000000"/>
              </w:rPr>
              <w:t>s</w:t>
            </w:r>
            <w:r w:rsidR="00543643" w:rsidRPr="00C20BFF">
              <w:rPr>
                <w:rFonts w:cstheme="minorHAnsi"/>
                <w:color w:val="000000"/>
              </w:rPr>
              <w:t>e also</w:t>
            </w:r>
            <w:r w:rsidRPr="00C20BFF">
              <w:rPr>
                <w:rFonts w:cstheme="minorHAnsi"/>
                <w:color w:val="000000"/>
              </w:rPr>
              <w:t xml:space="preserve"> refer to para 6 which describes the six implementation principles to be applied for the entire country programme. This summarises the change pathways to be followed across outcomes.</w:t>
            </w:r>
            <w:r w:rsidRPr="00C20BFF">
              <w:rPr>
                <w:rFonts w:cstheme="minorHAnsi"/>
                <w:bCs/>
                <w:lang w:val="en-GB"/>
              </w:rPr>
              <w:t xml:space="preserve"> </w:t>
            </w:r>
          </w:p>
        </w:tc>
      </w:tr>
      <w:tr w:rsidR="004C5C9C" w:rsidRPr="00C20BFF" w14:paraId="13926742" w14:textId="77777777" w:rsidTr="00101298">
        <w:trPr>
          <w:trHeight w:val="557"/>
        </w:trPr>
        <w:tc>
          <w:tcPr>
            <w:tcW w:w="6974" w:type="dxa"/>
            <w:vAlign w:val="center"/>
          </w:tcPr>
          <w:p w14:paraId="6E041A98" w14:textId="54B2AD8E" w:rsidR="00101298" w:rsidRPr="00C20BFF" w:rsidRDefault="00101298" w:rsidP="00101298">
            <w:pPr>
              <w:spacing w:before="120" w:line="252" w:lineRule="auto"/>
              <w:jc w:val="center"/>
              <w:rPr>
                <w:rFonts w:cstheme="minorHAnsi"/>
                <w:b/>
                <w:bCs/>
                <w:color w:val="000000"/>
              </w:rPr>
            </w:pPr>
            <w:r>
              <w:rPr>
                <w:rFonts w:cstheme="minorHAnsi"/>
                <w:b/>
                <w:bCs/>
                <w:color w:val="000000"/>
              </w:rPr>
              <w:t xml:space="preserve">Comments by the </w:t>
            </w:r>
            <w:r>
              <w:rPr>
                <w:rFonts w:cstheme="minorHAnsi"/>
                <w:b/>
                <w:bCs/>
                <w:color w:val="000000"/>
              </w:rPr>
              <w:t>Permanent Mission of Indonesia</w:t>
            </w:r>
          </w:p>
        </w:tc>
        <w:tc>
          <w:tcPr>
            <w:tcW w:w="6974" w:type="dxa"/>
            <w:vAlign w:val="center"/>
          </w:tcPr>
          <w:p w14:paraId="2E7D2F75" w14:textId="6D01C50D" w:rsidR="004C5C9C" w:rsidRPr="00C20BFF" w:rsidRDefault="00101298" w:rsidP="00101298">
            <w:pPr>
              <w:spacing w:before="120" w:line="252" w:lineRule="auto"/>
              <w:jc w:val="center"/>
              <w:rPr>
                <w:rFonts w:cstheme="minorHAnsi"/>
                <w:b/>
                <w:bCs/>
                <w:color w:val="000000"/>
              </w:rPr>
            </w:pPr>
            <w:r>
              <w:rPr>
                <w:rFonts w:cstheme="minorHAnsi"/>
                <w:b/>
                <w:bCs/>
                <w:color w:val="000000"/>
              </w:rPr>
              <w:t>Response by the UNDP Country Office</w:t>
            </w:r>
          </w:p>
        </w:tc>
      </w:tr>
      <w:tr w:rsidR="004C5C9C" w:rsidRPr="00C20BFF" w14:paraId="0F336047" w14:textId="77777777" w:rsidTr="78D92F9B">
        <w:tc>
          <w:tcPr>
            <w:tcW w:w="6974" w:type="dxa"/>
          </w:tcPr>
          <w:p w14:paraId="72901AF3" w14:textId="4B98E27E" w:rsidR="004C5C9C" w:rsidRPr="00C20BFF" w:rsidRDefault="004C5C9C" w:rsidP="00C20BFF">
            <w:pPr>
              <w:pStyle w:val="Default"/>
              <w:spacing w:before="120" w:line="252" w:lineRule="auto"/>
              <w:jc w:val="both"/>
              <w:rPr>
                <w:rFonts w:asciiTheme="minorHAnsi" w:hAnsiTheme="minorHAnsi" w:cstheme="minorHAnsi"/>
                <w:sz w:val="22"/>
                <w:szCs w:val="22"/>
              </w:rPr>
            </w:pPr>
            <w:r w:rsidRPr="00C20BFF">
              <w:rPr>
                <w:rFonts w:asciiTheme="minorHAnsi" w:hAnsiTheme="minorHAnsi" w:cstheme="minorHAnsi"/>
                <w:sz w:val="22"/>
                <w:szCs w:val="22"/>
              </w:rPr>
              <w:t xml:space="preserve">In general, it is important that UNDP forges strong coordination with the UNRC so that interventions and support by other UN agencies in Indonesia are harmonious, effective, and efficient. </w:t>
            </w:r>
          </w:p>
        </w:tc>
        <w:tc>
          <w:tcPr>
            <w:tcW w:w="6974" w:type="dxa"/>
          </w:tcPr>
          <w:p w14:paraId="75132FD9" w14:textId="23B912C1" w:rsidR="00531140" w:rsidRPr="00C20BFF" w:rsidRDefault="1E1F2EBC" w:rsidP="00C20BFF">
            <w:pPr>
              <w:spacing w:before="120" w:line="252" w:lineRule="auto"/>
              <w:ind w:right="76"/>
              <w:jc w:val="both"/>
              <w:rPr>
                <w:rFonts w:cstheme="minorHAnsi"/>
                <w:lang w:val="en-GB"/>
              </w:rPr>
            </w:pPr>
            <w:r w:rsidRPr="00C20BFF">
              <w:rPr>
                <w:rFonts w:cstheme="minorHAnsi"/>
                <w:lang w:val="en-GB"/>
              </w:rPr>
              <w:t>UNDP has forged a very strong relation</w:t>
            </w:r>
            <w:r w:rsidR="00543643" w:rsidRPr="00C20BFF">
              <w:rPr>
                <w:rFonts w:cstheme="minorHAnsi"/>
                <w:lang w:val="en-GB"/>
              </w:rPr>
              <w:t>ship</w:t>
            </w:r>
            <w:r w:rsidRPr="00C20BFF">
              <w:rPr>
                <w:rFonts w:cstheme="minorHAnsi"/>
                <w:lang w:val="en-GB"/>
              </w:rPr>
              <w:t xml:space="preserve"> with the R</w:t>
            </w:r>
            <w:r w:rsidR="00543643" w:rsidRPr="00C20BFF">
              <w:rPr>
                <w:rFonts w:cstheme="minorHAnsi"/>
                <w:lang w:val="en-GB"/>
              </w:rPr>
              <w:t xml:space="preserve">esident </w:t>
            </w:r>
            <w:r w:rsidRPr="00C20BFF">
              <w:rPr>
                <w:rFonts w:cstheme="minorHAnsi"/>
                <w:lang w:val="en-GB"/>
              </w:rPr>
              <w:t>C</w:t>
            </w:r>
            <w:r w:rsidR="00543643" w:rsidRPr="00C20BFF">
              <w:rPr>
                <w:rFonts w:cstheme="minorHAnsi"/>
                <w:lang w:val="en-GB"/>
              </w:rPr>
              <w:t>oordinator</w:t>
            </w:r>
            <w:r w:rsidRPr="00C20BFF">
              <w:rPr>
                <w:rFonts w:cstheme="minorHAnsi"/>
                <w:lang w:val="en-GB"/>
              </w:rPr>
              <w:t xml:space="preserve"> as part of the implementation of the UN Development System in Indonesia, as recognized by the RC at the CPD consultations held in Jakarta. </w:t>
            </w:r>
            <w:r w:rsidR="7728055D" w:rsidRPr="00C20BFF">
              <w:rPr>
                <w:rFonts w:cstheme="minorHAnsi"/>
                <w:lang w:val="en-GB"/>
              </w:rPr>
              <w:t xml:space="preserve">UNDP </w:t>
            </w:r>
            <w:r w:rsidR="5F679C94" w:rsidRPr="00C20BFF">
              <w:rPr>
                <w:rFonts w:cstheme="minorHAnsi"/>
                <w:lang w:val="en-GB"/>
              </w:rPr>
              <w:t xml:space="preserve">is </w:t>
            </w:r>
            <w:r w:rsidR="7728055D" w:rsidRPr="00C20BFF">
              <w:rPr>
                <w:rFonts w:cstheme="minorHAnsi"/>
                <w:lang w:val="en-GB"/>
              </w:rPr>
              <w:t>work</w:t>
            </w:r>
            <w:r w:rsidR="571B893A" w:rsidRPr="00C20BFF">
              <w:rPr>
                <w:rFonts w:cstheme="minorHAnsi"/>
                <w:lang w:val="en-GB"/>
              </w:rPr>
              <w:t>ing</w:t>
            </w:r>
            <w:r w:rsidR="7728055D" w:rsidRPr="00C20BFF">
              <w:rPr>
                <w:rFonts w:cstheme="minorHAnsi"/>
                <w:lang w:val="en-GB"/>
              </w:rPr>
              <w:t xml:space="preserve"> with United Nations organizations in response to the 2016 quadrennial comprehensive policy review of operational activities for development of the United Nations system (General Assembly resolution 71/243), including </w:t>
            </w:r>
            <w:r w:rsidR="000A6034" w:rsidRPr="00C20BFF">
              <w:rPr>
                <w:rFonts w:cstheme="minorHAnsi"/>
                <w:lang w:val="en-GB"/>
              </w:rPr>
              <w:t>in line with</w:t>
            </w:r>
            <w:r w:rsidR="7728055D" w:rsidRPr="00C20BFF">
              <w:rPr>
                <w:rFonts w:cstheme="minorHAnsi"/>
                <w:lang w:val="en-GB"/>
              </w:rPr>
              <w:t xml:space="preserve"> the common chapter of the strategic plans, 2018-2021, of the United Nations Children's Fund (UNICEF), UNDP, UNFPA and the </w:t>
            </w:r>
            <w:bookmarkStart w:id="0" w:name="_Hlk41753717"/>
            <w:r w:rsidR="7728055D" w:rsidRPr="00C20BFF">
              <w:rPr>
                <w:rFonts w:cstheme="minorHAnsi"/>
                <w:lang w:val="en-GB"/>
              </w:rPr>
              <w:t xml:space="preserve">United Nations Entity for Gender Equality and the Empowerment of Women </w:t>
            </w:r>
            <w:bookmarkEnd w:id="0"/>
            <w:r w:rsidR="7728055D" w:rsidRPr="00C20BFF">
              <w:rPr>
                <w:rFonts w:cstheme="minorHAnsi"/>
                <w:lang w:val="en-GB"/>
              </w:rPr>
              <w:t xml:space="preserve">(UN-Women). </w:t>
            </w:r>
          </w:p>
          <w:p w14:paraId="53BD94B1" w14:textId="46A5B2CC" w:rsidR="00531140" w:rsidRPr="00C20BFF" w:rsidRDefault="7728055D" w:rsidP="00C20BFF">
            <w:pPr>
              <w:spacing w:before="120" w:line="252" w:lineRule="auto"/>
              <w:ind w:right="76"/>
              <w:jc w:val="both"/>
              <w:rPr>
                <w:rFonts w:cstheme="minorHAnsi"/>
                <w:lang w:val="en-GB"/>
              </w:rPr>
            </w:pPr>
            <w:r w:rsidRPr="00C20BFF">
              <w:rPr>
                <w:rFonts w:cstheme="minorHAnsi"/>
                <w:lang w:val="en-GB"/>
              </w:rPr>
              <w:lastRenderedPageBreak/>
              <w:t>This  include</w:t>
            </w:r>
            <w:r w:rsidR="650DF7FC" w:rsidRPr="00C20BFF">
              <w:rPr>
                <w:rFonts w:cstheme="minorHAnsi"/>
                <w:lang w:val="en-GB"/>
              </w:rPr>
              <w:t>s</w:t>
            </w:r>
            <w:r w:rsidRPr="00C20BFF">
              <w:rPr>
                <w:rFonts w:cstheme="minorHAnsi"/>
                <w:lang w:val="en-GB"/>
              </w:rPr>
              <w:t xml:space="preserve"> working jointly on social protection, data, gender-based violence, advancing the rights of people with disabilities, disaster preparedness and response, and the </w:t>
            </w:r>
            <w:r w:rsidR="3386F0A7" w:rsidRPr="00C20BFF">
              <w:rPr>
                <w:rFonts w:cstheme="minorHAnsi"/>
                <w:lang w:val="en-GB"/>
              </w:rPr>
              <w:t>COVID</w:t>
            </w:r>
            <w:r w:rsidRPr="00C20BFF">
              <w:rPr>
                <w:rFonts w:cstheme="minorHAnsi"/>
                <w:lang w:val="en-GB"/>
              </w:rPr>
              <w:t xml:space="preserve">-19 response. </w:t>
            </w:r>
          </w:p>
          <w:p w14:paraId="1199325E" w14:textId="5CF6195A" w:rsidR="00531140" w:rsidRPr="00C20BFF" w:rsidRDefault="24F6B773" w:rsidP="00C20BFF">
            <w:pPr>
              <w:spacing w:before="120" w:line="252" w:lineRule="auto"/>
              <w:ind w:right="76"/>
              <w:jc w:val="both"/>
              <w:rPr>
                <w:rFonts w:cstheme="minorHAnsi"/>
                <w:lang w:val="en-GB"/>
              </w:rPr>
            </w:pPr>
            <w:r w:rsidRPr="00C20BFF">
              <w:rPr>
                <w:rFonts w:cstheme="minorHAnsi"/>
                <w:lang w:val="en-GB"/>
              </w:rPr>
              <w:t xml:space="preserve">This will be pursued under this CPD. </w:t>
            </w:r>
            <w:r w:rsidR="7728055D" w:rsidRPr="00C20BFF">
              <w:rPr>
                <w:rFonts w:cstheme="minorHAnsi"/>
                <w:lang w:val="en-GB"/>
              </w:rPr>
              <w:t>As an integrator across the Goals, UNDP will use its expertise and tools to evaluate the benefits of alternative policies and investment decisions, and quantify economic, social and environmental benefits from investments in human development.</w:t>
            </w:r>
          </w:p>
          <w:p w14:paraId="4EB34F06" w14:textId="7B43028B" w:rsidR="00276C9B" w:rsidRPr="00C20BFF" w:rsidRDefault="00276C9B" w:rsidP="00C20BFF">
            <w:pPr>
              <w:spacing w:before="120" w:line="252" w:lineRule="auto"/>
              <w:jc w:val="both"/>
              <w:rPr>
                <w:rFonts w:cstheme="minorHAnsi"/>
                <w:color w:val="000000"/>
              </w:rPr>
            </w:pPr>
            <w:r w:rsidRPr="00C20BFF">
              <w:rPr>
                <w:rFonts w:cstheme="minorHAnsi"/>
                <w:color w:val="000000"/>
              </w:rPr>
              <w:t>The Results and Resources Framework (Annex A) lists all the UN agencies who</w:t>
            </w:r>
            <w:r w:rsidR="000A6034" w:rsidRPr="00C20BFF">
              <w:rPr>
                <w:rFonts w:cstheme="minorHAnsi"/>
                <w:color w:val="000000"/>
              </w:rPr>
              <w:t>m</w:t>
            </w:r>
            <w:r w:rsidRPr="00C20BFF">
              <w:rPr>
                <w:rFonts w:cstheme="minorHAnsi"/>
                <w:color w:val="000000"/>
              </w:rPr>
              <w:t xml:space="preserve"> UNDP will partner with in close coordination with the RC’s office. </w:t>
            </w:r>
          </w:p>
          <w:p w14:paraId="1D66E386" w14:textId="091EFD24" w:rsidR="004C5C9C" w:rsidRPr="00C20BFF" w:rsidRDefault="004C5C9C" w:rsidP="00C20BFF">
            <w:pPr>
              <w:spacing w:before="120" w:line="252" w:lineRule="auto"/>
              <w:jc w:val="both"/>
              <w:rPr>
                <w:rFonts w:cstheme="minorHAnsi"/>
                <w:color w:val="000000"/>
              </w:rPr>
            </w:pPr>
            <w:r w:rsidRPr="00C20BFF">
              <w:rPr>
                <w:rFonts w:cstheme="minorHAnsi"/>
                <w:color w:val="000000" w:themeColor="text1"/>
              </w:rPr>
              <w:t xml:space="preserve">In </w:t>
            </w:r>
            <w:r w:rsidR="7728055D" w:rsidRPr="00C20BFF">
              <w:rPr>
                <w:rFonts w:cstheme="minorHAnsi"/>
                <w:color w:val="000000" w:themeColor="text1"/>
              </w:rPr>
              <w:t>addition</w:t>
            </w:r>
            <w:r w:rsidRPr="00C20BFF">
              <w:rPr>
                <w:rFonts w:cstheme="minorHAnsi"/>
                <w:color w:val="000000" w:themeColor="text1"/>
              </w:rPr>
              <w:t xml:space="preserve">, </w:t>
            </w:r>
            <w:r w:rsidR="17F5151D" w:rsidRPr="00C20BFF">
              <w:rPr>
                <w:rFonts w:cstheme="minorHAnsi"/>
                <w:color w:val="000000" w:themeColor="text1"/>
              </w:rPr>
              <w:t xml:space="preserve">you may wish to refer to </w:t>
            </w:r>
            <w:r w:rsidRPr="00C20BFF">
              <w:rPr>
                <w:rFonts w:cstheme="minorHAnsi"/>
                <w:color w:val="000000" w:themeColor="text1"/>
              </w:rPr>
              <w:t xml:space="preserve"> </w:t>
            </w:r>
            <w:r w:rsidR="3386F0A7" w:rsidRPr="00C20BFF">
              <w:rPr>
                <w:rFonts w:cstheme="minorHAnsi"/>
                <w:color w:val="000000" w:themeColor="text1"/>
              </w:rPr>
              <w:t xml:space="preserve">CPD </w:t>
            </w:r>
            <w:r w:rsidRPr="00C20BFF">
              <w:rPr>
                <w:rFonts w:cstheme="minorHAnsi"/>
                <w:color w:val="000000" w:themeColor="text1"/>
              </w:rPr>
              <w:t>para 4, 5, 10, 17, 19, 40</w:t>
            </w:r>
          </w:p>
        </w:tc>
      </w:tr>
      <w:tr w:rsidR="004C5C9C" w:rsidRPr="00C20BFF" w14:paraId="4B3F3101" w14:textId="77777777" w:rsidTr="78D92F9B">
        <w:tc>
          <w:tcPr>
            <w:tcW w:w="6974" w:type="dxa"/>
          </w:tcPr>
          <w:p w14:paraId="41013A0B" w14:textId="20C8647C" w:rsidR="004C5C9C" w:rsidRPr="00C20BFF" w:rsidRDefault="004C5C9C" w:rsidP="00C20BFF">
            <w:pPr>
              <w:pStyle w:val="Default"/>
              <w:spacing w:before="120" w:line="252" w:lineRule="auto"/>
              <w:jc w:val="both"/>
              <w:rPr>
                <w:rFonts w:asciiTheme="minorHAnsi" w:hAnsiTheme="minorHAnsi" w:cstheme="minorHAnsi"/>
                <w:sz w:val="22"/>
                <w:szCs w:val="22"/>
              </w:rPr>
            </w:pPr>
            <w:r w:rsidRPr="00C20BFF">
              <w:rPr>
                <w:rFonts w:asciiTheme="minorHAnsi" w:hAnsiTheme="minorHAnsi" w:cstheme="minorHAnsi"/>
                <w:sz w:val="22"/>
                <w:szCs w:val="22"/>
              </w:rPr>
              <w:lastRenderedPageBreak/>
              <w:t xml:space="preserve">Enhanced South-South and Triangular collaboration between the Government of Indonesia and UNDP on technical assistance programmes for LDCs and SIDS to support the objective of economic transformation and promote Indonesia’s expertise and best practices. </w:t>
            </w:r>
          </w:p>
        </w:tc>
        <w:tc>
          <w:tcPr>
            <w:tcW w:w="6974" w:type="dxa"/>
          </w:tcPr>
          <w:p w14:paraId="3EB94396" w14:textId="77777777" w:rsidR="004C5C9C" w:rsidRPr="00C20BFF" w:rsidRDefault="004C5C9C" w:rsidP="00C20BFF">
            <w:pPr>
              <w:spacing w:before="120" w:line="252" w:lineRule="auto"/>
              <w:jc w:val="both"/>
              <w:rPr>
                <w:rFonts w:cstheme="minorHAnsi"/>
                <w:color w:val="000000"/>
              </w:rPr>
            </w:pPr>
            <w:r w:rsidRPr="00C20BFF">
              <w:rPr>
                <w:rFonts w:cstheme="minorHAnsi"/>
                <w:color w:val="000000"/>
              </w:rPr>
              <w:t xml:space="preserve">Accepted. </w:t>
            </w:r>
          </w:p>
          <w:p w14:paraId="6E71E11A" w14:textId="77777777" w:rsidR="004C5C9C" w:rsidRPr="00C20BFF" w:rsidRDefault="004C5C9C" w:rsidP="00C20BFF">
            <w:pPr>
              <w:spacing w:before="120" w:line="252" w:lineRule="auto"/>
              <w:jc w:val="both"/>
              <w:rPr>
                <w:rFonts w:cstheme="minorHAnsi"/>
                <w:color w:val="000000"/>
              </w:rPr>
            </w:pPr>
            <w:r w:rsidRPr="00C20BFF">
              <w:rPr>
                <w:rFonts w:cstheme="minorHAnsi"/>
                <w:color w:val="000000"/>
              </w:rPr>
              <w:t>Please see changes in para 33</w:t>
            </w:r>
            <w:r w:rsidR="0019774A" w:rsidRPr="00C20BFF">
              <w:rPr>
                <w:rFonts w:cstheme="minorHAnsi"/>
                <w:color w:val="000000"/>
              </w:rPr>
              <w:t>:</w:t>
            </w:r>
          </w:p>
          <w:p w14:paraId="671C7EF3" w14:textId="5AAD290D" w:rsidR="0019774A" w:rsidRPr="00101298" w:rsidRDefault="0019774A" w:rsidP="00C20BFF">
            <w:pPr>
              <w:spacing w:before="120" w:line="252" w:lineRule="auto"/>
              <w:jc w:val="both"/>
              <w:rPr>
                <w:rFonts w:cstheme="minorHAnsi"/>
                <w:i/>
                <w:iCs/>
                <w:lang w:val="en-GB"/>
              </w:rPr>
            </w:pPr>
            <w:bookmarkStart w:id="1" w:name="_Hlk45097911"/>
            <w:r w:rsidRPr="00C20BFF">
              <w:rPr>
                <w:rFonts w:cstheme="minorHAnsi"/>
                <w:bCs/>
                <w:i/>
                <w:iCs/>
                <w:lang w:val="en-GB"/>
              </w:rPr>
              <w:t xml:space="preserve">In partnership with the </w:t>
            </w:r>
            <w:r w:rsidRPr="00C20BFF">
              <w:rPr>
                <w:rFonts w:cstheme="minorHAnsi"/>
                <w:i/>
                <w:iCs/>
                <w:lang w:val="en-GB"/>
              </w:rPr>
              <w:t>Ministry of Foreign Affairs, UNDP will support South-South and triangular cooperation</w:t>
            </w:r>
            <w:r w:rsidRPr="00C20BFF">
              <w:rPr>
                <w:rFonts w:cstheme="minorHAnsi"/>
                <w:bCs/>
                <w:i/>
                <w:iCs/>
                <w:lang w:val="en-GB"/>
              </w:rPr>
              <w:t xml:space="preserve"> and global and regional development exchanges. UNDP will assist</w:t>
            </w:r>
            <w:r w:rsidRPr="00C20BFF">
              <w:rPr>
                <w:rFonts w:cstheme="minorHAnsi"/>
                <w:i/>
                <w:iCs/>
                <w:lang w:val="en-GB"/>
              </w:rPr>
              <w:t xml:space="preserve"> the Indonesian Aid Agency to provide technical assistance, expertise and best practices, especially to least developed countries and small island developing states. UNDP will support Indonesia as a champion of innovative finance on the international development stage through global and regional events.</w:t>
            </w:r>
            <w:bookmarkEnd w:id="1"/>
          </w:p>
        </w:tc>
      </w:tr>
      <w:tr w:rsidR="004C5C9C" w:rsidRPr="00C20BFF" w14:paraId="7CC0776B" w14:textId="77777777" w:rsidTr="78D92F9B">
        <w:tc>
          <w:tcPr>
            <w:tcW w:w="6974" w:type="dxa"/>
          </w:tcPr>
          <w:p w14:paraId="5247CF73" w14:textId="4AD8C5E7" w:rsidR="004C5C9C" w:rsidRPr="00C20BFF" w:rsidRDefault="004C5C9C" w:rsidP="00C20BFF">
            <w:pPr>
              <w:pStyle w:val="Default"/>
              <w:spacing w:before="120" w:line="252" w:lineRule="auto"/>
              <w:jc w:val="both"/>
              <w:rPr>
                <w:rFonts w:asciiTheme="minorHAnsi" w:hAnsiTheme="minorHAnsi" w:cstheme="minorHAnsi"/>
                <w:sz w:val="22"/>
                <w:szCs w:val="22"/>
              </w:rPr>
            </w:pPr>
            <w:r w:rsidRPr="00C20BFF">
              <w:rPr>
                <w:rFonts w:asciiTheme="minorHAnsi" w:hAnsiTheme="minorHAnsi" w:cstheme="minorHAnsi"/>
                <w:sz w:val="22"/>
                <w:szCs w:val="22"/>
              </w:rPr>
              <w:t xml:space="preserve">With regards to SDGs acceleration, further cooperation to enhance knowledge and best practices sharing from UNDP’s expertise on grants management, planning, implementation and proposal evaluation would also be useful. </w:t>
            </w:r>
          </w:p>
        </w:tc>
        <w:tc>
          <w:tcPr>
            <w:tcW w:w="6974" w:type="dxa"/>
          </w:tcPr>
          <w:p w14:paraId="70D5F5B0" w14:textId="63FA926B" w:rsidR="00531140" w:rsidRDefault="00531140" w:rsidP="00101298">
            <w:pPr>
              <w:spacing w:before="120" w:after="120" w:line="252" w:lineRule="auto"/>
              <w:jc w:val="both"/>
              <w:rPr>
                <w:rFonts w:cstheme="minorHAnsi"/>
                <w:lang w:val="en-GB"/>
              </w:rPr>
            </w:pPr>
            <w:r w:rsidRPr="00C20BFF">
              <w:rPr>
                <w:rFonts w:cstheme="minorHAnsi"/>
                <w:lang w:val="en-GB"/>
              </w:rPr>
              <w:t xml:space="preserve">UNDP will apply </w:t>
            </w:r>
            <w:r w:rsidRPr="00C20BFF">
              <w:rPr>
                <w:rFonts w:cstheme="minorHAnsi"/>
                <w:bCs/>
                <w:lang w:val="en-GB"/>
              </w:rPr>
              <w:t>six implementation principles that focus on</w:t>
            </w:r>
            <w:r w:rsidRPr="00C20BFF">
              <w:rPr>
                <w:rFonts w:cstheme="minorHAnsi"/>
                <w:lang w:val="en-GB"/>
              </w:rPr>
              <w:t>: (a) developing innovative solutions with multiplier effects across the 2030 Agenda; (b) promoting a whole-of-government and whole-of-society approach; (c) maximizing synergies through vertical and horizontal linkages across sectors and issues; (d) prioritizing the leave no one behind agenda; (e) investing in enhancing gender equality; (f) acting as a global and a local partner to facilitate Indonesia’s aspirations at the global and regional levels</w:t>
            </w:r>
          </w:p>
          <w:p w14:paraId="27EE51AF" w14:textId="143C9303" w:rsidR="004C5C9C" w:rsidRPr="00C20BFF" w:rsidRDefault="7728055D" w:rsidP="00101298">
            <w:pPr>
              <w:tabs>
                <w:tab w:val="left" w:pos="1620"/>
              </w:tabs>
              <w:rPr>
                <w:rFonts w:cstheme="minorHAnsi"/>
                <w:color w:val="000000"/>
              </w:rPr>
            </w:pPr>
            <w:r w:rsidRPr="00C20BFF">
              <w:rPr>
                <w:rFonts w:cstheme="minorHAnsi"/>
                <w:lang w:val="en-GB"/>
              </w:rPr>
              <w:t>In addition, p</w:t>
            </w:r>
            <w:proofErr w:type="spellStart"/>
            <w:r w:rsidR="004C5C9C" w:rsidRPr="00C20BFF">
              <w:rPr>
                <w:rFonts w:cstheme="minorHAnsi"/>
                <w:color w:val="000000" w:themeColor="text1"/>
              </w:rPr>
              <w:t>lease</w:t>
            </w:r>
            <w:proofErr w:type="spellEnd"/>
            <w:r w:rsidR="004C5C9C" w:rsidRPr="00C20BFF">
              <w:rPr>
                <w:rFonts w:cstheme="minorHAnsi"/>
                <w:color w:val="000000" w:themeColor="text1"/>
              </w:rPr>
              <w:t xml:space="preserve"> </w:t>
            </w:r>
            <w:r w:rsidR="0159E6A4" w:rsidRPr="00C20BFF">
              <w:rPr>
                <w:rFonts w:cstheme="minorHAnsi"/>
                <w:color w:val="000000" w:themeColor="text1"/>
              </w:rPr>
              <w:t xml:space="preserve">refer to </w:t>
            </w:r>
            <w:r w:rsidR="004C5C9C" w:rsidRPr="00C20BFF">
              <w:rPr>
                <w:rFonts w:cstheme="minorHAnsi"/>
                <w:color w:val="000000" w:themeColor="text1"/>
              </w:rPr>
              <w:t>para 5 and 13</w:t>
            </w:r>
            <w:r w:rsidR="31F6E024" w:rsidRPr="00C20BFF">
              <w:rPr>
                <w:rFonts w:cstheme="minorHAnsi"/>
                <w:color w:val="000000" w:themeColor="text1"/>
              </w:rPr>
              <w:t>.</w:t>
            </w:r>
          </w:p>
        </w:tc>
      </w:tr>
    </w:tbl>
    <w:p w14:paraId="7DE35409" w14:textId="77777777" w:rsidR="007419B3" w:rsidRPr="00C20BFF" w:rsidRDefault="007419B3" w:rsidP="00C20BFF">
      <w:pPr>
        <w:spacing w:before="120" w:after="0" w:line="252" w:lineRule="auto"/>
        <w:jc w:val="both"/>
        <w:rPr>
          <w:rFonts w:cstheme="minorHAnsi"/>
        </w:rPr>
      </w:pPr>
    </w:p>
    <w:sectPr w:rsidR="007419B3" w:rsidRPr="00C20BFF" w:rsidSect="00101298">
      <w:pgSz w:w="16838" w:h="11906" w:orient="landscape"/>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81484" w14:textId="77777777" w:rsidR="008D6A34" w:rsidRDefault="008D6A34" w:rsidP="007419B3">
      <w:pPr>
        <w:spacing w:after="0" w:line="240" w:lineRule="auto"/>
      </w:pPr>
      <w:r>
        <w:separator/>
      </w:r>
    </w:p>
  </w:endnote>
  <w:endnote w:type="continuationSeparator" w:id="0">
    <w:p w14:paraId="130B25F1" w14:textId="77777777" w:rsidR="008D6A34" w:rsidRDefault="008D6A34" w:rsidP="007419B3">
      <w:pPr>
        <w:spacing w:after="0" w:line="240" w:lineRule="auto"/>
      </w:pPr>
      <w:r>
        <w:continuationSeparator/>
      </w:r>
    </w:p>
  </w:endnote>
  <w:endnote w:type="continuationNotice" w:id="1">
    <w:p w14:paraId="05FA6009" w14:textId="77777777" w:rsidR="008D6A34" w:rsidRDefault="008D6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EE05D" w14:textId="77777777" w:rsidR="008D6A34" w:rsidRDefault="008D6A34" w:rsidP="007419B3">
      <w:pPr>
        <w:spacing w:after="0" w:line="240" w:lineRule="auto"/>
      </w:pPr>
      <w:r>
        <w:separator/>
      </w:r>
    </w:p>
  </w:footnote>
  <w:footnote w:type="continuationSeparator" w:id="0">
    <w:p w14:paraId="70C5470A" w14:textId="77777777" w:rsidR="008D6A34" w:rsidRDefault="008D6A34" w:rsidP="007419B3">
      <w:pPr>
        <w:spacing w:after="0" w:line="240" w:lineRule="auto"/>
      </w:pPr>
      <w:r>
        <w:continuationSeparator/>
      </w:r>
    </w:p>
  </w:footnote>
  <w:footnote w:type="continuationNotice" w:id="1">
    <w:p w14:paraId="3C8CE8AB" w14:textId="77777777" w:rsidR="008D6A34" w:rsidRDefault="008D6A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900AB8"/>
    <w:multiLevelType w:val="hybridMultilevel"/>
    <w:tmpl w:val="16D7C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16456"/>
    <w:multiLevelType w:val="hybridMultilevel"/>
    <w:tmpl w:val="C66AB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2029"/>
    <w:multiLevelType w:val="hybridMultilevel"/>
    <w:tmpl w:val="E870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F4351"/>
    <w:multiLevelType w:val="hybridMultilevel"/>
    <w:tmpl w:val="7AE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C6F2B"/>
    <w:multiLevelType w:val="hybridMultilevel"/>
    <w:tmpl w:val="B05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EF3B99"/>
    <w:multiLevelType w:val="hybridMultilevel"/>
    <w:tmpl w:val="5A68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4" w15:restartNumberingAfterBreak="0">
    <w:nsid w:val="4C2399F2"/>
    <w:multiLevelType w:val="hybridMultilevel"/>
    <w:tmpl w:val="21854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6301DE"/>
    <w:multiLevelType w:val="hybridMultilevel"/>
    <w:tmpl w:val="7DEC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B5184"/>
    <w:multiLevelType w:val="hybridMultilevel"/>
    <w:tmpl w:val="87FC5886"/>
    <w:lvl w:ilvl="0" w:tplc="1BE6AA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9712D"/>
    <w:multiLevelType w:val="hybridMultilevel"/>
    <w:tmpl w:val="163675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B4880"/>
    <w:multiLevelType w:val="hybridMultilevel"/>
    <w:tmpl w:val="483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F3B0A"/>
    <w:multiLevelType w:val="hybridMultilevel"/>
    <w:tmpl w:val="00D2D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A88AE2C">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4"/>
  </w:num>
  <w:num w:numId="4">
    <w:abstractNumId w:val="15"/>
  </w:num>
  <w:num w:numId="5">
    <w:abstractNumId w:val="21"/>
  </w:num>
  <w:num w:numId="6">
    <w:abstractNumId w:val="2"/>
  </w:num>
  <w:num w:numId="7">
    <w:abstractNumId w:val="19"/>
  </w:num>
  <w:num w:numId="8">
    <w:abstractNumId w:val="5"/>
  </w:num>
  <w:num w:numId="9">
    <w:abstractNumId w:val="23"/>
  </w:num>
  <w:num w:numId="10">
    <w:abstractNumId w:val="25"/>
  </w:num>
  <w:num w:numId="11">
    <w:abstractNumId w:val="18"/>
  </w:num>
  <w:num w:numId="12">
    <w:abstractNumId w:val="24"/>
  </w:num>
  <w:num w:numId="13">
    <w:abstractNumId w:val="12"/>
  </w:num>
  <w:num w:numId="14">
    <w:abstractNumId w:val="10"/>
  </w:num>
  <w:num w:numId="15">
    <w:abstractNumId w:val="6"/>
  </w:num>
  <w:num w:numId="16">
    <w:abstractNumId w:val="9"/>
  </w:num>
  <w:num w:numId="17">
    <w:abstractNumId w:val="13"/>
  </w:num>
  <w:num w:numId="18">
    <w:abstractNumId w:val="3"/>
  </w:num>
  <w:num w:numId="19">
    <w:abstractNumId w:val="16"/>
  </w:num>
  <w:num w:numId="20">
    <w:abstractNumId w:val="20"/>
  </w:num>
  <w:num w:numId="21">
    <w:abstractNumId w:val="22"/>
  </w:num>
  <w:num w:numId="22">
    <w:abstractNumId w:val="7"/>
  </w:num>
  <w:num w:numId="23">
    <w:abstractNumId w:val="0"/>
  </w:num>
  <w:num w:numId="24">
    <w:abstractNumId w:val="1"/>
  </w:num>
  <w:num w:numId="25">
    <w:abstractNumId w:val="14"/>
  </w:num>
  <w:num w:numId="26">
    <w:abstractNumId w:val="17"/>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00"/>
    <w:rsid w:val="000412F9"/>
    <w:rsid w:val="0004777B"/>
    <w:rsid w:val="000910D9"/>
    <w:rsid w:val="000A6034"/>
    <w:rsid w:val="000C2095"/>
    <w:rsid w:val="000E1232"/>
    <w:rsid w:val="000F7654"/>
    <w:rsid w:val="00101298"/>
    <w:rsid w:val="00182A38"/>
    <w:rsid w:val="0019774A"/>
    <w:rsid w:val="00201EDA"/>
    <w:rsid w:val="0020754B"/>
    <w:rsid w:val="00276C9B"/>
    <w:rsid w:val="00297027"/>
    <w:rsid w:val="002A112D"/>
    <w:rsid w:val="002A7BC4"/>
    <w:rsid w:val="002E5EE6"/>
    <w:rsid w:val="0031218D"/>
    <w:rsid w:val="0032141C"/>
    <w:rsid w:val="00372B3E"/>
    <w:rsid w:val="003935CF"/>
    <w:rsid w:val="003F0013"/>
    <w:rsid w:val="00440A11"/>
    <w:rsid w:val="004509B3"/>
    <w:rsid w:val="004C5C9C"/>
    <w:rsid w:val="004D0176"/>
    <w:rsid w:val="00524BFA"/>
    <w:rsid w:val="00531140"/>
    <w:rsid w:val="00543643"/>
    <w:rsid w:val="00587D97"/>
    <w:rsid w:val="005F7C97"/>
    <w:rsid w:val="00633B0C"/>
    <w:rsid w:val="006703B6"/>
    <w:rsid w:val="00670FBC"/>
    <w:rsid w:val="006837DE"/>
    <w:rsid w:val="00684D9F"/>
    <w:rsid w:val="00686CF2"/>
    <w:rsid w:val="00703D70"/>
    <w:rsid w:val="007419B3"/>
    <w:rsid w:val="0074259B"/>
    <w:rsid w:val="007520B3"/>
    <w:rsid w:val="00761355"/>
    <w:rsid w:val="007754E1"/>
    <w:rsid w:val="00782DFE"/>
    <w:rsid w:val="00787328"/>
    <w:rsid w:val="00833BAC"/>
    <w:rsid w:val="008D6A34"/>
    <w:rsid w:val="00904D46"/>
    <w:rsid w:val="009A19B5"/>
    <w:rsid w:val="009B5FA6"/>
    <w:rsid w:val="009E7E56"/>
    <w:rsid w:val="00A22D2A"/>
    <w:rsid w:val="00A524BD"/>
    <w:rsid w:val="00A7363B"/>
    <w:rsid w:val="00A94C58"/>
    <w:rsid w:val="00AC30FA"/>
    <w:rsid w:val="00AC31A6"/>
    <w:rsid w:val="00AC6472"/>
    <w:rsid w:val="00AD2C7C"/>
    <w:rsid w:val="00AF4413"/>
    <w:rsid w:val="00B35F06"/>
    <w:rsid w:val="00B4573E"/>
    <w:rsid w:val="00BA6CFA"/>
    <w:rsid w:val="00C05FA1"/>
    <w:rsid w:val="00C20BFF"/>
    <w:rsid w:val="00C97300"/>
    <w:rsid w:val="00D476BA"/>
    <w:rsid w:val="00DC45E5"/>
    <w:rsid w:val="00DD1424"/>
    <w:rsid w:val="00DF029F"/>
    <w:rsid w:val="00E15838"/>
    <w:rsid w:val="00EF0FCC"/>
    <w:rsid w:val="00EF34C3"/>
    <w:rsid w:val="00F77CE1"/>
    <w:rsid w:val="00FC02F1"/>
    <w:rsid w:val="00FD7506"/>
    <w:rsid w:val="00FF285C"/>
    <w:rsid w:val="0159E6A4"/>
    <w:rsid w:val="0181AEDE"/>
    <w:rsid w:val="12960298"/>
    <w:rsid w:val="17F5151D"/>
    <w:rsid w:val="18CAF904"/>
    <w:rsid w:val="1E1F2EBC"/>
    <w:rsid w:val="1ED016B4"/>
    <w:rsid w:val="24F6B773"/>
    <w:rsid w:val="29DC4984"/>
    <w:rsid w:val="2EA64AB5"/>
    <w:rsid w:val="30BD5B75"/>
    <w:rsid w:val="31F6E024"/>
    <w:rsid w:val="3386F0A7"/>
    <w:rsid w:val="343D2DC5"/>
    <w:rsid w:val="35DC954B"/>
    <w:rsid w:val="377BCAE2"/>
    <w:rsid w:val="4DBFFBA8"/>
    <w:rsid w:val="571B893A"/>
    <w:rsid w:val="58CAE773"/>
    <w:rsid w:val="5F679C94"/>
    <w:rsid w:val="5F84D889"/>
    <w:rsid w:val="5FAF5564"/>
    <w:rsid w:val="650DF7FC"/>
    <w:rsid w:val="67EEED50"/>
    <w:rsid w:val="75B77DDB"/>
    <w:rsid w:val="75F2404D"/>
    <w:rsid w:val="7728055D"/>
    <w:rsid w:val="78D92F9B"/>
    <w:rsid w:val="7C6848FD"/>
    <w:rsid w:val="7EAAD7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DCEB"/>
  <w15:chartTrackingRefBased/>
  <w15:docId w15:val="{BA908DB8-1A7F-4799-9B5F-B1B0A18D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A11"/>
    <w:pPr>
      <w:keepNext/>
      <w:jc w:val="both"/>
      <w:outlineLvl w:val="0"/>
    </w:pPr>
    <w:rPr>
      <w:rFonts w:ascii="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3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FA"/>
    <w:rPr>
      <w:rFonts w:ascii="Segoe UI" w:hAnsi="Segoe UI" w:cs="Segoe UI"/>
      <w:sz w:val="18"/>
      <w:szCs w:val="18"/>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0E1232"/>
    <w:pPr>
      <w:spacing w:after="200" w:line="276" w:lineRule="auto"/>
      <w:ind w:left="720"/>
      <w:contextualSpacing/>
    </w:pPr>
    <w:rPr>
      <w:lang w:val="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basedOn w:val="DefaultParagraphFont"/>
    <w:link w:val="ListParagraph"/>
    <w:uiPriority w:val="34"/>
    <w:qFormat/>
    <w:locked/>
    <w:rsid w:val="000E1232"/>
    <w:rPr>
      <w:lang w:val="en-US"/>
    </w:rPr>
  </w:style>
  <w:style w:type="paragraph" w:styleId="NoSpacing">
    <w:name w:val="No Spacing"/>
    <w:link w:val="NoSpacingChar"/>
    <w:uiPriority w:val="1"/>
    <w:qFormat/>
    <w:rsid w:val="000E1232"/>
    <w:pPr>
      <w:spacing w:after="0" w:line="240" w:lineRule="auto"/>
    </w:pPr>
    <w:rPr>
      <w:lang w:val="en-US"/>
    </w:rPr>
  </w:style>
  <w:style w:type="character" w:customStyle="1" w:styleId="NoSpacingChar">
    <w:name w:val="No Spacing Char"/>
    <w:basedOn w:val="DefaultParagraphFont"/>
    <w:link w:val="NoSpacing"/>
    <w:uiPriority w:val="1"/>
    <w:rsid w:val="000E1232"/>
    <w:rPr>
      <w:lang w:val="en-US"/>
    </w:rPr>
  </w:style>
  <w:style w:type="character" w:styleId="CommentReference">
    <w:name w:val="annotation reference"/>
    <w:basedOn w:val="DefaultParagraphFont"/>
    <w:uiPriority w:val="99"/>
    <w:rsid w:val="007419B3"/>
    <w:rPr>
      <w:sz w:val="18"/>
      <w:szCs w:val="18"/>
    </w:rPr>
  </w:style>
  <w:style w:type="paragraph" w:styleId="CommentText">
    <w:name w:val="annotation text"/>
    <w:basedOn w:val="Normal"/>
    <w:link w:val="CommentTextChar"/>
    <w:rsid w:val="007419B3"/>
    <w:pPr>
      <w:spacing w:after="200" w:line="240" w:lineRule="auto"/>
    </w:pPr>
    <w:rPr>
      <w:sz w:val="24"/>
      <w:szCs w:val="24"/>
      <w:lang w:val="en-GB"/>
    </w:rPr>
  </w:style>
  <w:style w:type="character" w:customStyle="1" w:styleId="CommentTextChar">
    <w:name w:val="Comment Text Char"/>
    <w:basedOn w:val="DefaultParagraphFont"/>
    <w:link w:val="CommentText"/>
    <w:rsid w:val="007419B3"/>
    <w:rPr>
      <w:sz w:val="24"/>
      <w:szCs w:val="24"/>
      <w:lang w:val="en-GB"/>
    </w:rPr>
  </w:style>
  <w:style w:type="paragraph" w:styleId="FootnoteText">
    <w:name w:val="footnote text"/>
    <w:basedOn w:val="Normal"/>
    <w:link w:val="FootnoteTextChar"/>
    <w:uiPriority w:val="99"/>
    <w:semiHidden/>
    <w:unhideWhenUsed/>
    <w:rsid w:val="007419B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419B3"/>
    <w:rPr>
      <w:sz w:val="20"/>
      <w:szCs w:val="20"/>
      <w:lang w:val="en-US"/>
    </w:rPr>
  </w:style>
  <w:style w:type="character" w:styleId="FootnoteReference">
    <w:name w:val="footnote reference"/>
    <w:basedOn w:val="DefaultParagraphFont"/>
    <w:uiPriority w:val="99"/>
    <w:semiHidden/>
    <w:unhideWhenUsed/>
    <w:rsid w:val="007419B3"/>
    <w:rPr>
      <w:vertAlign w:val="superscript"/>
    </w:rPr>
  </w:style>
  <w:style w:type="paragraph" w:styleId="CommentSubject">
    <w:name w:val="annotation subject"/>
    <w:basedOn w:val="CommentText"/>
    <w:next w:val="CommentText"/>
    <w:link w:val="CommentSubjectChar"/>
    <w:uiPriority w:val="99"/>
    <w:semiHidden/>
    <w:unhideWhenUsed/>
    <w:rsid w:val="007419B3"/>
    <w:rPr>
      <w:b/>
      <w:bCs/>
      <w:sz w:val="20"/>
      <w:szCs w:val="20"/>
      <w:lang w:val="en-US"/>
    </w:rPr>
  </w:style>
  <w:style w:type="character" w:customStyle="1" w:styleId="CommentSubjectChar">
    <w:name w:val="Comment Subject Char"/>
    <w:basedOn w:val="CommentTextChar"/>
    <w:link w:val="CommentSubject"/>
    <w:uiPriority w:val="99"/>
    <w:semiHidden/>
    <w:rsid w:val="007419B3"/>
    <w:rPr>
      <w:b/>
      <w:bCs/>
      <w:sz w:val="20"/>
      <w:szCs w:val="20"/>
      <w:lang w:val="en-US"/>
    </w:rPr>
  </w:style>
  <w:style w:type="table" w:customStyle="1" w:styleId="TableGrid1">
    <w:name w:val="Table Grid1"/>
    <w:basedOn w:val="TableNormal"/>
    <w:next w:val="TableGrid"/>
    <w:uiPriority w:val="59"/>
    <w:rsid w:val="007419B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19B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419B3"/>
    <w:rPr>
      <w:lang w:val="en-US"/>
    </w:rPr>
  </w:style>
  <w:style w:type="paragraph" w:styleId="Footer">
    <w:name w:val="footer"/>
    <w:basedOn w:val="Normal"/>
    <w:link w:val="FooterChar"/>
    <w:uiPriority w:val="99"/>
    <w:unhideWhenUsed/>
    <w:rsid w:val="007419B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419B3"/>
    <w:rPr>
      <w:lang w:val="en-US"/>
    </w:rPr>
  </w:style>
  <w:style w:type="paragraph" w:styleId="Revision">
    <w:name w:val="Revision"/>
    <w:hidden/>
    <w:uiPriority w:val="99"/>
    <w:semiHidden/>
    <w:rsid w:val="007419B3"/>
    <w:pPr>
      <w:spacing w:after="0" w:line="240" w:lineRule="auto"/>
    </w:pPr>
    <w:rPr>
      <w:lang w:val="en-US"/>
    </w:rPr>
  </w:style>
  <w:style w:type="paragraph" w:customStyle="1" w:styleId="SEQSbodynumbered">
    <w:name w:val="SEQS body numbered"/>
    <w:basedOn w:val="Normal"/>
    <w:autoRedefine/>
    <w:qFormat/>
    <w:rsid w:val="007419B3"/>
    <w:pPr>
      <w:framePr w:hSpace="180" w:wrap="around" w:vAnchor="text" w:hAnchor="text" w:xAlign="right" w:y="1"/>
      <w:spacing w:before="20" w:after="60" w:line="240" w:lineRule="auto"/>
      <w:ind w:left="337" w:hanging="337"/>
      <w:suppressOverlap/>
    </w:pPr>
    <w:rPr>
      <w:b/>
      <w:bCs/>
      <w:sz w:val="18"/>
      <w:szCs w:val="18"/>
      <w:lang w:val="en-US" w:eastAsia="ja-JP"/>
    </w:rPr>
  </w:style>
  <w:style w:type="character" w:styleId="Hyperlink">
    <w:name w:val="Hyperlink"/>
    <w:basedOn w:val="DefaultParagraphFont"/>
    <w:uiPriority w:val="99"/>
    <w:unhideWhenUsed/>
    <w:rsid w:val="00543643"/>
    <w:rPr>
      <w:color w:val="0563C1" w:themeColor="hyperlink"/>
      <w:u w:val="single"/>
    </w:rPr>
  </w:style>
  <w:style w:type="character" w:styleId="UnresolvedMention">
    <w:name w:val="Unresolved Mention"/>
    <w:basedOn w:val="DefaultParagraphFont"/>
    <w:uiPriority w:val="99"/>
    <w:semiHidden/>
    <w:unhideWhenUsed/>
    <w:rsid w:val="00543643"/>
    <w:rPr>
      <w:color w:val="605E5C"/>
      <w:shd w:val="clear" w:color="auto" w:fill="E1DFDD"/>
    </w:rPr>
  </w:style>
  <w:style w:type="character" w:customStyle="1" w:styleId="Heading1Char">
    <w:name w:val="Heading 1 Char"/>
    <w:basedOn w:val="DefaultParagraphFont"/>
    <w:link w:val="Heading1"/>
    <w:uiPriority w:val="9"/>
    <w:rsid w:val="00440A11"/>
    <w:rPr>
      <w:rFonts w:ascii="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338">
      <w:bodyDiv w:val="1"/>
      <w:marLeft w:val="0"/>
      <w:marRight w:val="0"/>
      <w:marTop w:val="0"/>
      <w:marBottom w:val="0"/>
      <w:divBdr>
        <w:top w:val="none" w:sz="0" w:space="0" w:color="auto"/>
        <w:left w:val="none" w:sz="0" w:space="0" w:color="auto"/>
        <w:bottom w:val="none" w:sz="0" w:space="0" w:color="auto"/>
        <w:right w:val="none" w:sz="0" w:space="0" w:color="auto"/>
      </w:divBdr>
    </w:div>
    <w:div w:id="479544711">
      <w:bodyDiv w:val="1"/>
      <w:marLeft w:val="0"/>
      <w:marRight w:val="0"/>
      <w:marTop w:val="0"/>
      <w:marBottom w:val="0"/>
      <w:divBdr>
        <w:top w:val="none" w:sz="0" w:space="0" w:color="auto"/>
        <w:left w:val="none" w:sz="0" w:space="0" w:color="auto"/>
        <w:bottom w:val="none" w:sz="0" w:space="0" w:color="auto"/>
        <w:right w:val="none" w:sz="0" w:space="0" w:color="auto"/>
      </w:divBdr>
    </w:div>
    <w:div w:id="1278020945">
      <w:bodyDiv w:val="1"/>
      <w:marLeft w:val="0"/>
      <w:marRight w:val="0"/>
      <w:marTop w:val="0"/>
      <w:marBottom w:val="0"/>
      <w:divBdr>
        <w:top w:val="none" w:sz="0" w:space="0" w:color="auto"/>
        <w:left w:val="none" w:sz="0" w:space="0" w:color="auto"/>
        <w:bottom w:val="none" w:sz="0" w:space="0" w:color="auto"/>
        <w:right w:val="none" w:sz="0" w:space="0" w:color="auto"/>
      </w:divBdr>
    </w:div>
    <w:div w:id="19197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or.id/component/bdthemes_shortcodes/?view=download&amp;id=9d9321b1e57ab0c5255390a41b15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17E14-96EE-4C4D-B3D7-18AC78E09059}">
  <ds:schemaRefs>
    <ds:schemaRef ds:uri="http://schemas.microsoft.com/sharepoint/v3/contenttype/forms"/>
  </ds:schemaRefs>
</ds:datastoreItem>
</file>

<file path=customXml/itemProps2.xml><?xml version="1.0" encoding="utf-8"?>
<ds:datastoreItem xmlns:ds="http://schemas.openxmlformats.org/officeDocument/2006/customXml" ds:itemID="{00E973EC-6F41-403C-81CF-13E041CC3430}">
  <ds:schemaRefs>
    <ds:schemaRef ds:uri="http://purl.org/dc/terms/"/>
    <ds:schemaRef ds:uri="http://www.w3.org/XML/1998/namespace"/>
    <ds:schemaRef ds:uri="http://schemas.microsoft.com/office/2006/documentManagement/types"/>
    <ds:schemaRef ds:uri="33856b32-dbbd-4996-9e5d-776de7c2e4f8"/>
    <ds:schemaRef ds:uri="http://purl.org/dc/elements/1.1/"/>
    <ds:schemaRef ds:uri="http://schemas.microsoft.com/office/infopath/2007/PartnerControls"/>
    <ds:schemaRef ds:uri="http://schemas.openxmlformats.org/package/2006/metadata/core-properties"/>
    <ds:schemaRef ds:uri="a8946dc4-2e98-472c-b2e6-ca9019b8dfd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09F8C2-6535-457F-B66F-A4D8E01C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Mishra</dc:creator>
  <cp:keywords/>
  <dc:description/>
  <cp:lastModifiedBy>Svetlana Iazykova</cp:lastModifiedBy>
  <cp:revision>5</cp:revision>
  <dcterms:created xsi:type="dcterms:W3CDTF">2020-07-20T15:18:00Z</dcterms:created>
  <dcterms:modified xsi:type="dcterms:W3CDTF">2020-07-20T15:25:00Z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