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EBA37" w14:textId="41269C53" w:rsidR="00C80BAB" w:rsidRPr="00C80BAB" w:rsidRDefault="00C80BAB" w:rsidP="008E1D90">
      <w:pPr>
        <w:spacing w:after="240" w:line="240" w:lineRule="auto"/>
        <w:jc w:val="center"/>
        <w:rPr>
          <w:rFonts w:cs="Times New Roman"/>
          <w:b/>
          <w:bCs/>
          <w:sz w:val="24"/>
          <w:szCs w:val="24"/>
        </w:rPr>
      </w:pPr>
      <w:r w:rsidRPr="00C80BAB">
        <w:rPr>
          <w:rFonts w:cs="Times New Roman"/>
          <w:b/>
          <w:bCs/>
          <w:sz w:val="24"/>
          <w:szCs w:val="24"/>
        </w:rPr>
        <w:t>COMMENTS ON THE UNDP DRAFT</w:t>
      </w:r>
      <w:r>
        <w:rPr>
          <w:rFonts w:cs="Times New Roman"/>
          <w:b/>
          <w:bCs/>
          <w:sz w:val="24"/>
          <w:szCs w:val="24"/>
        </w:rPr>
        <w:t xml:space="preserve"> </w:t>
      </w:r>
      <w:r w:rsidRPr="5A77813B">
        <w:rPr>
          <w:rFonts w:cs="Times New Roman"/>
          <w:b/>
          <w:bCs/>
          <w:sz w:val="24"/>
          <w:szCs w:val="24"/>
        </w:rPr>
        <w:t>RESULTS AND RESOURCES FRAMEWORK (RRF) FOR</w:t>
      </w:r>
      <w:r>
        <w:rPr>
          <w:rFonts w:cs="Times New Roman"/>
          <w:b/>
          <w:bCs/>
          <w:sz w:val="24"/>
          <w:szCs w:val="24"/>
        </w:rPr>
        <w:t xml:space="preserve"> </w:t>
      </w:r>
      <w:r w:rsidRPr="00C80BAB">
        <w:rPr>
          <w:rFonts w:cs="Times New Roman"/>
          <w:b/>
          <w:bCs/>
          <w:sz w:val="24"/>
          <w:szCs w:val="24"/>
        </w:rPr>
        <w:t>KOSOVO</w:t>
      </w:r>
      <w:r w:rsidRPr="00C80BAB">
        <w:rPr>
          <w:rFonts w:cs="Times New Roman"/>
          <w:b/>
          <w:bCs/>
          <w:sz w:val="24"/>
          <w:szCs w:val="24"/>
          <w:vertAlign w:val="superscript"/>
        </w:rPr>
        <w:footnoteReference w:id="1"/>
      </w:r>
    </w:p>
    <w:p w14:paraId="53F340D5" w14:textId="2ED049AC" w:rsidR="00DA5D1C" w:rsidRPr="00A457DA" w:rsidRDefault="00DA503F" w:rsidP="00C80BAB">
      <w:pPr>
        <w:spacing w:line="240" w:lineRule="auto"/>
        <w:jc w:val="center"/>
        <w:rPr>
          <w:rFonts w:cs="Times New Roman"/>
          <w:i/>
          <w:sz w:val="24"/>
          <w:szCs w:val="24"/>
        </w:rPr>
      </w:pPr>
      <w:r>
        <w:rPr>
          <w:rFonts w:cs="Times New Roman"/>
          <w:i/>
          <w:sz w:val="24"/>
          <w:szCs w:val="24"/>
        </w:rPr>
        <w:t>Second regular</w:t>
      </w:r>
      <w:r w:rsidR="00DA5D1C" w:rsidRPr="00A457DA">
        <w:rPr>
          <w:rFonts w:cs="Times New Roman"/>
          <w:i/>
          <w:sz w:val="24"/>
          <w:szCs w:val="24"/>
        </w:rPr>
        <w:t xml:space="preserve"> </w:t>
      </w:r>
      <w:r w:rsidR="00EB1427" w:rsidRPr="00A457DA">
        <w:rPr>
          <w:rFonts w:cs="Times New Roman"/>
          <w:i/>
          <w:sz w:val="24"/>
          <w:szCs w:val="24"/>
        </w:rPr>
        <w:t>s</w:t>
      </w:r>
      <w:r w:rsidR="00DA5D1C" w:rsidRPr="00A457DA">
        <w:rPr>
          <w:rFonts w:cs="Times New Roman"/>
          <w:i/>
          <w:sz w:val="24"/>
          <w:szCs w:val="24"/>
        </w:rPr>
        <w:t>ession</w:t>
      </w:r>
      <w:r w:rsidR="00EB1427" w:rsidRPr="00A457DA">
        <w:rPr>
          <w:rFonts w:cs="Times New Roman"/>
          <w:i/>
          <w:sz w:val="24"/>
          <w:szCs w:val="24"/>
        </w:rPr>
        <w:t xml:space="preserve"> 2020</w:t>
      </w:r>
    </w:p>
    <w:tbl>
      <w:tblPr>
        <w:tblStyle w:val="TableGrid"/>
        <w:tblW w:w="14395" w:type="dxa"/>
        <w:tblLook w:val="04A0" w:firstRow="1" w:lastRow="0" w:firstColumn="1" w:lastColumn="0" w:noHBand="0" w:noVBand="1"/>
      </w:tblPr>
      <w:tblGrid>
        <w:gridCol w:w="7735"/>
        <w:gridCol w:w="6660"/>
      </w:tblGrid>
      <w:tr w:rsidR="00CF51F1" w:rsidRPr="005323D5" w14:paraId="218C0B4A" w14:textId="01A5BDEC" w:rsidTr="00440C15">
        <w:trPr>
          <w:trHeight w:val="476"/>
        </w:trPr>
        <w:tc>
          <w:tcPr>
            <w:tcW w:w="7735" w:type="dxa"/>
            <w:vAlign w:val="center"/>
          </w:tcPr>
          <w:p w14:paraId="4E86B9A0" w14:textId="69B89031" w:rsidR="00CF51F1" w:rsidRPr="00A457DA" w:rsidRDefault="00D4192F" w:rsidP="53A599DF">
            <w:pPr>
              <w:jc w:val="center"/>
              <w:rPr>
                <w:rFonts w:cs="Times New Roman"/>
                <w:b/>
                <w:bCs/>
                <w:sz w:val="24"/>
                <w:szCs w:val="24"/>
              </w:rPr>
            </w:pPr>
            <w:r w:rsidRPr="53A599DF">
              <w:rPr>
                <w:sz w:val="24"/>
                <w:szCs w:val="24"/>
              </w:rPr>
              <w:t xml:space="preserve"> </w:t>
            </w:r>
            <w:r w:rsidR="3EFE68FF" w:rsidRPr="53A599DF">
              <w:rPr>
                <w:rFonts w:cs="Times New Roman"/>
                <w:b/>
                <w:bCs/>
                <w:sz w:val="24"/>
                <w:szCs w:val="24"/>
              </w:rPr>
              <w:t>Comments by G</w:t>
            </w:r>
            <w:r w:rsidR="004A2D88">
              <w:rPr>
                <w:rFonts w:cs="Times New Roman"/>
                <w:b/>
                <w:bCs/>
                <w:sz w:val="24"/>
                <w:szCs w:val="24"/>
              </w:rPr>
              <w:t>ermany</w:t>
            </w:r>
            <w:r w:rsidR="3EFE68FF" w:rsidRPr="53A599DF">
              <w:rPr>
                <w:rFonts w:cs="Times New Roman"/>
                <w:b/>
                <w:bCs/>
                <w:sz w:val="24"/>
                <w:szCs w:val="24"/>
              </w:rPr>
              <w:t xml:space="preserve"> </w:t>
            </w:r>
          </w:p>
        </w:tc>
        <w:tc>
          <w:tcPr>
            <w:tcW w:w="6660" w:type="dxa"/>
            <w:vAlign w:val="center"/>
          </w:tcPr>
          <w:p w14:paraId="4E73B02B" w14:textId="6E919F5A" w:rsidR="00CF51F1" w:rsidRPr="00534E03" w:rsidRDefault="005A0B40" w:rsidP="5A77813B">
            <w:pPr>
              <w:jc w:val="center"/>
              <w:rPr>
                <w:rStyle w:val="FootnoteReference"/>
                <w:rFonts w:cs="Times New Roman"/>
                <w:b/>
                <w:bCs/>
                <w:sz w:val="24"/>
                <w:szCs w:val="24"/>
              </w:rPr>
            </w:pPr>
            <w:r>
              <w:rPr>
                <w:rFonts w:cs="Times New Roman"/>
                <w:b/>
                <w:sz w:val="24"/>
                <w:szCs w:val="24"/>
              </w:rPr>
              <w:t>Response</w:t>
            </w:r>
            <w:r w:rsidR="004A2D88">
              <w:rPr>
                <w:rFonts w:cs="Times New Roman"/>
                <w:b/>
                <w:sz w:val="24"/>
                <w:szCs w:val="24"/>
              </w:rPr>
              <w:t xml:space="preserve"> by UNDP Office in Kosovo</w:t>
            </w:r>
            <w:r w:rsidR="004A2D88">
              <w:rPr>
                <w:rStyle w:val="FootnoteReference"/>
                <w:rFonts w:cs="Times New Roman"/>
                <w:b/>
                <w:sz w:val="24"/>
                <w:szCs w:val="24"/>
              </w:rPr>
              <w:footnoteReference w:id="2"/>
            </w:r>
          </w:p>
        </w:tc>
      </w:tr>
      <w:tr w:rsidR="00CF51F1" w:rsidRPr="005323D5" w14:paraId="59FFD639" w14:textId="473A4C9F" w:rsidTr="00440C15">
        <w:trPr>
          <w:trHeight w:val="476"/>
        </w:trPr>
        <w:tc>
          <w:tcPr>
            <w:tcW w:w="7735" w:type="dxa"/>
            <w:vAlign w:val="center"/>
          </w:tcPr>
          <w:p w14:paraId="2DB25318" w14:textId="5466298A" w:rsidR="00CF51F1" w:rsidRDefault="00CF51F1" w:rsidP="009D6F7C">
            <w:pPr>
              <w:pStyle w:val="ListParagraph"/>
              <w:numPr>
                <w:ilvl w:val="0"/>
                <w:numId w:val="12"/>
              </w:numPr>
              <w:rPr>
                <w:rFonts w:cs="Times New Roman"/>
                <w:sz w:val="24"/>
                <w:szCs w:val="24"/>
              </w:rPr>
            </w:pPr>
            <w:r w:rsidRPr="009D6F7C">
              <w:rPr>
                <w:rFonts w:cs="Times New Roman"/>
                <w:sz w:val="24"/>
                <w:szCs w:val="24"/>
              </w:rPr>
              <w:t>PRIORITY OR GOAL: GOOD GOVERNANCE AND THE RULE OF LAW</w:t>
            </w:r>
            <w:r>
              <w:rPr>
                <w:rFonts w:cs="Times New Roman"/>
                <w:sz w:val="24"/>
                <w:szCs w:val="24"/>
              </w:rPr>
              <w:t xml:space="preserve">: </w:t>
            </w:r>
          </w:p>
          <w:p w14:paraId="60B38B9C" w14:textId="312E4A85" w:rsidR="00CF51F1" w:rsidRDefault="00CF51F1" w:rsidP="009D6F7C">
            <w:pPr>
              <w:pStyle w:val="ListParagraph"/>
              <w:numPr>
                <w:ilvl w:val="0"/>
                <w:numId w:val="13"/>
              </w:numPr>
              <w:rPr>
                <w:rFonts w:cs="Times New Roman"/>
                <w:sz w:val="24"/>
                <w:szCs w:val="24"/>
              </w:rPr>
            </w:pPr>
            <w:r>
              <w:rPr>
                <w:rFonts w:cs="Times New Roman"/>
                <w:sz w:val="24"/>
                <w:szCs w:val="24"/>
              </w:rPr>
              <w:t>Indicator selection: Why would only one media portal be used (Kallxo.com) instead of the Bal</w:t>
            </w:r>
            <w:r w:rsidRPr="00031342">
              <w:rPr>
                <w:rFonts w:cs="Times New Roman"/>
                <w:b/>
                <w:sz w:val="24"/>
                <w:szCs w:val="24"/>
              </w:rPr>
              <w:t>kan Investigator Research Network (</w:t>
            </w:r>
            <w:r>
              <w:rPr>
                <w:rFonts w:cs="Times New Roman"/>
                <w:sz w:val="24"/>
                <w:szCs w:val="24"/>
              </w:rPr>
              <w:t>BIRN) to report on transparency/corruption?</w:t>
            </w:r>
          </w:p>
          <w:p w14:paraId="57EDAF2D" w14:textId="6A43AAD8" w:rsidR="00CF51F1" w:rsidRDefault="00CF51F1" w:rsidP="009D6F7C">
            <w:pPr>
              <w:pStyle w:val="ListParagraph"/>
              <w:numPr>
                <w:ilvl w:val="0"/>
                <w:numId w:val="13"/>
              </w:numPr>
              <w:rPr>
                <w:rFonts w:cs="Times New Roman"/>
                <w:sz w:val="24"/>
                <w:szCs w:val="24"/>
              </w:rPr>
            </w:pPr>
            <w:r>
              <w:rPr>
                <w:rFonts w:cs="Times New Roman"/>
                <w:sz w:val="24"/>
                <w:szCs w:val="24"/>
              </w:rPr>
              <w:t xml:space="preserve">As partners one should also involve the </w:t>
            </w:r>
            <w:r w:rsidRPr="00031342">
              <w:rPr>
                <w:rFonts w:cs="Times New Roman"/>
                <w:b/>
                <w:sz w:val="24"/>
                <w:szCs w:val="24"/>
              </w:rPr>
              <w:t>Ombudsperson</w:t>
            </w:r>
            <w:r>
              <w:rPr>
                <w:rFonts w:cs="Times New Roman"/>
                <w:sz w:val="24"/>
                <w:szCs w:val="24"/>
              </w:rPr>
              <w:t xml:space="preserve"> and </w:t>
            </w:r>
            <w:r w:rsidRPr="00031342">
              <w:rPr>
                <w:rFonts w:cs="Times New Roman"/>
                <w:b/>
                <w:sz w:val="24"/>
                <w:szCs w:val="24"/>
              </w:rPr>
              <w:t>Kosovo Tax Administration</w:t>
            </w:r>
            <w:r>
              <w:rPr>
                <w:rFonts w:cs="Times New Roman"/>
                <w:sz w:val="24"/>
                <w:szCs w:val="24"/>
              </w:rPr>
              <w:t xml:space="preserve"> as well as </w:t>
            </w:r>
            <w:r w:rsidRPr="00031342">
              <w:rPr>
                <w:rFonts w:cs="Times New Roman"/>
                <w:b/>
                <w:sz w:val="24"/>
                <w:szCs w:val="24"/>
              </w:rPr>
              <w:t>Customs</w:t>
            </w:r>
            <w:r>
              <w:rPr>
                <w:rFonts w:cs="Times New Roman"/>
                <w:sz w:val="24"/>
                <w:szCs w:val="24"/>
              </w:rPr>
              <w:t xml:space="preserve"> (important to combat </w:t>
            </w:r>
            <w:proofErr w:type="gramStart"/>
            <w:r>
              <w:rPr>
                <w:rFonts w:cs="Times New Roman"/>
                <w:sz w:val="24"/>
                <w:szCs w:val="24"/>
              </w:rPr>
              <w:t>corruption  cases</w:t>
            </w:r>
            <w:proofErr w:type="gramEnd"/>
            <w:r>
              <w:rPr>
                <w:rFonts w:cs="Times New Roman"/>
                <w:sz w:val="24"/>
                <w:szCs w:val="24"/>
              </w:rPr>
              <w:t>)</w:t>
            </w:r>
          </w:p>
          <w:p w14:paraId="3174F02F" w14:textId="77777777" w:rsidR="00CF51F1" w:rsidRDefault="00CF51F1" w:rsidP="00031342">
            <w:pPr>
              <w:pStyle w:val="ListParagraph"/>
              <w:numPr>
                <w:ilvl w:val="0"/>
                <w:numId w:val="13"/>
              </w:numPr>
              <w:rPr>
                <w:rFonts w:cs="Times New Roman"/>
                <w:sz w:val="24"/>
                <w:szCs w:val="24"/>
              </w:rPr>
            </w:pPr>
            <w:r>
              <w:rPr>
                <w:rFonts w:cs="Times New Roman"/>
                <w:sz w:val="24"/>
                <w:szCs w:val="24"/>
              </w:rPr>
              <w:t xml:space="preserve">Alignment of parliamentary initiatives with SDGs: </w:t>
            </w:r>
            <w:proofErr w:type="gramStart"/>
            <w:r>
              <w:rPr>
                <w:rFonts w:cs="Times New Roman"/>
                <w:sz w:val="24"/>
                <w:szCs w:val="24"/>
              </w:rPr>
              <w:t>the</w:t>
            </w:r>
            <w:proofErr w:type="gramEnd"/>
            <w:r>
              <w:rPr>
                <w:rFonts w:cs="Times New Roman"/>
                <w:sz w:val="24"/>
                <w:szCs w:val="24"/>
              </w:rPr>
              <w:t xml:space="preserve"> </w:t>
            </w:r>
            <w:r w:rsidRPr="00031342">
              <w:rPr>
                <w:rFonts w:cs="Times New Roman"/>
                <w:b/>
                <w:sz w:val="24"/>
                <w:szCs w:val="24"/>
              </w:rPr>
              <w:t>Council for Sustainable Development</w:t>
            </w:r>
            <w:r>
              <w:rPr>
                <w:rFonts w:cs="Times New Roman"/>
                <w:sz w:val="24"/>
                <w:szCs w:val="24"/>
              </w:rPr>
              <w:t xml:space="preserve"> in the Kosovo Assembly was never really active and has not met since the establishment of the new Assembly. However, it would be good to achieve some more activity.</w:t>
            </w:r>
          </w:p>
          <w:p w14:paraId="740A60F7" w14:textId="77777777" w:rsidR="00CF51F1" w:rsidRDefault="00CF51F1" w:rsidP="00031342">
            <w:pPr>
              <w:pStyle w:val="ListParagraph"/>
              <w:numPr>
                <w:ilvl w:val="0"/>
                <w:numId w:val="13"/>
              </w:numPr>
              <w:rPr>
                <w:rFonts w:cs="Times New Roman"/>
                <w:sz w:val="24"/>
                <w:szCs w:val="24"/>
              </w:rPr>
            </w:pPr>
            <w:r>
              <w:rPr>
                <w:rFonts w:cs="Times New Roman"/>
                <w:sz w:val="24"/>
                <w:szCs w:val="24"/>
              </w:rPr>
              <w:t xml:space="preserve">More </w:t>
            </w:r>
            <w:r w:rsidRPr="00031342">
              <w:rPr>
                <w:rFonts w:cs="Times New Roman"/>
                <w:b/>
                <w:sz w:val="24"/>
                <w:szCs w:val="24"/>
              </w:rPr>
              <w:t>indicators</w:t>
            </w:r>
            <w:r>
              <w:rPr>
                <w:rFonts w:cs="Times New Roman"/>
                <w:sz w:val="24"/>
                <w:szCs w:val="24"/>
              </w:rPr>
              <w:t xml:space="preserve"> could be focused on the </w:t>
            </w:r>
            <w:r w:rsidRPr="00031342">
              <w:rPr>
                <w:rFonts w:cs="Times New Roman"/>
                <w:b/>
                <w:sz w:val="24"/>
                <w:szCs w:val="24"/>
              </w:rPr>
              <w:t>local level</w:t>
            </w:r>
            <w:r>
              <w:rPr>
                <w:rFonts w:cs="Times New Roman"/>
                <w:sz w:val="24"/>
                <w:szCs w:val="24"/>
              </w:rPr>
              <w:t xml:space="preserve"> as the </w:t>
            </w:r>
            <w:r w:rsidRPr="00031342">
              <w:rPr>
                <w:rFonts w:cs="Times New Roman"/>
                <w:b/>
                <w:sz w:val="24"/>
                <w:szCs w:val="24"/>
              </w:rPr>
              <w:t>municipalities</w:t>
            </w:r>
            <w:r>
              <w:rPr>
                <w:rFonts w:cs="Times New Roman"/>
                <w:sz w:val="24"/>
                <w:szCs w:val="24"/>
              </w:rPr>
              <w:t xml:space="preserve"> are partly much more active than the national level and are mentioned as main partners. The data collection could happen with the help of the Association of Kosovar Municipalities (AKM).</w:t>
            </w:r>
          </w:p>
          <w:p w14:paraId="106DA92D" w14:textId="226C8566" w:rsidR="00CF51F1" w:rsidRPr="00534E03" w:rsidRDefault="00CF51F1" w:rsidP="00031342">
            <w:pPr>
              <w:pStyle w:val="ListParagraph"/>
              <w:numPr>
                <w:ilvl w:val="0"/>
                <w:numId w:val="13"/>
              </w:numPr>
              <w:rPr>
                <w:rFonts w:cs="Times New Roman"/>
                <w:sz w:val="24"/>
                <w:szCs w:val="24"/>
              </w:rPr>
            </w:pPr>
            <w:r>
              <w:rPr>
                <w:rFonts w:cs="Times New Roman"/>
                <w:sz w:val="24"/>
                <w:szCs w:val="24"/>
              </w:rPr>
              <w:t>GIZ is very active through its Good Governance Programmes on Legal and Administrative Reform and Public Finance as well as EU Integration and should be mentioned as well.</w:t>
            </w:r>
          </w:p>
        </w:tc>
        <w:tc>
          <w:tcPr>
            <w:tcW w:w="6660" w:type="dxa"/>
          </w:tcPr>
          <w:p w14:paraId="75A3E15A" w14:textId="4EC7D8F4" w:rsidR="002B7501" w:rsidRPr="002B7501" w:rsidRDefault="002B7501" w:rsidP="002B7501">
            <w:pPr>
              <w:pStyle w:val="ListParagraph"/>
              <w:numPr>
                <w:ilvl w:val="0"/>
                <w:numId w:val="12"/>
              </w:numPr>
              <w:rPr>
                <w:rFonts w:cs="Times New Roman"/>
                <w:sz w:val="24"/>
                <w:szCs w:val="24"/>
              </w:rPr>
            </w:pPr>
            <w:r w:rsidRPr="002B7501">
              <w:rPr>
                <w:rFonts w:cs="Times New Roman"/>
                <w:sz w:val="24"/>
                <w:szCs w:val="24"/>
              </w:rPr>
              <w:t xml:space="preserve">KALLXO is a joint project of Internews </w:t>
            </w:r>
            <w:proofErr w:type="spellStart"/>
            <w:r w:rsidRPr="002B7501">
              <w:rPr>
                <w:rFonts w:cs="Times New Roman"/>
                <w:sz w:val="24"/>
                <w:szCs w:val="24"/>
              </w:rPr>
              <w:t>Kosova</w:t>
            </w:r>
            <w:proofErr w:type="spellEnd"/>
            <w:r w:rsidRPr="002B7501">
              <w:rPr>
                <w:rFonts w:cs="Times New Roman"/>
                <w:sz w:val="24"/>
                <w:szCs w:val="24"/>
              </w:rPr>
              <w:t xml:space="preserve"> and BIRN Kosovo, with BIRN being an implementing partner of Internews in the project. Legally, KALLXO.com is a project lead by Internews </w:t>
            </w:r>
            <w:proofErr w:type="spellStart"/>
            <w:r w:rsidRPr="002B7501">
              <w:rPr>
                <w:rFonts w:cs="Times New Roman"/>
                <w:sz w:val="24"/>
                <w:szCs w:val="24"/>
              </w:rPr>
              <w:t>Kosova</w:t>
            </w:r>
            <w:proofErr w:type="spellEnd"/>
            <w:r w:rsidRPr="002B7501">
              <w:rPr>
                <w:rFonts w:cs="Times New Roman"/>
                <w:sz w:val="24"/>
                <w:szCs w:val="24"/>
              </w:rPr>
              <w:t xml:space="preserve"> with IKS director serving as editor</w:t>
            </w:r>
            <w:r w:rsidR="00A619E0">
              <w:rPr>
                <w:rFonts w:cs="Times New Roman"/>
                <w:sz w:val="24"/>
                <w:szCs w:val="24"/>
              </w:rPr>
              <w:t>-</w:t>
            </w:r>
            <w:r w:rsidRPr="002B7501">
              <w:rPr>
                <w:rFonts w:cs="Times New Roman"/>
                <w:sz w:val="24"/>
                <w:szCs w:val="24"/>
              </w:rPr>
              <w:t>in</w:t>
            </w:r>
            <w:r w:rsidR="00A619E0">
              <w:rPr>
                <w:rFonts w:cs="Times New Roman"/>
                <w:sz w:val="24"/>
                <w:szCs w:val="24"/>
              </w:rPr>
              <w:t>-</w:t>
            </w:r>
            <w:r w:rsidRPr="002B7501">
              <w:rPr>
                <w:rFonts w:cs="Times New Roman"/>
                <w:sz w:val="24"/>
                <w:szCs w:val="24"/>
              </w:rPr>
              <w:t>chief, while BIRN as implementing partner is involved in the activities as foreseen in the project;</w:t>
            </w:r>
          </w:p>
          <w:p w14:paraId="2B0929DD" w14:textId="77777777" w:rsidR="002B7501" w:rsidRPr="002B7501" w:rsidRDefault="002B7501" w:rsidP="00A619E0">
            <w:pPr>
              <w:pStyle w:val="ListParagraph"/>
              <w:rPr>
                <w:rFonts w:cs="Times New Roman"/>
                <w:sz w:val="24"/>
                <w:szCs w:val="24"/>
              </w:rPr>
            </w:pPr>
            <w:r w:rsidRPr="002B7501">
              <w:rPr>
                <w:rFonts w:cs="Times New Roman"/>
                <w:sz w:val="24"/>
                <w:szCs w:val="24"/>
              </w:rPr>
              <w:t>BIRN contributes to the project with research, journalistic and legal capacities to verify cases across Kosovo, report on them and follow up with relevant public authorities;</w:t>
            </w:r>
          </w:p>
          <w:p w14:paraId="1997D9FB" w14:textId="77777777" w:rsidR="002B7501" w:rsidRPr="002B7501" w:rsidRDefault="002B7501" w:rsidP="00A619E0">
            <w:pPr>
              <w:pStyle w:val="ListParagraph"/>
              <w:rPr>
                <w:rFonts w:cs="Times New Roman"/>
                <w:sz w:val="24"/>
                <w:szCs w:val="24"/>
              </w:rPr>
            </w:pPr>
            <w:r w:rsidRPr="002B7501">
              <w:rPr>
                <w:rFonts w:cs="Times New Roman"/>
                <w:sz w:val="24"/>
                <w:szCs w:val="24"/>
              </w:rPr>
              <w:t xml:space="preserve">BIRN staff involved in the project report to the head of planning desk and editor of Internews </w:t>
            </w:r>
            <w:proofErr w:type="spellStart"/>
            <w:r w:rsidRPr="002B7501">
              <w:rPr>
                <w:rFonts w:cs="Times New Roman"/>
                <w:sz w:val="24"/>
                <w:szCs w:val="24"/>
              </w:rPr>
              <w:t>Kosova</w:t>
            </w:r>
            <w:proofErr w:type="spellEnd"/>
            <w:r w:rsidRPr="002B7501">
              <w:rPr>
                <w:rFonts w:cs="Times New Roman"/>
                <w:sz w:val="24"/>
                <w:szCs w:val="24"/>
              </w:rPr>
              <w:t xml:space="preserve"> who assigns them cases to work on;</w:t>
            </w:r>
          </w:p>
          <w:p w14:paraId="71922BBA" w14:textId="77777777" w:rsidR="002B7501" w:rsidRPr="002B7501" w:rsidRDefault="002B7501" w:rsidP="00A619E0">
            <w:pPr>
              <w:pStyle w:val="ListParagraph"/>
              <w:rPr>
                <w:rFonts w:cs="Times New Roman"/>
                <w:sz w:val="24"/>
                <w:szCs w:val="24"/>
              </w:rPr>
            </w:pPr>
            <w:r w:rsidRPr="002B7501">
              <w:rPr>
                <w:rFonts w:cs="Times New Roman"/>
                <w:sz w:val="24"/>
                <w:szCs w:val="24"/>
              </w:rPr>
              <w:t xml:space="preserve">Internews approached BIRN to partner in the project since the establishment of KALLXO in 2012, based on previous experience and capacities of BIRN in monitoring and reporting from across Kosovo institutions, thus BIRN joined forces with IKS in making KALLXO what it is today. Since establishment, BIRN has an MoU with Internews in the capacity of implementing partner. </w:t>
            </w:r>
          </w:p>
          <w:p w14:paraId="32D2A43E" w14:textId="3DC24A87" w:rsidR="00886AB1" w:rsidRDefault="00886AB1" w:rsidP="009D6F7C">
            <w:pPr>
              <w:pStyle w:val="ListParagraph"/>
              <w:numPr>
                <w:ilvl w:val="0"/>
                <w:numId w:val="12"/>
              </w:numPr>
              <w:rPr>
                <w:rFonts w:cs="Times New Roman"/>
                <w:sz w:val="24"/>
                <w:szCs w:val="24"/>
              </w:rPr>
            </w:pPr>
            <w:r>
              <w:rPr>
                <w:rFonts w:cs="Times New Roman"/>
                <w:sz w:val="24"/>
                <w:szCs w:val="24"/>
              </w:rPr>
              <w:lastRenderedPageBreak/>
              <w:t xml:space="preserve">We </w:t>
            </w:r>
            <w:r w:rsidR="00A42DEF">
              <w:rPr>
                <w:rFonts w:cs="Times New Roman"/>
                <w:sz w:val="24"/>
                <w:szCs w:val="24"/>
              </w:rPr>
              <w:t xml:space="preserve">cannot mention </w:t>
            </w:r>
            <w:r>
              <w:rPr>
                <w:rFonts w:cs="Times New Roman"/>
                <w:sz w:val="24"/>
                <w:szCs w:val="24"/>
              </w:rPr>
              <w:t>the</w:t>
            </w:r>
            <w:r w:rsidR="00A42DEF">
              <w:rPr>
                <w:rFonts w:cs="Times New Roman"/>
                <w:sz w:val="24"/>
                <w:szCs w:val="24"/>
              </w:rPr>
              <w:t>se</w:t>
            </w:r>
            <w:r>
              <w:rPr>
                <w:rFonts w:cs="Times New Roman"/>
                <w:sz w:val="24"/>
                <w:szCs w:val="24"/>
              </w:rPr>
              <w:t xml:space="preserve"> partners</w:t>
            </w:r>
            <w:r w:rsidR="00A42DEF">
              <w:rPr>
                <w:rFonts w:cs="Times New Roman"/>
                <w:sz w:val="24"/>
                <w:szCs w:val="24"/>
              </w:rPr>
              <w:t xml:space="preserve"> in the RRF</w:t>
            </w:r>
            <w:r>
              <w:rPr>
                <w:rFonts w:cs="Times New Roman"/>
                <w:sz w:val="24"/>
                <w:szCs w:val="24"/>
              </w:rPr>
              <w:t xml:space="preserve"> as they were </w:t>
            </w:r>
            <w:r w:rsidR="00A42DEF">
              <w:rPr>
                <w:rFonts w:cs="Times New Roman"/>
                <w:sz w:val="24"/>
                <w:szCs w:val="24"/>
              </w:rPr>
              <w:t>established</w:t>
            </w:r>
            <w:r>
              <w:rPr>
                <w:rFonts w:cs="Times New Roman"/>
                <w:sz w:val="24"/>
                <w:szCs w:val="24"/>
              </w:rPr>
              <w:t xml:space="preserve"> after UNMIK administration.</w:t>
            </w:r>
            <w:r w:rsidR="00A42DEF">
              <w:rPr>
                <w:rFonts w:cs="Times New Roman"/>
                <w:sz w:val="24"/>
                <w:szCs w:val="24"/>
              </w:rPr>
              <w:t xml:space="preserve"> We can only mention entities that were established during UNMIK administration. They are our partners but cannot be explicitly mentioned due to Kosovo’s special status. </w:t>
            </w:r>
          </w:p>
          <w:p w14:paraId="63A6EF8F" w14:textId="77777777" w:rsidR="00886AB1" w:rsidRDefault="00D17F2D" w:rsidP="009D6F7C">
            <w:pPr>
              <w:pStyle w:val="ListParagraph"/>
              <w:numPr>
                <w:ilvl w:val="0"/>
                <w:numId w:val="12"/>
              </w:numPr>
              <w:rPr>
                <w:rFonts w:cs="Times New Roman"/>
                <w:sz w:val="24"/>
                <w:szCs w:val="24"/>
              </w:rPr>
            </w:pPr>
            <w:r>
              <w:rPr>
                <w:rFonts w:cs="Times New Roman"/>
                <w:sz w:val="24"/>
                <w:szCs w:val="24"/>
              </w:rPr>
              <w:t>We fully agree</w:t>
            </w:r>
            <w:r w:rsidR="0019304C">
              <w:rPr>
                <w:rFonts w:cs="Times New Roman"/>
                <w:sz w:val="24"/>
                <w:szCs w:val="24"/>
              </w:rPr>
              <w:t xml:space="preserve"> with the comment: there is a need for the Council for Sustainable Development to become more active and achieve concrete results. We are committe</w:t>
            </w:r>
            <w:r w:rsidR="00D91ECC">
              <w:rPr>
                <w:rFonts w:cs="Times New Roman"/>
                <w:sz w:val="24"/>
                <w:szCs w:val="24"/>
              </w:rPr>
              <w:t xml:space="preserve">d to supporting the Council. </w:t>
            </w:r>
          </w:p>
          <w:p w14:paraId="518EDC0D" w14:textId="77777777" w:rsidR="00D91ECC" w:rsidRDefault="00B93154" w:rsidP="009D6F7C">
            <w:pPr>
              <w:pStyle w:val="ListParagraph"/>
              <w:numPr>
                <w:ilvl w:val="0"/>
                <w:numId w:val="12"/>
              </w:numPr>
              <w:rPr>
                <w:rFonts w:cs="Times New Roman"/>
                <w:sz w:val="24"/>
                <w:szCs w:val="24"/>
              </w:rPr>
            </w:pPr>
            <w:r>
              <w:rPr>
                <w:rFonts w:cs="Times New Roman"/>
                <w:sz w:val="24"/>
                <w:szCs w:val="24"/>
              </w:rPr>
              <w:t xml:space="preserve">We </w:t>
            </w:r>
            <w:r w:rsidR="00CA78CD">
              <w:rPr>
                <w:rFonts w:cs="Times New Roman"/>
                <w:sz w:val="24"/>
                <w:szCs w:val="24"/>
              </w:rPr>
              <w:t xml:space="preserve">recognize that there is a need to improve data collection at all levels, incl. local level in partnership with AKM. </w:t>
            </w:r>
          </w:p>
          <w:p w14:paraId="229A3D64" w14:textId="6CC77A35" w:rsidR="00250A51" w:rsidRPr="009D6F7C" w:rsidRDefault="00250A51" w:rsidP="009D6F7C">
            <w:pPr>
              <w:pStyle w:val="ListParagraph"/>
              <w:numPr>
                <w:ilvl w:val="0"/>
                <w:numId w:val="12"/>
              </w:numPr>
              <w:rPr>
                <w:rFonts w:cs="Times New Roman"/>
                <w:sz w:val="24"/>
                <w:szCs w:val="24"/>
              </w:rPr>
            </w:pPr>
            <w:r>
              <w:rPr>
                <w:rFonts w:cs="Times New Roman"/>
                <w:sz w:val="24"/>
                <w:szCs w:val="24"/>
              </w:rPr>
              <w:t>We will include GIZ as a partner</w:t>
            </w:r>
            <w:r w:rsidR="00121E3B">
              <w:rPr>
                <w:rFonts w:cs="Times New Roman"/>
                <w:sz w:val="24"/>
                <w:szCs w:val="24"/>
              </w:rPr>
              <w:t xml:space="preserve"> and will ensure coordination. </w:t>
            </w:r>
          </w:p>
        </w:tc>
      </w:tr>
      <w:tr w:rsidR="00CF51F1" w:rsidRPr="005323D5" w14:paraId="1F829039" w14:textId="1231DFB3" w:rsidTr="00440C15">
        <w:trPr>
          <w:trHeight w:val="476"/>
        </w:trPr>
        <w:tc>
          <w:tcPr>
            <w:tcW w:w="7735" w:type="dxa"/>
            <w:vAlign w:val="center"/>
          </w:tcPr>
          <w:p w14:paraId="61906E2F" w14:textId="28730986" w:rsidR="00CF51F1" w:rsidRDefault="00CF51F1" w:rsidP="00031342">
            <w:pPr>
              <w:pStyle w:val="ListParagraph"/>
              <w:numPr>
                <w:ilvl w:val="0"/>
                <w:numId w:val="12"/>
              </w:numPr>
              <w:rPr>
                <w:rFonts w:cs="Times New Roman"/>
                <w:sz w:val="24"/>
                <w:szCs w:val="24"/>
              </w:rPr>
            </w:pPr>
            <w:r w:rsidRPr="00031342">
              <w:rPr>
                <w:rFonts w:cs="Times New Roman"/>
                <w:sz w:val="24"/>
                <w:szCs w:val="24"/>
              </w:rPr>
              <w:lastRenderedPageBreak/>
              <w:t>PRIORITY OR GOAL: Transition towards low-emission and sustainable development</w:t>
            </w:r>
            <w:r>
              <w:rPr>
                <w:rFonts w:cs="Times New Roman"/>
                <w:sz w:val="24"/>
                <w:szCs w:val="24"/>
              </w:rPr>
              <w:t xml:space="preserve">; </w:t>
            </w:r>
            <w:r w:rsidRPr="00031342">
              <w:rPr>
                <w:rFonts w:cs="Times New Roman"/>
                <w:sz w:val="24"/>
                <w:szCs w:val="24"/>
              </w:rPr>
              <w:t xml:space="preserve">Increased employment and improved </w:t>
            </w:r>
            <w:r>
              <w:rPr>
                <w:rFonts w:cs="Times New Roman"/>
                <w:sz w:val="24"/>
                <w:szCs w:val="24"/>
              </w:rPr>
              <w:t xml:space="preserve">employability for young people </w:t>
            </w:r>
          </w:p>
          <w:p w14:paraId="1261BFC3" w14:textId="06DF3460" w:rsidR="00CF51F1" w:rsidRDefault="00CF51F1" w:rsidP="00031342">
            <w:pPr>
              <w:pStyle w:val="ListParagraph"/>
              <w:numPr>
                <w:ilvl w:val="0"/>
                <w:numId w:val="13"/>
              </w:numPr>
              <w:rPr>
                <w:rFonts w:cs="Times New Roman"/>
                <w:sz w:val="24"/>
                <w:szCs w:val="24"/>
              </w:rPr>
            </w:pPr>
            <w:proofErr w:type="spellStart"/>
            <w:r>
              <w:rPr>
                <w:rFonts w:cs="Times New Roman"/>
                <w:sz w:val="24"/>
                <w:szCs w:val="24"/>
              </w:rPr>
              <w:t>KfW</w:t>
            </w:r>
            <w:proofErr w:type="spellEnd"/>
            <w:r>
              <w:rPr>
                <w:rFonts w:cs="Times New Roman"/>
                <w:sz w:val="24"/>
                <w:szCs w:val="24"/>
              </w:rPr>
              <w:t xml:space="preserve"> should be mentioned as we are very active in the energy and economic development sector through financial cooperation</w:t>
            </w:r>
          </w:p>
          <w:p w14:paraId="456D86FD" w14:textId="3BE8FB8D" w:rsidR="00CF51F1" w:rsidRDefault="00CF51F1" w:rsidP="00031342">
            <w:pPr>
              <w:pStyle w:val="ListParagraph"/>
              <w:numPr>
                <w:ilvl w:val="0"/>
                <w:numId w:val="13"/>
              </w:numPr>
              <w:rPr>
                <w:rFonts w:cs="Times New Roman"/>
                <w:sz w:val="24"/>
                <w:szCs w:val="24"/>
              </w:rPr>
            </w:pPr>
            <w:r>
              <w:rPr>
                <w:rFonts w:cs="Times New Roman"/>
                <w:sz w:val="24"/>
                <w:szCs w:val="24"/>
              </w:rPr>
              <w:t xml:space="preserve">The idea of establishing Green Growth Centres on the local is new and should be coordinated amongst the donor community first. </w:t>
            </w:r>
          </w:p>
          <w:p w14:paraId="7B1CEB7A" w14:textId="06D7BD02" w:rsidR="00CF51F1" w:rsidRPr="00A457DA" w:rsidRDefault="00CF51F1" w:rsidP="00446DCB">
            <w:pPr>
              <w:pStyle w:val="ListParagraph"/>
              <w:numPr>
                <w:ilvl w:val="0"/>
                <w:numId w:val="13"/>
              </w:numPr>
              <w:rPr>
                <w:rFonts w:cs="Times New Roman"/>
                <w:sz w:val="24"/>
                <w:szCs w:val="24"/>
              </w:rPr>
            </w:pPr>
            <w:r>
              <w:rPr>
                <w:rFonts w:cs="Times New Roman"/>
                <w:sz w:val="24"/>
                <w:szCs w:val="24"/>
              </w:rPr>
              <w:t xml:space="preserve">Indicator on integrated flood risk management: this is a sector where GIZ as well as EU, but so far not UNDP, are active. Any planned activity in this regard should be closely coordinated through the </w:t>
            </w:r>
            <w:proofErr w:type="spellStart"/>
            <w:r>
              <w:rPr>
                <w:rFonts w:cs="Times New Roman"/>
                <w:sz w:val="24"/>
                <w:szCs w:val="24"/>
              </w:rPr>
              <w:t>Interministerial</w:t>
            </w:r>
            <w:proofErr w:type="spellEnd"/>
            <w:r>
              <w:rPr>
                <w:rFonts w:cs="Times New Roman"/>
                <w:sz w:val="24"/>
                <w:szCs w:val="24"/>
              </w:rPr>
              <w:t xml:space="preserve"> Water Council led by the Kosovar Government as well as in the donor coordination.</w:t>
            </w:r>
          </w:p>
        </w:tc>
        <w:tc>
          <w:tcPr>
            <w:tcW w:w="6660" w:type="dxa"/>
          </w:tcPr>
          <w:p w14:paraId="3E8C55C1" w14:textId="566F8773" w:rsidR="00CF51F1" w:rsidRDefault="00EE13AE" w:rsidP="00031342">
            <w:pPr>
              <w:pStyle w:val="ListParagraph"/>
              <w:numPr>
                <w:ilvl w:val="0"/>
                <w:numId w:val="12"/>
              </w:numPr>
              <w:rPr>
                <w:rFonts w:cs="Times New Roman"/>
                <w:sz w:val="24"/>
                <w:szCs w:val="24"/>
              </w:rPr>
            </w:pPr>
            <w:r>
              <w:rPr>
                <w:rFonts w:cs="Times New Roman"/>
                <w:sz w:val="24"/>
                <w:szCs w:val="24"/>
              </w:rPr>
              <w:t xml:space="preserve">We are happy to mention </w:t>
            </w:r>
            <w:proofErr w:type="spellStart"/>
            <w:r>
              <w:rPr>
                <w:rFonts w:cs="Times New Roman"/>
                <w:sz w:val="24"/>
                <w:szCs w:val="24"/>
              </w:rPr>
              <w:t>KfW</w:t>
            </w:r>
            <w:proofErr w:type="spellEnd"/>
            <w:r>
              <w:rPr>
                <w:rFonts w:cs="Times New Roman"/>
                <w:sz w:val="24"/>
                <w:szCs w:val="24"/>
              </w:rPr>
              <w:t xml:space="preserve"> as </w:t>
            </w:r>
            <w:proofErr w:type="gramStart"/>
            <w:r w:rsidR="00BA5C06">
              <w:rPr>
                <w:rFonts w:cs="Times New Roman"/>
                <w:sz w:val="24"/>
                <w:szCs w:val="24"/>
              </w:rPr>
              <w:t>partner, and</w:t>
            </w:r>
            <w:proofErr w:type="gramEnd"/>
            <w:r w:rsidR="00BA5C06">
              <w:rPr>
                <w:rFonts w:cs="Times New Roman"/>
                <w:sz w:val="24"/>
                <w:szCs w:val="24"/>
              </w:rPr>
              <w:t xml:space="preserve"> look forward to coordinating. </w:t>
            </w:r>
          </w:p>
          <w:p w14:paraId="5E97127D" w14:textId="77777777" w:rsidR="00451080" w:rsidRDefault="00BA5C06" w:rsidP="00031342">
            <w:pPr>
              <w:pStyle w:val="ListParagraph"/>
              <w:numPr>
                <w:ilvl w:val="0"/>
                <w:numId w:val="12"/>
              </w:numPr>
              <w:rPr>
                <w:rFonts w:cs="Times New Roman"/>
                <w:sz w:val="24"/>
                <w:szCs w:val="24"/>
              </w:rPr>
            </w:pPr>
            <w:r>
              <w:rPr>
                <w:rFonts w:cs="Times New Roman"/>
                <w:sz w:val="24"/>
                <w:szCs w:val="24"/>
              </w:rPr>
              <w:t xml:space="preserve">Green Growth Centre has already been established in </w:t>
            </w:r>
            <w:proofErr w:type="spellStart"/>
            <w:r>
              <w:rPr>
                <w:rFonts w:cs="Times New Roman"/>
                <w:sz w:val="24"/>
                <w:szCs w:val="24"/>
              </w:rPr>
              <w:t>Prizren</w:t>
            </w:r>
            <w:proofErr w:type="spellEnd"/>
            <w:r>
              <w:rPr>
                <w:rFonts w:cs="Times New Roman"/>
                <w:sz w:val="24"/>
                <w:szCs w:val="24"/>
              </w:rPr>
              <w:t xml:space="preserve">, and we have </w:t>
            </w:r>
            <w:r w:rsidR="00D219A0">
              <w:rPr>
                <w:rFonts w:cs="Times New Roman"/>
                <w:sz w:val="24"/>
                <w:szCs w:val="24"/>
              </w:rPr>
              <w:t>shared information about this among the donor community. Establishment of additional centres will be done in close consultation with other development partners.</w:t>
            </w:r>
            <w:r w:rsidR="00860A91">
              <w:rPr>
                <w:rFonts w:cs="Times New Roman"/>
                <w:sz w:val="24"/>
                <w:szCs w:val="24"/>
              </w:rPr>
              <w:t xml:space="preserve"> </w:t>
            </w:r>
          </w:p>
          <w:p w14:paraId="1E5F9C9D" w14:textId="52A6DB82" w:rsidR="00BA5C06" w:rsidRPr="003F36B6" w:rsidRDefault="009F7F30" w:rsidP="00CE0047">
            <w:pPr>
              <w:pStyle w:val="ListParagraph"/>
              <w:numPr>
                <w:ilvl w:val="0"/>
                <w:numId w:val="12"/>
              </w:numPr>
              <w:rPr>
                <w:rFonts w:cs="Times New Roman"/>
                <w:sz w:val="24"/>
                <w:szCs w:val="24"/>
              </w:rPr>
            </w:pPr>
            <w:r>
              <w:rPr>
                <w:rFonts w:cs="Times New Roman"/>
                <w:sz w:val="24"/>
                <w:szCs w:val="24"/>
              </w:rPr>
              <w:t xml:space="preserve">UNDP has been active </w:t>
            </w:r>
            <w:r w:rsidR="00DC7E03">
              <w:rPr>
                <w:rFonts w:cs="Times New Roman"/>
                <w:sz w:val="24"/>
                <w:szCs w:val="24"/>
              </w:rPr>
              <w:t xml:space="preserve">in the </w:t>
            </w:r>
            <w:r w:rsidR="006740D7">
              <w:rPr>
                <w:rFonts w:cs="Times New Roman"/>
                <w:sz w:val="24"/>
                <w:szCs w:val="24"/>
              </w:rPr>
              <w:t xml:space="preserve">Disaster Risk Reduction sector </w:t>
            </w:r>
            <w:r w:rsidR="00105203">
              <w:rPr>
                <w:rFonts w:cs="Times New Roman"/>
                <w:sz w:val="24"/>
                <w:szCs w:val="24"/>
              </w:rPr>
              <w:t>during the last decade, supporting E</w:t>
            </w:r>
            <w:r w:rsidR="003F36B6">
              <w:rPr>
                <w:rFonts w:cs="Times New Roman"/>
                <w:sz w:val="24"/>
                <w:szCs w:val="24"/>
              </w:rPr>
              <w:t xml:space="preserve">mergency </w:t>
            </w:r>
            <w:r w:rsidR="00105203">
              <w:rPr>
                <w:rFonts w:cs="Times New Roman"/>
                <w:sz w:val="24"/>
                <w:szCs w:val="24"/>
              </w:rPr>
              <w:t>M</w:t>
            </w:r>
            <w:r w:rsidR="003F36B6">
              <w:rPr>
                <w:rFonts w:cs="Times New Roman"/>
                <w:sz w:val="24"/>
                <w:szCs w:val="24"/>
              </w:rPr>
              <w:t xml:space="preserve">anagement </w:t>
            </w:r>
            <w:r w:rsidR="00105203">
              <w:rPr>
                <w:rFonts w:cs="Times New Roman"/>
                <w:sz w:val="24"/>
                <w:szCs w:val="24"/>
              </w:rPr>
              <w:t>A</w:t>
            </w:r>
            <w:r w:rsidR="003F36B6">
              <w:rPr>
                <w:rFonts w:cs="Times New Roman"/>
                <w:sz w:val="24"/>
                <w:szCs w:val="24"/>
              </w:rPr>
              <w:t>gency (EMA)</w:t>
            </w:r>
            <w:r w:rsidR="00105203">
              <w:rPr>
                <w:rFonts w:cs="Times New Roman"/>
                <w:sz w:val="24"/>
                <w:szCs w:val="24"/>
              </w:rPr>
              <w:t xml:space="preserve"> at the central level as well as </w:t>
            </w:r>
            <w:r w:rsidR="003F36B6">
              <w:rPr>
                <w:rFonts w:cs="Times New Roman"/>
                <w:sz w:val="24"/>
                <w:szCs w:val="24"/>
              </w:rPr>
              <w:t xml:space="preserve">provided support to some of the </w:t>
            </w:r>
            <w:r w:rsidR="00105203">
              <w:rPr>
                <w:rFonts w:cs="Times New Roman"/>
                <w:sz w:val="24"/>
                <w:szCs w:val="24"/>
              </w:rPr>
              <w:t xml:space="preserve">most vulnerable </w:t>
            </w:r>
            <w:r w:rsidR="00C9745D">
              <w:rPr>
                <w:rFonts w:cs="Times New Roman"/>
                <w:sz w:val="24"/>
                <w:szCs w:val="24"/>
              </w:rPr>
              <w:t xml:space="preserve">municipalities. UNDP focal point </w:t>
            </w:r>
            <w:r w:rsidR="00977582">
              <w:rPr>
                <w:rFonts w:cs="Times New Roman"/>
                <w:sz w:val="24"/>
                <w:szCs w:val="24"/>
              </w:rPr>
              <w:t xml:space="preserve">is a part of the </w:t>
            </w:r>
            <w:r w:rsidR="006B2C55">
              <w:rPr>
                <w:rFonts w:cs="Times New Roman"/>
                <w:sz w:val="24"/>
                <w:szCs w:val="24"/>
              </w:rPr>
              <w:t>coordination meetings</w:t>
            </w:r>
            <w:r w:rsidR="006740D7">
              <w:rPr>
                <w:rFonts w:cs="Times New Roman"/>
                <w:sz w:val="24"/>
                <w:szCs w:val="24"/>
              </w:rPr>
              <w:t xml:space="preserve"> for the water project</w:t>
            </w:r>
            <w:r w:rsidR="005A2A78">
              <w:rPr>
                <w:rFonts w:cs="Times New Roman"/>
                <w:sz w:val="24"/>
                <w:szCs w:val="24"/>
              </w:rPr>
              <w:t>s implementers</w:t>
            </w:r>
            <w:r w:rsidR="006B2C55">
              <w:rPr>
                <w:rFonts w:cs="Times New Roman"/>
                <w:sz w:val="24"/>
                <w:szCs w:val="24"/>
              </w:rPr>
              <w:t xml:space="preserve">, chaired by the </w:t>
            </w:r>
            <w:proofErr w:type="spellStart"/>
            <w:r w:rsidR="006B2C55">
              <w:rPr>
                <w:rFonts w:cs="Times New Roman"/>
                <w:sz w:val="24"/>
                <w:szCs w:val="24"/>
              </w:rPr>
              <w:t>Interministerial</w:t>
            </w:r>
            <w:proofErr w:type="spellEnd"/>
            <w:r w:rsidR="006B2C55">
              <w:rPr>
                <w:rFonts w:cs="Times New Roman"/>
                <w:sz w:val="24"/>
                <w:szCs w:val="24"/>
              </w:rPr>
              <w:t xml:space="preserve"> Water Council, and reports regularly</w:t>
            </w:r>
            <w:r w:rsidR="00132BFE">
              <w:rPr>
                <w:rFonts w:cs="Times New Roman"/>
                <w:sz w:val="24"/>
                <w:szCs w:val="24"/>
              </w:rPr>
              <w:t xml:space="preserve"> on</w:t>
            </w:r>
            <w:r w:rsidR="005A2A78">
              <w:rPr>
                <w:rFonts w:cs="Times New Roman"/>
                <w:sz w:val="24"/>
                <w:szCs w:val="24"/>
              </w:rPr>
              <w:t xml:space="preserve"> the progress. </w:t>
            </w:r>
            <w:r w:rsidR="00CE0047">
              <w:rPr>
                <w:rFonts w:cs="Times New Roman"/>
                <w:sz w:val="24"/>
                <w:szCs w:val="24"/>
              </w:rPr>
              <w:t xml:space="preserve">The role of </w:t>
            </w:r>
            <w:r w:rsidR="00B27014" w:rsidRPr="003F36B6">
              <w:rPr>
                <w:rFonts w:cs="Times New Roman"/>
                <w:sz w:val="24"/>
                <w:szCs w:val="24"/>
              </w:rPr>
              <w:lastRenderedPageBreak/>
              <w:t>EU and GIZ in the sector is recognised</w:t>
            </w:r>
            <w:r w:rsidR="00CE0047" w:rsidRPr="003F36B6">
              <w:rPr>
                <w:rFonts w:cs="Times New Roman"/>
                <w:sz w:val="24"/>
                <w:szCs w:val="24"/>
              </w:rPr>
              <w:t xml:space="preserve">, and </w:t>
            </w:r>
            <w:r w:rsidR="00DE67E5">
              <w:rPr>
                <w:rFonts w:cs="Times New Roman"/>
                <w:sz w:val="24"/>
                <w:szCs w:val="24"/>
              </w:rPr>
              <w:t>the planned activities will be closely coordinated.</w:t>
            </w:r>
            <w:r w:rsidR="00132BFE" w:rsidRPr="003F36B6">
              <w:rPr>
                <w:rFonts w:cs="Times New Roman"/>
                <w:sz w:val="24"/>
                <w:szCs w:val="24"/>
              </w:rPr>
              <w:t xml:space="preserve"> </w:t>
            </w:r>
          </w:p>
        </w:tc>
      </w:tr>
      <w:tr w:rsidR="00CF51F1" w:rsidRPr="005323D5" w14:paraId="08712356" w14:textId="5507EA8E" w:rsidTr="00440C15">
        <w:trPr>
          <w:trHeight w:val="476"/>
        </w:trPr>
        <w:tc>
          <w:tcPr>
            <w:tcW w:w="7735" w:type="dxa"/>
            <w:vAlign w:val="center"/>
          </w:tcPr>
          <w:p w14:paraId="43BDC2C1" w14:textId="33332694" w:rsidR="00CF51F1" w:rsidRPr="00581E7D" w:rsidRDefault="00CF51F1" w:rsidP="00581E7D">
            <w:pPr>
              <w:pStyle w:val="ListParagraph"/>
              <w:numPr>
                <w:ilvl w:val="0"/>
                <w:numId w:val="12"/>
              </w:numPr>
              <w:rPr>
                <w:lang w:val="en-GB"/>
              </w:rPr>
            </w:pPr>
            <w:r w:rsidRPr="00581E7D">
              <w:rPr>
                <w:rFonts w:cs="Times New Roman"/>
              </w:rPr>
              <w:lastRenderedPageBreak/>
              <w:t xml:space="preserve">Indicator 3: Level of Air Pollution </w:t>
            </w:r>
            <w:r>
              <w:rPr>
                <w:rFonts w:cs="Times New Roman"/>
              </w:rPr>
              <w:t xml:space="preserve">/ </w:t>
            </w:r>
            <w:r w:rsidRPr="00FB566A">
              <w:rPr>
                <w:sz w:val="16"/>
                <w:szCs w:val="16"/>
                <w:lang w:val="en-GB"/>
              </w:rPr>
              <w:t>Target: Pristina region during Oct-Dec PM10: 30 micrograms per cubic metr</w:t>
            </w:r>
            <w:r>
              <w:rPr>
                <w:sz w:val="16"/>
                <w:szCs w:val="16"/>
                <w:lang w:val="en-GB"/>
              </w:rPr>
              <w:t>e</w:t>
            </w:r>
            <w:r w:rsidRPr="00FB566A">
              <w:rPr>
                <w:sz w:val="16"/>
                <w:szCs w:val="16"/>
                <w:lang w:val="en-GB"/>
              </w:rPr>
              <w:t xml:space="preserve"> of air; PM2.5: 20 micrograms per cubic metr</w:t>
            </w:r>
            <w:r>
              <w:rPr>
                <w:sz w:val="16"/>
                <w:szCs w:val="16"/>
                <w:lang w:val="en-GB"/>
              </w:rPr>
              <w:t>e</w:t>
            </w:r>
            <w:r w:rsidRPr="00FB566A">
              <w:rPr>
                <w:sz w:val="16"/>
                <w:szCs w:val="16"/>
                <w:lang w:val="en-GB"/>
              </w:rPr>
              <w:t xml:space="preserve"> of air (2025)</w:t>
            </w:r>
            <w:r>
              <w:rPr>
                <w:sz w:val="16"/>
                <w:szCs w:val="16"/>
                <w:lang w:val="en-GB"/>
              </w:rPr>
              <w:t xml:space="preserve"> </w:t>
            </w:r>
            <w:r w:rsidRPr="00581E7D">
              <w:rPr>
                <w:rFonts w:cs="Times New Roman"/>
              </w:rPr>
              <w:t xml:space="preserve">and </w:t>
            </w:r>
            <w:r w:rsidRPr="00581E7D">
              <w:rPr>
                <w:lang w:val="en-GB"/>
              </w:rPr>
              <w:t xml:space="preserve">Output 2.3: Enhanced climate change and green investment strategies / Indicative Indicator (2.3.1.1 IRRF) 3.3.1: Number of strategies reflecting long-term resilience-building to address co-vulnerabilities of the climate and health crises approved (Pristina), </w:t>
            </w:r>
            <w:r w:rsidRPr="00581E7D">
              <w:rPr>
                <w:sz w:val="16"/>
                <w:szCs w:val="16"/>
                <w:lang w:val="en-GB"/>
              </w:rPr>
              <w:t>Baseline: 1 (2019), Target: 5 (2025)</w:t>
            </w:r>
          </w:p>
          <w:p w14:paraId="42D1DF52" w14:textId="41101B97" w:rsidR="00CF51F1" w:rsidRPr="00A457DA" w:rsidRDefault="00CF51F1" w:rsidP="00581E7D">
            <w:pPr>
              <w:pStyle w:val="ListParagraph"/>
              <w:numPr>
                <w:ilvl w:val="0"/>
                <w:numId w:val="13"/>
              </w:numPr>
              <w:rPr>
                <w:rFonts w:cs="Times New Roman"/>
                <w:sz w:val="24"/>
                <w:szCs w:val="24"/>
              </w:rPr>
            </w:pPr>
            <w:r>
              <w:rPr>
                <w:rFonts w:cs="Times New Roman"/>
                <w:sz w:val="24"/>
                <w:szCs w:val="24"/>
              </w:rPr>
              <w:t>The linkage between the approval of four new strategies and the improvement of air quality is not clear. Only the implementation of a strategy will have an effect on air quality.</w:t>
            </w:r>
          </w:p>
        </w:tc>
        <w:tc>
          <w:tcPr>
            <w:tcW w:w="6660" w:type="dxa"/>
          </w:tcPr>
          <w:p w14:paraId="2BBE3A48" w14:textId="0FAC1861" w:rsidR="00CF51F1" w:rsidRPr="00581E7D" w:rsidRDefault="00B90A68" w:rsidP="00581E7D">
            <w:pPr>
              <w:pStyle w:val="ListParagraph"/>
              <w:numPr>
                <w:ilvl w:val="0"/>
                <w:numId w:val="12"/>
              </w:numPr>
              <w:rPr>
                <w:rFonts w:cs="Times New Roman"/>
              </w:rPr>
            </w:pPr>
            <w:r w:rsidRPr="00A90920">
              <w:rPr>
                <w:rFonts w:cs="Times New Roman"/>
                <w:sz w:val="24"/>
                <w:szCs w:val="24"/>
              </w:rPr>
              <w:t>This comment is well noted</w:t>
            </w:r>
            <w:r w:rsidR="00364E65" w:rsidRPr="00A90920">
              <w:rPr>
                <w:rFonts w:cs="Times New Roman"/>
                <w:sz w:val="24"/>
                <w:szCs w:val="24"/>
              </w:rPr>
              <w:t xml:space="preserve">. Currently, there are limited data and suitable indicators available, and this was considered the best option. As we move into the implementation, </w:t>
            </w:r>
            <w:r w:rsidR="006D7F11" w:rsidRPr="00A90920">
              <w:rPr>
                <w:rFonts w:cs="Times New Roman"/>
                <w:sz w:val="24"/>
                <w:szCs w:val="24"/>
              </w:rPr>
              <w:t xml:space="preserve">and if better data/indicators </w:t>
            </w:r>
            <w:r w:rsidR="003F36B6" w:rsidRPr="00A90920">
              <w:rPr>
                <w:rFonts w:cs="Times New Roman"/>
                <w:sz w:val="24"/>
                <w:szCs w:val="24"/>
              </w:rPr>
              <w:t>are</w:t>
            </w:r>
            <w:r w:rsidR="006D7F11" w:rsidRPr="00A90920">
              <w:rPr>
                <w:rFonts w:cs="Times New Roman"/>
                <w:sz w:val="24"/>
                <w:szCs w:val="24"/>
              </w:rPr>
              <w:t xml:space="preserve"> available, this can be revised.</w:t>
            </w:r>
            <w:r w:rsidR="006D7F11">
              <w:rPr>
                <w:rFonts w:cs="Times New Roman"/>
              </w:rPr>
              <w:t xml:space="preserve"> </w:t>
            </w:r>
          </w:p>
        </w:tc>
      </w:tr>
    </w:tbl>
    <w:p w14:paraId="7A233441" w14:textId="77777777" w:rsidR="008E1D90" w:rsidRDefault="008E1D90" w:rsidP="00A457DA">
      <w:pPr>
        <w:spacing w:after="0" w:line="240" w:lineRule="auto"/>
        <w:jc w:val="center"/>
        <w:rPr>
          <w:rFonts w:cs="Times New Roman"/>
          <w:sz w:val="24"/>
          <w:szCs w:val="24"/>
        </w:rPr>
      </w:pPr>
    </w:p>
    <w:tbl>
      <w:tblPr>
        <w:tblStyle w:val="TableGrid"/>
        <w:tblW w:w="14434" w:type="dxa"/>
        <w:tblLook w:val="04A0" w:firstRow="1" w:lastRow="0" w:firstColumn="1" w:lastColumn="0" w:noHBand="0" w:noVBand="1"/>
      </w:tblPr>
      <w:tblGrid>
        <w:gridCol w:w="7690"/>
        <w:gridCol w:w="6744"/>
      </w:tblGrid>
      <w:tr w:rsidR="00440C15" w:rsidRPr="005323D5" w14:paraId="1AC13036" w14:textId="77777777" w:rsidTr="00440C15">
        <w:trPr>
          <w:trHeight w:val="476"/>
        </w:trPr>
        <w:tc>
          <w:tcPr>
            <w:tcW w:w="8185" w:type="dxa"/>
            <w:vAlign w:val="center"/>
          </w:tcPr>
          <w:p w14:paraId="1E619779" w14:textId="3E276500" w:rsidR="00440C15" w:rsidRPr="00A457DA" w:rsidRDefault="00440C15" w:rsidP="00B82F89">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004A2D88">
              <w:rPr>
                <w:rFonts w:cs="Times New Roman"/>
                <w:b/>
                <w:sz w:val="24"/>
                <w:szCs w:val="24"/>
              </w:rPr>
              <w:t>by Sweden</w:t>
            </w:r>
          </w:p>
        </w:tc>
        <w:tc>
          <w:tcPr>
            <w:tcW w:w="6249" w:type="dxa"/>
          </w:tcPr>
          <w:p w14:paraId="20FCBBE6" w14:textId="3D2AC28D" w:rsidR="00440C15" w:rsidRPr="00534E03" w:rsidRDefault="005A0B40" w:rsidP="00B82F89">
            <w:pPr>
              <w:jc w:val="center"/>
              <w:rPr>
                <w:rFonts w:cs="Times New Roman"/>
                <w:b/>
                <w:sz w:val="24"/>
                <w:szCs w:val="24"/>
              </w:rPr>
            </w:pPr>
            <w:r>
              <w:rPr>
                <w:rFonts w:cs="Times New Roman"/>
                <w:b/>
                <w:sz w:val="24"/>
                <w:szCs w:val="24"/>
              </w:rPr>
              <w:t>Response</w:t>
            </w:r>
            <w:r w:rsidR="00440C15">
              <w:rPr>
                <w:rFonts w:cs="Times New Roman"/>
                <w:b/>
                <w:sz w:val="24"/>
                <w:szCs w:val="24"/>
              </w:rPr>
              <w:t xml:space="preserve"> </w:t>
            </w:r>
            <w:r w:rsidR="004A2D88">
              <w:rPr>
                <w:rFonts w:cs="Times New Roman"/>
                <w:b/>
                <w:sz w:val="24"/>
                <w:szCs w:val="24"/>
              </w:rPr>
              <w:t xml:space="preserve">by </w:t>
            </w:r>
            <w:r w:rsidR="00440C15">
              <w:rPr>
                <w:rFonts w:cs="Times New Roman"/>
                <w:b/>
                <w:sz w:val="24"/>
                <w:szCs w:val="24"/>
              </w:rPr>
              <w:t>UNDP Office in Kosovo</w:t>
            </w:r>
            <w:r w:rsidR="00440C15">
              <w:rPr>
                <w:rStyle w:val="FootnoteReference"/>
                <w:rFonts w:cs="Times New Roman"/>
                <w:b/>
                <w:sz w:val="24"/>
                <w:szCs w:val="24"/>
              </w:rPr>
              <w:footnoteReference w:id="3"/>
            </w:r>
          </w:p>
        </w:tc>
      </w:tr>
      <w:tr w:rsidR="00440C15" w:rsidRPr="005323D5" w14:paraId="5D1DB9C6" w14:textId="77777777" w:rsidTr="00440C15">
        <w:trPr>
          <w:trHeight w:val="476"/>
        </w:trPr>
        <w:tc>
          <w:tcPr>
            <w:tcW w:w="8185" w:type="dxa"/>
            <w:vAlign w:val="center"/>
          </w:tcPr>
          <w:p w14:paraId="0063504D" w14:textId="77777777" w:rsidR="00440C15" w:rsidRPr="00A939CE" w:rsidRDefault="00440C15" w:rsidP="00B82F89">
            <w:pPr>
              <w:pStyle w:val="ListParagraph"/>
              <w:numPr>
                <w:ilvl w:val="0"/>
                <w:numId w:val="12"/>
              </w:numPr>
              <w:rPr>
                <w:rFonts w:cs="Times New Roman"/>
                <w:sz w:val="24"/>
                <w:szCs w:val="24"/>
              </w:rPr>
            </w:pPr>
            <w:r w:rsidRPr="00A939CE">
              <w:rPr>
                <w:rFonts w:cs="Times New Roman"/>
                <w:sz w:val="24"/>
                <w:szCs w:val="24"/>
              </w:rPr>
              <w:t xml:space="preserve">Sweden supports the SAEK III program </w:t>
            </w:r>
            <w:r>
              <w:rPr>
                <w:rFonts w:cs="Times New Roman"/>
                <w:sz w:val="24"/>
                <w:szCs w:val="24"/>
              </w:rPr>
              <w:t>on anti-c</w:t>
            </w:r>
            <w:r w:rsidRPr="00A939CE">
              <w:rPr>
                <w:rFonts w:cs="Times New Roman"/>
                <w:sz w:val="24"/>
                <w:szCs w:val="24"/>
              </w:rPr>
              <w:t xml:space="preserve">orruption. Sweden should therefore be added to the list of partners in </w:t>
            </w:r>
            <w:r w:rsidRPr="00A939CE">
              <w:rPr>
                <w:rFonts w:eastAsia="Times New Roman" w:cs="Arial"/>
                <w:sz w:val="24"/>
                <w:szCs w:val="24"/>
              </w:rPr>
              <w:t>good governance and the rule of law</w:t>
            </w:r>
            <w:r w:rsidRPr="00A939CE">
              <w:rPr>
                <w:rFonts w:cs="Times New Roman"/>
                <w:sz w:val="24"/>
                <w:szCs w:val="24"/>
              </w:rPr>
              <w:t xml:space="preserve">. </w:t>
            </w:r>
          </w:p>
        </w:tc>
        <w:tc>
          <w:tcPr>
            <w:tcW w:w="6249" w:type="dxa"/>
          </w:tcPr>
          <w:p w14:paraId="7D0C54CA" w14:textId="77777777" w:rsidR="00440C15" w:rsidRPr="00A939CE" w:rsidRDefault="00440C15" w:rsidP="00B82F89">
            <w:pPr>
              <w:pStyle w:val="ListParagraph"/>
              <w:numPr>
                <w:ilvl w:val="0"/>
                <w:numId w:val="12"/>
              </w:numPr>
              <w:rPr>
                <w:rFonts w:cs="Times New Roman"/>
                <w:sz w:val="24"/>
                <w:szCs w:val="24"/>
              </w:rPr>
            </w:pPr>
            <w:r>
              <w:rPr>
                <w:rFonts w:cs="Times New Roman"/>
                <w:sz w:val="24"/>
                <w:szCs w:val="24"/>
              </w:rPr>
              <w:t xml:space="preserve">Cost-sharing agreement with SIDA on SAEK III was signed on 30 June 2020. We will add Sweden as a partner. </w:t>
            </w:r>
          </w:p>
        </w:tc>
      </w:tr>
      <w:tr w:rsidR="00440C15" w:rsidRPr="005323D5" w14:paraId="18CAABC2" w14:textId="77777777" w:rsidTr="00440C15">
        <w:trPr>
          <w:trHeight w:val="1340"/>
        </w:trPr>
        <w:tc>
          <w:tcPr>
            <w:tcW w:w="8185" w:type="dxa"/>
            <w:vAlign w:val="center"/>
          </w:tcPr>
          <w:p w14:paraId="586CDAD6" w14:textId="77777777" w:rsidR="00440C15" w:rsidRPr="00914BBE" w:rsidRDefault="00440C15" w:rsidP="00B82F89">
            <w:pPr>
              <w:pStyle w:val="ListParagraph"/>
              <w:numPr>
                <w:ilvl w:val="0"/>
                <w:numId w:val="12"/>
              </w:numPr>
              <w:rPr>
                <w:rFonts w:cs="Times New Roman"/>
                <w:sz w:val="24"/>
                <w:szCs w:val="24"/>
              </w:rPr>
            </w:pPr>
            <w:r w:rsidRPr="00914BBE">
              <w:rPr>
                <w:rFonts w:cs="Times New Roman"/>
                <w:sz w:val="24"/>
                <w:szCs w:val="24"/>
              </w:rPr>
              <w:t xml:space="preserve">UNDP proposes to do work in </w:t>
            </w:r>
            <w:r>
              <w:rPr>
                <w:rFonts w:cs="Times New Roman"/>
                <w:sz w:val="24"/>
                <w:szCs w:val="24"/>
              </w:rPr>
              <w:t>the area of</w:t>
            </w:r>
            <w:r w:rsidRPr="00914BBE">
              <w:rPr>
                <w:bCs/>
                <w:sz w:val="24"/>
                <w:szCs w:val="24"/>
                <w:lang w:val="en-GB"/>
              </w:rPr>
              <w:t xml:space="preserve"> cultural heritage. Does the UNDP country office have capacity in this </w:t>
            </w:r>
            <w:proofErr w:type="gramStart"/>
            <w:r w:rsidRPr="00914BBE">
              <w:rPr>
                <w:bCs/>
                <w:sz w:val="24"/>
                <w:szCs w:val="24"/>
                <w:lang w:val="en-GB"/>
              </w:rPr>
              <w:t>area</w:t>
            </w:r>
            <w:proofErr w:type="gramEnd"/>
            <w:r w:rsidRPr="00914BBE">
              <w:rPr>
                <w:bCs/>
                <w:sz w:val="24"/>
                <w:szCs w:val="24"/>
                <w:lang w:val="en-GB"/>
              </w:rPr>
              <w:t xml:space="preserve"> and will </w:t>
            </w:r>
            <w:r>
              <w:rPr>
                <w:bCs/>
                <w:sz w:val="24"/>
                <w:szCs w:val="24"/>
                <w:lang w:val="en-GB"/>
              </w:rPr>
              <w:t xml:space="preserve">other partners </w:t>
            </w:r>
            <w:r w:rsidRPr="00914BBE">
              <w:rPr>
                <w:bCs/>
                <w:sz w:val="24"/>
                <w:szCs w:val="24"/>
                <w:lang w:val="en-GB"/>
              </w:rPr>
              <w:t>be engaged</w:t>
            </w:r>
            <w:r>
              <w:rPr>
                <w:bCs/>
                <w:sz w:val="24"/>
                <w:szCs w:val="24"/>
                <w:lang w:val="en-GB"/>
              </w:rPr>
              <w:t xml:space="preserve"> in this work</w:t>
            </w:r>
            <w:r w:rsidRPr="00914BBE">
              <w:rPr>
                <w:bCs/>
                <w:sz w:val="24"/>
                <w:szCs w:val="24"/>
                <w:lang w:val="en-GB"/>
              </w:rPr>
              <w:t>?</w:t>
            </w:r>
          </w:p>
        </w:tc>
        <w:tc>
          <w:tcPr>
            <w:tcW w:w="6249" w:type="dxa"/>
          </w:tcPr>
          <w:p w14:paraId="631431E3" w14:textId="77777777" w:rsidR="00440C15" w:rsidRPr="00914BBE" w:rsidRDefault="00440C15" w:rsidP="00B82F89">
            <w:pPr>
              <w:pStyle w:val="ListParagraph"/>
              <w:numPr>
                <w:ilvl w:val="0"/>
                <w:numId w:val="12"/>
              </w:numPr>
              <w:rPr>
                <w:rFonts w:cs="Times New Roman"/>
                <w:sz w:val="24"/>
                <w:szCs w:val="24"/>
              </w:rPr>
            </w:pPr>
            <w:r>
              <w:rPr>
                <w:rFonts w:cs="Times New Roman"/>
                <w:sz w:val="24"/>
                <w:szCs w:val="24"/>
              </w:rPr>
              <w:t>UNDP Kosovo has successfully implemented two phases of “</w:t>
            </w:r>
            <w:r w:rsidRPr="00953B79">
              <w:rPr>
                <w:rFonts w:cs="Times New Roman"/>
                <w:sz w:val="24"/>
                <w:szCs w:val="24"/>
              </w:rPr>
              <w:t>Inter-community Dialogue through inclusive Cultural Heritage Preservation</w:t>
            </w:r>
            <w:r>
              <w:rPr>
                <w:rFonts w:cs="Times New Roman"/>
                <w:sz w:val="24"/>
                <w:szCs w:val="24"/>
              </w:rPr>
              <w:t xml:space="preserve">” </w:t>
            </w:r>
            <w:proofErr w:type="gramStart"/>
            <w:r>
              <w:rPr>
                <w:rFonts w:cs="Times New Roman"/>
                <w:sz w:val="24"/>
                <w:szCs w:val="24"/>
              </w:rPr>
              <w:t>programme, and</w:t>
            </w:r>
            <w:proofErr w:type="gramEnd"/>
            <w:r>
              <w:rPr>
                <w:rFonts w:cs="Times New Roman"/>
                <w:sz w:val="24"/>
                <w:szCs w:val="24"/>
              </w:rPr>
              <w:t xml:space="preserve"> is uniquely placed to promote a multi-disciplinary approach in this area. While the biggest component of both programme was physical rehabilitation of cultural and religious sites, carefully selected in clos partnership with Ministry of Culture Youth and Sports and the EU, the overarching objective is to promote social cohesion and dialogue between communities, and respect of cultural heritage as </w:t>
            </w:r>
            <w:r>
              <w:rPr>
                <w:rFonts w:cs="Times New Roman"/>
                <w:sz w:val="24"/>
                <w:szCs w:val="24"/>
              </w:rPr>
              <w:lastRenderedPageBreak/>
              <w:t xml:space="preserve">something that belongs to all communities. Heads of the religious communities, municipal leadership, Kosovo Police, </w:t>
            </w:r>
            <w:proofErr w:type="gramStart"/>
            <w:r>
              <w:rPr>
                <w:rFonts w:cs="Times New Roman"/>
                <w:sz w:val="24"/>
                <w:szCs w:val="24"/>
              </w:rPr>
              <w:t>youth</w:t>
            </w:r>
            <w:proofErr w:type="gramEnd"/>
            <w:r>
              <w:rPr>
                <w:rFonts w:cs="Times New Roman"/>
                <w:sz w:val="24"/>
                <w:szCs w:val="24"/>
              </w:rPr>
              <w:t xml:space="preserve"> and organisations with expertise in CH were the main actors on both phases. As we prepare for the third phase of the programme, we will be building on this solid experience, and partnerships established over the years. Final evaluation of Cultural Heritage II can be found at: </w:t>
            </w:r>
            <w:hyperlink r:id="rId11" w:history="1">
              <w:r w:rsidRPr="0093380D">
                <w:rPr>
                  <w:rStyle w:val="Hyperlink"/>
                  <w:rFonts w:cs="Times New Roman"/>
                  <w:sz w:val="24"/>
                  <w:szCs w:val="24"/>
                </w:rPr>
                <w:t>https://erc.undp.org/evaluation/evaluations/detail/12363#</w:t>
              </w:r>
            </w:hyperlink>
          </w:p>
        </w:tc>
      </w:tr>
      <w:tr w:rsidR="00440C15" w:rsidRPr="005323D5" w14:paraId="150B6558" w14:textId="77777777" w:rsidTr="00440C15">
        <w:trPr>
          <w:trHeight w:val="476"/>
        </w:trPr>
        <w:tc>
          <w:tcPr>
            <w:tcW w:w="8185" w:type="dxa"/>
            <w:vAlign w:val="center"/>
          </w:tcPr>
          <w:p w14:paraId="322BE03C" w14:textId="77777777" w:rsidR="00440C15" w:rsidRPr="00A457DA" w:rsidRDefault="00440C15" w:rsidP="00B82F89">
            <w:pPr>
              <w:pStyle w:val="ListParagraph"/>
              <w:numPr>
                <w:ilvl w:val="0"/>
                <w:numId w:val="12"/>
              </w:numPr>
              <w:rPr>
                <w:rFonts w:cs="Times New Roman"/>
                <w:sz w:val="24"/>
                <w:szCs w:val="24"/>
              </w:rPr>
            </w:pPr>
            <w:r>
              <w:rPr>
                <w:rFonts w:cs="Times New Roman"/>
                <w:sz w:val="24"/>
                <w:szCs w:val="24"/>
              </w:rPr>
              <w:lastRenderedPageBreak/>
              <w:t xml:space="preserve">The </w:t>
            </w:r>
            <w:r w:rsidRPr="006D442C">
              <w:rPr>
                <w:spacing w:val="-2"/>
                <w:w w:val="103"/>
                <w:kern w:val="14"/>
                <w:sz w:val="24"/>
                <w:lang w:val="en-GB"/>
              </w:rPr>
              <w:t>Results and resources framework</w:t>
            </w:r>
            <w:r>
              <w:rPr>
                <w:spacing w:val="-2"/>
                <w:w w:val="103"/>
                <w:kern w:val="14"/>
                <w:sz w:val="24"/>
                <w:lang w:val="en-GB"/>
              </w:rPr>
              <w:t xml:space="preserve"> has not been updated to consider the consequences of the COVID-19 pandemic.</w:t>
            </w:r>
          </w:p>
        </w:tc>
        <w:tc>
          <w:tcPr>
            <w:tcW w:w="6249" w:type="dxa"/>
          </w:tcPr>
          <w:p w14:paraId="58461E75" w14:textId="77777777" w:rsidR="00440C15" w:rsidRDefault="00440C15" w:rsidP="00B82F89">
            <w:pPr>
              <w:pStyle w:val="ListParagraph"/>
              <w:numPr>
                <w:ilvl w:val="0"/>
                <w:numId w:val="12"/>
              </w:numPr>
              <w:rPr>
                <w:rFonts w:cs="Times New Roman"/>
                <w:sz w:val="24"/>
                <w:szCs w:val="24"/>
              </w:rPr>
            </w:pPr>
            <w:r>
              <w:rPr>
                <w:rFonts w:cs="Times New Roman"/>
                <w:sz w:val="24"/>
                <w:szCs w:val="24"/>
              </w:rPr>
              <w:t xml:space="preserve">COVID-19 impact has been </w:t>
            </w:r>
            <w:proofErr w:type="gramStart"/>
            <w:r>
              <w:rPr>
                <w:rFonts w:cs="Times New Roman"/>
                <w:sz w:val="24"/>
                <w:szCs w:val="24"/>
              </w:rPr>
              <w:t>taken into account</w:t>
            </w:r>
            <w:proofErr w:type="gramEnd"/>
            <w:r>
              <w:rPr>
                <w:rFonts w:cs="Times New Roman"/>
                <w:sz w:val="24"/>
                <w:szCs w:val="24"/>
              </w:rPr>
              <w:t xml:space="preserve"> in the RRF both in terms of immediate response as well as longer-term recovery efforts needed.</w:t>
            </w:r>
          </w:p>
        </w:tc>
      </w:tr>
    </w:tbl>
    <w:p w14:paraId="025C370D" w14:textId="77777777" w:rsidR="008E1D90" w:rsidRDefault="008E1D90" w:rsidP="00440C15">
      <w:pPr>
        <w:spacing w:after="0" w:line="240" w:lineRule="auto"/>
        <w:rPr>
          <w:rFonts w:cs="Times New Roman"/>
          <w:sz w:val="24"/>
          <w:szCs w:val="24"/>
        </w:rPr>
      </w:pPr>
    </w:p>
    <w:tbl>
      <w:tblPr>
        <w:tblStyle w:val="TableGrid"/>
        <w:tblW w:w="14434" w:type="dxa"/>
        <w:tblLook w:val="04A0" w:firstRow="1" w:lastRow="0" w:firstColumn="1" w:lastColumn="0" w:noHBand="0" w:noVBand="1"/>
      </w:tblPr>
      <w:tblGrid>
        <w:gridCol w:w="7645"/>
        <w:gridCol w:w="6789"/>
      </w:tblGrid>
      <w:tr w:rsidR="00D00370" w:rsidRPr="005323D5" w14:paraId="441FAF1C" w14:textId="77777777" w:rsidTr="005A0B40">
        <w:trPr>
          <w:trHeight w:val="476"/>
        </w:trPr>
        <w:tc>
          <w:tcPr>
            <w:tcW w:w="7645" w:type="dxa"/>
            <w:vAlign w:val="center"/>
          </w:tcPr>
          <w:p w14:paraId="648E1981" w14:textId="20083537" w:rsidR="00D00370" w:rsidRPr="00A457DA" w:rsidRDefault="00D00370" w:rsidP="001C1009">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Pr>
                <w:rFonts w:cs="Times New Roman"/>
                <w:b/>
                <w:sz w:val="24"/>
                <w:szCs w:val="24"/>
              </w:rPr>
              <w:t xml:space="preserve">by </w:t>
            </w:r>
            <w:r>
              <w:rPr>
                <w:rFonts w:cs="Times New Roman"/>
                <w:b/>
                <w:sz w:val="24"/>
                <w:szCs w:val="24"/>
              </w:rPr>
              <w:t>U.S.A.</w:t>
            </w:r>
          </w:p>
        </w:tc>
        <w:tc>
          <w:tcPr>
            <w:tcW w:w="6789" w:type="dxa"/>
            <w:vAlign w:val="center"/>
          </w:tcPr>
          <w:p w14:paraId="3A75613A" w14:textId="1D127619" w:rsidR="00D00370" w:rsidRPr="00534E03" w:rsidRDefault="005A0B40" w:rsidP="001C1009">
            <w:pPr>
              <w:jc w:val="center"/>
              <w:rPr>
                <w:rFonts w:cs="Times New Roman"/>
                <w:b/>
                <w:sz w:val="24"/>
                <w:szCs w:val="24"/>
              </w:rPr>
            </w:pPr>
            <w:r>
              <w:rPr>
                <w:rFonts w:cs="Times New Roman"/>
                <w:b/>
                <w:sz w:val="24"/>
                <w:szCs w:val="24"/>
              </w:rPr>
              <w:t>Response</w:t>
            </w:r>
            <w:r w:rsidR="00D00370">
              <w:rPr>
                <w:rFonts w:cs="Times New Roman"/>
                <w:b/>
                <w:sz w:val="24"/>
                <w:szCs w:val="24"/>
              </w:rPr>
              <w:t xml:space="preserve"> by UNDP Office in Kosovo</w:t>
            </w:r>
            <w:r w:rsidR="00D00370">
              <w:rPr>
                <w:rStyle w:val="FootnoteReference"/>
                <w:rFonts w:cs="Times New Roman"/>
                <w:b/>
                <w:sz w:val="24"/>
                <w:szCs w:val="24"/>
              </w:rPr>
              <w:footnoteReference w:id="4"/>
            </w:r>
          </w:p>
        </w:tc>
      </w:tr>
      <w:tr w:rsidR="00D00370" w:rsidRPr="005323D5" w14:paraId="6C597808" w14:textId="77777777" w:rsidTr="00B55B94">
        <w:trPr>
          <w:trHeight w:val="998"/>
        </w:trPr>
        <w:tc>
          <w:tcPr>
            <w:tcW w:w="7645" w:type="dxa"/>
            <w:vAlign w:val="center"/>
          </w:tcPr>
          <w:p w14:paraId="0E8D9220" w14:textId="40A2D91D" w:rsidR="00D00370" w:rsidRPr="00A939CE" w:rsidRDefault="005A0B40" w:rsidP="001C1009">
            <w:pPr>
              <w:pStyle w:val="ListParagraph"/>
              <w:numPr>
                <w:ilvl w:val="0"/>
                <w:numId w:val="12"/>
              </w:numPr>
              <w:rPr>
                <w:rFonts w:cs="Times New Roman"/>
                <w:sz w:val="24"/>
                <w:szCs w:val="24"/>
              </w:rPr>
            </w:pPr>
            <w:r w:rsidRPr="005A0B40">
              <w:rPr>
                <w:rFonts w:cs="Times New Roman"/>
                <w:sz w:val="24"/>
                <w:szCs w:val="24"/>
              </w:rPr>
              <w:t>The document mentions the Mediation Commission, which has not existed since 2018</w:t>
            </w:r>
          </w:p>
        </w:tc>
        <w:tc>
          <w:tcPr>
            <w:tcW w:w="6789" w:type="dxa"/>
          </w:tcPr>
          <w:p w14:paraId="682B9E01" w14:textId="4169EF35" w:rsidR="00D00370" w:rsidRPr="00A939CE" w:rsidRDefault="00B55B94" w:rsidP="001C1009">
            <w:pPr>
              <w:pStyle w:val="ListParagraph"/>
              <w:numPr>
                <w:ilvl w:val="0"/>
                <w:numId w:val="12"/>
              </w:numPr>
              <w:rPr>
                <w:rFonts w:cs="Times New Roman"/>
                <w:sz w:val="24"/>
                <w:szCs w:val="24"/>
              </w:rPr>
            </w:pPr>
            <w:r w:rsidRPr="00B55B94">
              <w:rPr>
                <w:rFonts w:cs="Times New Roman"/>
                <w:sz w:val="24"/>
                <w:szCs w:val="24"/>
              </w:rPr>
              <w:t>This should be the Chamber of Mediation, established based on the Law on Mediation of 2018. Correction has been made in the RRF accordingly.</w:t>
            </w:r>
          </w:p>
        </w:tc>
      </w:tr>
    </w:tbl>
    <w:p w14:paraId="70823533" w14:textId="26B8AC84" w:rsidR="001567CA" w:rsidRPr="005323D5" w:rsidRDefault="00534E03" w:rsidP="00A457DA">
      <w:pPr>
        <w:spacing w:after="0" w:line="240" w:lineRule="auto"/>
        <w:jc w:val="center"/>
        <w:rPr>
          <w:rFonts w:cs="Times New Roman"/>
          <w:sz w:val="24"/>
          <w:szCs w:val="24"/>
        </w:rPr>
      </w:pPr>
      <w:r>
        <w:rPr>
          <w:rFonts w:cs="Times New Roman"/>
          <w:sz w:val="24"/>
          <w:szCs w:val="24"/>
        </w:rPr>
        <w:t>_______</w:t>
      </w:r>
    </w:p>
    <w:sectPr w:rsidR="001567CA" w:rsidRPr="005323D5" w:rsidSect="009F5068">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DB799" w14:textId="77777777" w:rsidR="00FF7164" w:rsidRDefault="00FF7164" w:rsidP="0053576A">
      <w:pPr>
        <w:spacing w:after="0" w:line="240" w:lineRule="auto"/>
      </w:pPr>
      <w:r>
        <w:separator/>
      </w:r>
    </w:p>
  </w:endnote>
  <w:endnote w:type="continuationSeparator" w:id="0">
    <w:p w14:paraId="2671447A" w14:textId="77777777" w:rsidR="00FF7164" w:rsidRDefault="00FF7164"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006CA">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81220" w14:textId="77777777" w:rsidR="00FF7164" w:rsidRDefault="00FF7164" w:rsidP="0053576A">
      <w:pPr>
        <w:spacing w:after="0" w:line="240" w:lineRule="auto"/>
      </w:pPr>
      <w:r>
        <w:separator/>
      </w:r>
    </w:p>
  </w:footnote>
  <w:footnote w:type="continuationSeparator" w:id="0">
    <w:p w14:paraId="56717FDA" w14:textId="77777777" w:rsidR="00FF7164" w:rsidRDefault="00FF7164" w:rsidP="0053576A">
      <w:pPr>
        <w:spacing w:after="0" w:line="240" w:lineRule="auto"/>
      </w:pPr>
      <w:r>
        <w:continuationSeparator/>
      </w:r>
    </w:p>
  </w:footnote>
  <w:footnote w:id="1">
    <w:p w14:paraId="2793FBC0" w14:textId="77777777" w:rsidR="00C80BAB" w:rsidRDefault="00C80BAB" w:rsidP="00C80BAB">
      <w:r w:rsidRPr="5A77813B">
        <w:footnoteRef/>
      </w:r>
      <w:r>
        <w:t xml:space="preserve"> References to Kosovo shall be understood to be in the context of UN SCR 1244 (1999)</w:t>
      </w:r>
    </w:p>
  </w:footnote>
  <w:footnote w:id="2">
    <w:p w14:paraId="3683EBCD" w14:textId="77777777" w:rsidR="004A2D88" w:rsidRDefault="004A2D88" w:rsidP="004A2D88">
      <w:pPr>
        <w:rPr>
          <w:i/>
          <w:iCs/>
          <w:lang w:val="en-US"/>
        </w:rPr>
      </w:pPr>
      <w:r>
        <w:rPr>
          <w:rStyle w:val="FootnoteReference"/>
        </w:rPr>
        <w:footnoteRef/>
      </w:r>
      <w:r>
        <w:t xml:space="preserve"> </w:t>
      </w:r>
      <w:r>
        <w:rPr>
          <w:i/>
          <w:iCs/>
        </w:rPr>
        <w:t>*References to Kosovo shall be understood to be in the context of Security Council resolution 1244 (1999)</w:t>
      </w:r>
    </w:p>
    <w:p w14:paraId="7DF9FB3C" w14:textId="77777777" w:rsidR="004A2D88" w:rsidRPr="00724D48" w:rsidRDefault="004A2D88" w:rsidP="004A2D88">
      <w:pPr>
        <w:pStyle w:val="FootnoteText"/>
        <w:rPr>
          <w:lang w:val="en-US"/>
        </w:rPr>
      </w:pPr>
    </w:p>
  </w:footnote>
  <w:footnote w:id="3">
    <w:p w14:paraId="713B9797" w14:textId="77777777" w:rsidR="00440C15" w:rsidRDefault="00440C15" w:rsidP="00440C15">
      <w:pPr>
        <w:rPr>
          <w:i/>
          <w:iCs/>
          <w:lang w:val="en-US"/>
        </w:rPr>
      </w:pPr>
      <w:r>
        <w:rPr>
          <w:rStyle w:val="FootnoteReference"/>
        </w:rPr>
        <w:footnoteRef/>
      </w:r>
      <w:r>
        <w:t xml:space="preserve"> </w:t>
      </w:r>
      <w:r>
        <w:rPr>
          <w:i/>
          <w:iCs/>
        </w:rPr>
        <w:t>*References to Kosovo shall be understood to be in the context of Security Council resolution 1244 (1999)</w:t>
      </w:r>
    </w:p>
    <w:p w14:paraId="163365A8" w14:textId="77777777" w:rsidR="00440C15" w:rsidRPr="00724D48" w:rsidRDefault="00440C15" w:rsidP="00440C15">
      <w:pPr>
        <w:pStyle w:val="FootnoteText"/>
        <w:rPr>
          <w:lang w:val="en-US"/>
        </w:rPr>
      </w:pPr>
    </w:p>
  </w:footnote>
  <w:footnote w:id="4">
    <w:p w14:paraId="3F5ECBC9" w14:textId="77777777" w:rsidR="00D00370" w:rsidRDefault="00D00370" w:rsidP="00D00370">
      <w:pPr>
        <w:rPr>
          <w:i/>
          <w:iCs/>
          <w:lang w:val="en-US"/>
        </w:rPr>
      </w:pPr>
      <w:r>
        <w:rPr>
          <w:rStyle w:val="FootnoteReference"/>
        </w:rPr>
        <w:footnoteRef/>
      </w:r>
      <w:r>
        <w:t xml:space="preserve"> </w:t>
      </w:r>
      <w:r>
        <w:rPr>
          <w:i/>
          <w:iCs/>
        </w:rPr>
        <w:t>*References to Kosovo shall be understood to be in the context of Security Council resolution 1244 (1999)</w:t>
      </w:r>
    </w:p>
    <w:p w14:paraId="32BCA1AE" w14:textId="77777777" w:rsidR="00D00370" w:rsidRPr="00724D48" w:rsidRDefault="00D00370" w:rsidP="00D0037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15323"/>
    <w:multiLevelType w:val="hybridMultilevel"/>
    <w:tmpl w:val="9286A830"/>
    <w:lvl w:ilvl="0" w:tplc="897267FC">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7"/>
  </w:num>
  <w:num w:numId="5">
    <w:abstractNumId w:val="3"/>
  </w:num>
  <w:num w:numId="6">
    <w:abstractNumId w:val="5"/>
  </w:num>
  <w:num w:numId="7">
    <w:abstractNumId w:val="4"/>
  </w:num>
  <w:num w:numId="8">
    <w:abstractNumId w:val="0"/>
  </w:num>
  <w:num w:numId="9">
    <w:abstractNumId w:val="9"/>
  </w:num>
  <w:num w:numId="10">
    <w:abstractNumId w:val="2"/>
  </w:num>
  <w:num w:numId="11">
    <w:abstractNumId w:val="11"/>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6A"/>
    <w:rsid w:val="0000038F"/>
    <w:rsid w:val="0000647B"/>
    <w:rsid w:val="00007370"/>
    <w:rsid w:val="00012624"/>
    <w:rsid w:val="00023C33"/>
    <w:rsid w:val="0002543D"/>
    <w:rsid w:val="000301C5"/>
    <w:rsid w:val="00031330"/>
    <w:rsid w:val="00031342"/>
    <w:rsid w:val="0003212B"/>
    <w:rsid w:val="0003213E"/>
    <w:rsid w:val="00035CCD"/>
    <w:rsid w:val="0004201B"/>
    <w:rsid w:val="0004295E"/>
    <w:rsid w:val="000470F0"/>
    <w:rsid w:val="00052B13"/>
    <w:rsid w:val="00054870"/>
    <w:rsid w:val="00055EC9"/>
    <w:rsid w:val="00056EA8"/>
    <w:rsid w:val="00057DC3"/>
    <w:rsid w:val="00074172"/>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40C8"/>
    <w:rsid w:val="000E57DC"/>
    <w:rsid w:val="000E5B0D"/>
    <w:rsid w:val="000E64F0"/>
    <w:rsid w:val="000E7EBC"/>
    <w:rsid w:val="000F1C02"/>
    <w:rsid w:val="000F31EC"/>
    <w:rsid w:val="000F42F9"/>
    <w:rsid w:val="000F4FAA"/>
    <w:rsid w:val="000F6F6E"/>
    <w:rsid w:val="00101966"/>
    <w:rsid w:val="00103BFD"/>
    <w:rsid w:val="00105203"/>
    <w:rsid w:val="00107156"/>
    <w:rsid w:val="001119B1"/>
    <w:rsid w:val="00114444"/>
    <w:rsid w:val="00116943"/>
    <w:rsid w:val="0011704F"/>
    <w:rsid w:val="00121B8C"/>
    <w:rsid w:val="00121E3B"/>
    <w:rsid w:val="00122314"/>
    <w:rsid w:val="00122A81"/>
    <w:rsid w:val="0013018C"/>
    <w:rsid w:val="0013163E"/>
    <w:rsid w:val="001328E8"/>
    <w:rsid w:val="00132BFE"/>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304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4F1C"/>
    <w:rsid w:val="001C59D1"/>
    <w:rsid w:val="001C5AE9"/>
    <w:rsid w:val="001C74D1"/>
    <w:rsid w:val="001D2E21"/>
    <w:rsid w:val="001D3016"/>
    <w:rsid w:val="001D73C9"/>
    <w:rsid w:val="001DAAAC"/>
    <w:rsid w:val="001E08F7"/>
    <w:rsid w:val="001E1A7C"/>
    <w:rsid w:val="001E467A"/>
    <w:rsid w:val="001E4A47"/>
    <w:rsid w:val="001E5B53"/>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0A51"/>
    <w:rsid w:val="00251414"/>
    <w:rsid w:val="00252A5C"/>
    <w:rsid w:val="0025629A"/>
    <w:rsid w:val="00257B39"/>
    <w:rsid w:val="00261CF3"/>
    <w:rsid w:val="00263938"/>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B7501"/>
    <w:rsid w:val="002C0E63"/>
    <w:rsid w:val="002C1C86"/>
    <w:rsid w:val="002C6948"/>
    <w:rsid w:val="002D47F3"/>
    <w:rsid w:val="002D7DC9"/>
    <w:rsid w:val="002E0CFF"/>
    <w:rsid w:val="002E22D9"/>
    <w:rsid w:val="002E5BF2"/>
    <w:rsid w:val="002E6A53"/>
    <w:rsid w:val="002F33A7"/>
    <w:rsid w:val="002F34C4"/>
    <w:rsid w:val="002F438F"/>
    <w:rsid w:val="002F49F7"/>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35765"/>
    <w:rsid w:val="00342161"/>
    <w:rsid w:val="00343F03"/>
    <w:rsid w:val="00346A3B"/>
    <w:rsid w:val="00354086"/>
    <w:rsid w:val="00354E71"/>
    <w:rsid w:val="003553E0"/>
    <w:rsid w:val="00355BD0"/>
    <w:rsid w:val="00355CEE"/>
    <w:rsid w:val="003565D7"/>
    <w:rsid w:val="0035697F"/>
    <w:rsid w:val="00357134"/>
    <w:rsid w:val="00357FB7"/>
    <w:rsid w:val="00360415"/>
    <w:rsid w:val="00364E65"/>
    <w:rsid w:val="00365131"/>
    <w:rsid w:val="00365B31"/>
    <w:rsid w:val="00370D2E"/>
    <w:rsid w:val="00372718"/>
    <w:rsid w:val="0037314A"/>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0CA9"/>
    <w:rsid w:val="003F1B9C"/>
    <w:rsid w:val="003F36B6"/>
    <w:rsid w:val="003F584D"/>
    <w:rsid w:val="003F7B5A"/>
    <w:rsid w:val="00403076"/>
    <w:rsid w:val="004036FA"/>
    <w:rsid w:val="00405CD2"/>
    <w:rsid w:val="00405D9F"/>
    <w:rsid w:val="00406AA4"/>
    <w:rsid w:val="00421675"/>
    <w:rsid w:val="004227EB"/>
    <w:rsid w:val="0042321E"/>
    <w:rsid w:val="004239FF"/>
    <w:rsid w:val="00425E1A"/>
    <w:rsid w:val="004261B4"/>
    <w:rsid w:val="00431490"/>
    <w:rsid w:val="004334BB"/>
    <w:rsid w:val="00437124"/>
    <w:rsid w:val="00440C15"/>
    <w:rsid w:val="00441968"/>
    <w:rsid w:val="004444FE"/>
    <w:rsid w:val="0044565F"/>
    <w:rsid w:val="00446DCB"/>
    <w:rsid w:val="004472DD"/>
    <w:rsid w:val="00451080"/>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D88"/>
    <w:rsid w:val="004A2F72"/>
    <w:rsid w:val="004A446F"/>
    <w:rsid w:val="004A6011"/>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06CA"/>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3ED2"/>
    <w:rsid w:val="0056474F"/>
    <w:rsid w:val="0057197B"/>
    <w:rsid w:val="005769A5"/>
    <w:rsid w:val="00581AA7"/>
    <w:rsid w:val="00581E7D"/>
    <w:rsid w:val="00582240"/>
    <w:rsid w:val="005902A0"/>
    <w:rsid w:val="00591407"/>
    <w:rsid w:val="00594967"/>
    <w:rsid w:val="00594E11"/>
    <w:rsid w:val="00596B39"/>
    <w:rsid w:val="00597E6D"/>
    <w:rsid w:val="005A0B40"/>
    <w:rsid w:val="005A2A78"/>
    <w:rsid w:val="005A6641"/>
    <w:rsid w:val="005A6766"/>
    <w:rsid w:val="005B0FC2"/>
    <w:rsid w:val="005B2315"/>
    <w:rsid w:val="005B3994"/>
    <w:rsid w:val="005B3DD4"/>
    <w:rsid w:val="005B593B"/>
    <w:rsid w:val="005C0501"/>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A76"/>
    <w:rsid w:val="006740D7"/>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B06F5"/>
    <w:rsid w:val="006B17EA"/>
    <w:rsid w:val="006B22DD"/>
    <w:rsid w:val="006B2C55"/>
    <w:rsid w:val="006C1102"/>
    <w:rsid w:val="006D1F8F"/>
    <w:rsid w:val="006D25E3"/>
    <w:rsid w:val="006D4586"/>
    <w:rsid w:val="006D5781"/>
    <w:rsid w:val="006D5B1E"/>
    <w:rsid w:val="006D5DF2"/>
    <w:rsid w:val="006D7F11"/>
    <w:rsid w:val="006E30D6"/>
    <w:rsid w:val="006F00FD"/>
    <w:rsid w:val="006F2389"/>
    <w:rsid w:val="006F3317"/>
    <w:rsid w:val="006F6C34"/>
    <w:rsid w:val="006F76B4"/>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0A91"/>
    <w:rsid w:val="008635F6"/>
    <w:rsid w:val="008676B8"/>
    <w:rsid w:val="00880B6E"/>
    <w:rsid w:val="0088172F"/>
    <w:rsid w:val="00881AFD"/>
    <w:rsid w:val="0088235C"/>
    <w:rsid w:val="0088323C"/>
    <w:rsid w:val="00883922"/>
    <w:rsid w:val="008842DA"/>
    <w:rsid w:val="008849DF"/>
    <w:rsid w:val="0088687B"/>
    <w:rsid w:val="00886AB1"/>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D6555"/>
    <w:rsid w:val="008E1A63"/>
    <w:rsid w:val="008E1D90"/>
    <w:rsid w:val="008E741D"/>
    <w:rsid w:val="008F474E"/>
    <w:rsid w:val="008F4AA1"/>
    <w:rsid w:val="008F5281"/>
    <w:rsid w:val="00900C01"/>
    <w:rsid w:val="00901343"/>
    <w:rsid w:val="00907518"/>
    <w:rsid w:val="00912DFF"/>
    <w:rsid w:val="0092077B"/>
    <w:rsid w:val="00920BC8"/>
    <w:rsid w:val="00921135"/>
    <w:rsid w:val="00921CE6"/>
    <w:rsid w:val="00922BE3"/>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570E4"/>
    <w:rsid w:val="0096086F"/>
    <w:rsid w:val="0096272D"/>
    <w:rsid w:val="0096477F"/>
    <w:rsid w:val="00964AA9"/>
    <w:rsid w:val="00976662"/>
    <w:rsid w:val="0097758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D6F7C"/>
    <w:rsid w:val="009E1A1F"/>
    <w:rsid w:val="009E25AA"/>
    <w:rsid w:val="009E340A"/>
    <w:rsid w:val="009E4940"/>
    <w:rsid w:val="009E6218"/>
    <w:rsid w:val="009F0097"/>
    <w:rsid w:val="009F157F"/>
    <w:rsid w:val="009F5068"/>
    <w:rsid w:val="009F7352"/>
    <w:rsid w:val="009F78F5"/>
    <w:rsid w:val="009F7F30"/>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5D8"/>
    <w:rsid w:val="00A22E6A"/>
    <w:rsid w:val="00A237E4"/>
    <w:rsid w:val="00A24B69"/>
    <w:rsid w:val="00A270A8"/>
    <w:rsid w:val="00A31E24"/>
    <w:rsid w:val="00A35D1B"/>
    <w:rsid w:val="00A36E4E"/>
    <w:rsid w:val="00A42DEF"/>
    <w:rsid w:val="00A43196"/>
    <w:rsid w:val="00A457DA"/>
    <w:rsid w:val="00A5258A"/>
    <w:rsid w:val="00A54508"/>
    <w:rsid w:val="00A55DC4"/>
    <w:rsid w:val="00A56A26"/>
    <w:rsid w:val="00A578C2"/>
    <w:rsid w:val="00A57FC8"/>
    <w:rsid w:val="00A60CFF"/>
    <w:rsid w:val="00A61100"/>
    <w:rsid w:val="00A619E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0920"/>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898"/>
    <w:rsid w:val="00B048CA"/>
    <w:rsid w:val="00B10684"/>
    <w:rsid w:val="00B116F6"/>
    <w:rsid w:val="00B1534A"/>
    <w:rsid w:val="00B17A69"/>
    <w:rsid w:val="00B207DF"/>
    <w:rsid w:val="00B2213F"/>
    <w:rsid w:val="00B27014"/>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5B94"/>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0A68"/>
    <w:rsid w:val="00B91A71"/>
    <w:rsid w:val="00B91BC2"/>
    <w:rsid w:val="00B92F98"/>
    <w:rsid w:val="00B93154"/>
    <w:rsid w:val="00B964E0"/>
    <w:rsid w:val="00BA01E8"/>
    <w:rsid w:val="00BA0C7B"/>
    <w:rsid w:val="00BA3C95"/>
    <w:rsid w:val="00BA5C06"/>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80BAB"/>
    <w:rsid w:val="00C86E73"/>
    <w:rsid w:val="00C90295"/>
    <w:rsid w:val="00C928AE"/>
    <w:rsid w:val="00C94BAC"/>
    <w:rsid w:val="00C94E69"/>
    <w:rsid w:val="00C95251"/>
    <w:rsid w:val="00C96190"/>
    <w:rsid w:val="00C9745D"/>
    <w:rsid w:val="00C97D9D"/>
    <w:rsid w:val="00CA0371"/>
    <w:rsid w:val="00CA1466"/>
    <w:rsid w:val="00CA3F5F"/>
    <w:rsid w:val="00CA4CC0"/>
    <w:rsid w:val="00CA78CD"/>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0047"/>
    <w:rsid w:val="00CE3184"/>
    <w:rsid w:val="00CE7727"/>
    <w:rsid w:val="00CF51F1"/>
    <w:rsid w:val="00CF7C4E"/>
    <w:rsid w:val="00D00370"/>
    <w:rsid w:val="00D00E6F"/>
    <w:rsid w:val="00D0153C"/>
    <w:rsid w:val="00D05A18"/>
    <w:rsid w:val="00D05EA5"/>
    <w:rsid w:val="00D06758"/>
    <w:rsid w:val="00D06EB6"/>
    <w:rsid w:val="00D11033"/>
    <w:rsid w:val="00D11E09"/>
    <w:rsid w:val="00D13B32"/>
    <w:rsid w:val="00D14CF4"/>
    <w:rsid w:val="00D14E59"/>
    <w:rsid w:val="00D17F2D"/>
    <w:rsid w:val="00D20461"/>
    <w:rsid w:val="00D219A0"/>
    <w:rsid w:val="00D235BF"/>
    <w:rsid w:val="00D23686"/>
    <w:rsid w:val="00D23A0A"/>
    <w:rsid w:val="00D249DC"/>
    <w:rsid w:val="00D27B4F"/>
    <w:rsid w:val="00D27FCB"/>
    <w:rsid w:val="00D27FCE"/>
    <w:rsid w:val="00D30B8E"/>
    <w:rsid w:val="00D320A1"/>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1ECC"/>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C7E03"/>
    <w:rsid w:val="00DD08EC"/>
    <w:rsid w:val="00DD38D5"/>
    <w:rsid w:val="00DD3AB2"/>
    <w:rsid w:val="00DD413A"/>
    <w:rsid w:val="00DD4A7E"/>
    <w:rsid w:val="00DD5E2F"/>
    <w:rsid w:val="00DD6F8A"/>
    <w:rsid w:val="00DE1DFE"/>
    <w:rsid w:val="00DE3E24"/>
    <w:rsid w:val="00DE5BD5"/>
    <w:rsid w:val="00DE67E5"/>
    <w:rsid w:val="00DE7F55"/>
    <w:rsid w:val="00DF0151"/>
    <w:rsid w:val="00DF2456"/>
    <w:rsid w:val="00DF3D67"/>
    <w:rsid w:val="00DF773A"/>
    <w:rsid w:val="00E00D50"/>
    <w:rsid w:val="00E0332F"/>
    <w:rsid w:val="00E03BC0"/>
    <w:rsid w:val="00E0433B"/>
    <w:rsid w:val="00E10A6B"/>
    <w:rsid w:val="00E10F54"/>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3EED"/>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13AE"/>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17EF"/>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2B1F"/>
    <w:rsid w:val="00FF6D49"/>
    <w:rsid w:val="00FF7164"/>
    <w:rsid w:val="011422A5"/>
    <w:rsid w:val="02D7BF89"/>
    <w:rsid w:val="031471C8"/>
    <w:rsid w:val="08AFCE41"/>
    <w:rsid w:val="1F7337B4"/>
    <w:rsid w:val="21705495"/>
    <w:rsid w:val="21921D18"/>
    <w:rsid w:val="21DCB7A1"/>
    <w:rsid w:val="2AB4C210"/>
    <w:rsid w:val="2D54FD12"/>
    <w:rsid w:val="2D5FBAEB"/>
    <w:rsid w:val="3658BFDD"/>
    <w:rsid w:val="37FD6921"/>
    <w:rsid w:val="3843C2DF"/>
    <w:rsid w:val="3B69B629"/>
    <w:rsid w:val="3EFE68FF"/>
    <w:rsid w:val="3F6AEDB0"/>
    <w:rsid w:val="412C32E2"/>
    <w:rsid w:val="43D57FFC"/>
    <w:rsid w:val="4FBBCC19"/>
    <w:rsid w:val="519AB9EF"/>
    <w:rsid w:val="53A599DF"/>
    <w:rsid w:val="54C84FAE"/>
    <w:rsid w:val="59AD3558"/>
    <w:rsid w:val="5A77813B"/>
    <w:rsid w:val="5DB05DEC"/>
    <w:rsid w:val="652B75F6"/>
    <w:rsid w:val="65E12E8C"/>
    <w:rsid w:val="680C8445"/>
    <w:rsid w:val="75D1E411"/>
    <w:rsid w:val="782C320F"/>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45211"/>
  <w15:docId w15:val="{83B08A4E-9A81-4EA1-88E4-CFE79B46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aliases w:val="List Paragraph (numbered (a))"/>
    <w:basedOn w:val="Normal"/>
    <w:link w:val="ListParagraphChar"/>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
    <w:link w:val="ListParagraph"/>
    <w:uiPriority w:val="34"/>
    <w:locked/>
    <w:rsid w:val="00581E7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c.undp.org/evaluation/evaluations/detail/1236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2.xml><?xml version="1.0" encoding="utf-8"?>
<ds:datastoreItem xmlns:ds="http://schemas.openxmlformats.org/officeDocument/2006/customXml" ds:itemID="{ED3F57A1-F678-4E3C-90FD-3B5FC06577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856b32-dbbd-4996-9e5d-776de7c2e4f8"/>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1CB678B7-DE02-49BD-A7B0-9F368D92EC4F}">
  <ds:schemaRefs>
    <ds:schemaRef ds:uri="http://schemas.openxmlformats.org/officeDocument/2006/bibliography"/>
  </ds:schemaRefs>
</ds:datastoreItem>
</file>

<file path=customXml/itemProps4.xml><?xml version="1.0" encoding="utf-8"?>
<ds:datastoreItem xmlns:ds="http://schemas.openxmlformats.org/officeDocument/2006/customXml" ds:itemID="{F7A90B68-3FB5-45A4-AD17-AACE6F12F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Svetlana Iazykova</cp:lastModifiedBy>
  <cp:revision>5</cp:revision>
  <cp:lastPrinted>2019-10-23T14:31:00Z</cp:lastPrinted>
  <dcterms:created xsi:type="dcterms:W3CDTF">2020-07-10T18:05:00Z</dcterms:created>
  <dcterms:modified xsi:type="dcterms:W3CDTF">2020-07-10T18:40:00Z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