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FB242" w14:textId="5AAFDA8F" w:rsidR="00943B33" w:rsidRPr="00E60FB8" w:rsidRDefault="008C4A92" w:rsidP="00943B33">
      <w:pPr>
        <w:spacing w:line="240" w:lineRule="auto"/>
        <w:rPr>
          <w:sz w:val="2"/>
          <w:lang w:val="en-US" w:eastAsia="ja-JP"/>
        </w:rPr>
      </w:pPr>
      <w:bookmarkStart w:id="0" w:name="_Hlk44500355"/>
      <w:bookmarkEnd w:id="0"/>
      <w:proofErr w:type="spellStart"/>
      <w:r>
        <w:rPr>
          <w:sz w:val="2"/>
          <w:lang w:val="en-US" w:eastAsia="ja-JP"/>
        </w:rPr>
        <w:t>x</w:t>
      </w:r>
      <w:r w:rsidR="00303743">
        <w:rPr>
          <w:sz w:val="2"/>
          <w:lang w:val="en-US" w:eastAsia="ja-JP"/>
        </w:rPr>
        <w:t>ion</w:t>
      </w:r>
      <w:r w:rsidR="00FD6398">
        <w:rPr>
          <w:sz w:val="2"/>
          <w:lang w:val="en-US" w:eastAsia="ja-JP"/>
        </w:rPr>
        <w:t>b</w:t>
      </w:r>
      <w:proofErr w:type="spellEnd"/>
    </w:p>
    <w:p w14:paraId="04DD5F57" w14:textId="3FE015C3" w:rsidR="00EA1A6E" w:rsidRPr="00EA1A6E" w:rsidRDefault="00EA1A6E" w:rsidP="00EA1A6E">
      <w:pPr>
        <w:spacing w:line="20" w:lineRule="exact"/>
        <w:rPr>
          <w:sz w:val="2"/>
        </w:rPr>
        <w:sectPr w:rsidR="00EA1A6E" w:rsidRPr="00EA1A6E" w:rsidSect="00BB1219">
          <w:headerReference w:type="even" r:id="rId11"/>
          <w:headerReference w:type="default" r:id="rId12"/>
          <w:footerReference w:type="even" r:id="rId13"/>
          <w:footerReference w:type="default" r:id="rId14"/>
          <w:footerReference w:type="first" r:id="rId15"/>
          <w:endnotePr>
            <w:numFmt w:val="decimal"/>
          </w:endnotePr>
          <w:type w:val="continuous"/>
          <w:pgSz w:w="12240" w:h="15840" w:code="1"/>
          <w:pgMar w:top="1742" w:right="1195" w:bottom="1901" w:left="1195" w:header="576" w:footer="878" w:gutter="0"/>
          <w:pgNumType w:start="1"/>
          <w:cols w:space="720"/>
          <w:noEndnote/>
          <w:titlePg/>
          <w:docGrid w:linePitch="278"/>
        </w:sectPr>
      </w:pPr>
    </w:p>
    <w:p w14:paraId="1B700C46" w14:textId="77777777" w:rsidR="00A641E6" w:rsidRPr="007A66B8" w:rsidRDefault="00A641E6" w:rsidP="00C941FD">
      <w:pPr>
        <w:spacing w:line="240" w:lineRule="auto"/>
        <w:rPr>
          <w:b/>
          <w:sz w:val="32"/>
          <w:szCs w:val="32"/>
        </w:rPr>
      </w:pPr>
    </w:p>
    <w:p w14:paraId="2A6B3C46" w14:textId="390DA761" w:rsidR="00943B33" w:rsidRDefault="00C941FD" w:rsidP="00C941FD">
      <w:pPr>
        <w:spacing w:line="240" w:lineRule="auto"/>
        <w:rPr>
          <w:b/>
          <w:bCs/>
          <w:sz w:val="28"/>
          <w:szCs w:val="28"/>
        </w:rPr>
      </w:pPr>
      <w:r w:rsidRPr="00C941FD">
        <w:rPr>
          <w:b/>
          <w:bCs/>
          <w:sz w:val="28"/>
          <w:szCs w:val="28"/>
        </w:rPr>
        <w:t xml:space="preserve">Annex </w:t>
      </w:r>
      <w:r w:rsidR="00014B74">
        <w:rPr>
          <w:b/>
          <w:bCs/>
          <w:sz w:val="28"/>
          <w:szCs w:val="28"/>
        </w:rPr>
        <w:t>I</w:t>
      </w:r>
      <w:r w:rsidR="002161C6">
        <w:rPr>
          <w:b/>
          <w:bCs/>
          <w:sz w:val="28"/>
          <w:szCs w:val="28"/>
        </w:rPr>
        <w:t xml:space="preserve"> </w:t>
      </w:r>
      <w:r w:rsidRPr="00C941FD">
        <w:rPr>
          <w:b/>
          <w:bCs/>
          <w:sz w:val="28"/>
          <w:szCs w:val="28"/>
        </w:rPr>
        <w:t>to DP/</w:t>
      </w:r>
      <w:r w:rsidR="00B15D43">
        <w:rPr>
          <w:b/>
          <w:bCs/>
          <w:sz w:val="28"/>
          <w:szCs w:val="28"/>
        </w:rPr>
        <w:t>2021</w:t>
      </w:r>
      <w:r w:rsidRPr="00C941FD">
        <w:rPr>
          <w:b/>
          <w:bCs/>
          <w:sz w:val="28"/>
          <w:szCs w:val="28"/>
        </w:rPr>
        <w:t>/</w:t>
      </w:r>
      <w:r w:rsidR="00B15D43">
        <w:rPr>
          <w:b/>
          <w:bCs/>
          <w:sz w:val="28"/>
          <w:szCs w:val="28"/>
        </w:rPr>
        <w:t>31</w:t>
      </w:r>
    </w:p>
    <w:p w14:paraId="3A67C518" w14:textId="4B559895" w:rsidR="005E3EFB" w:rsidRDefault="0085388E" w:rsidP="00C941FD">
      <w:pPr>
        <w:spacing w:line="240" w:lineRule="auto"/>
        <w:rPr>
          <w:b/>
          <w:bCs/>
          <w:sz w:val="28"/>
          <w:szCs w:val="28"/>
        </w:rPr>
      </w:pPr>
      <w:r>
        <w:rPr>
          <w:b/>
          <w:bCs/>
          <w:sz w:val="28"/>
          <w:szCs w:val="28"/>
        </w:rPr>
        <w:t>Detailed a</w:t>
      </w:r>
      <w:r w:rsidR="005E3EFB">
        <w:rPr>
          <w:b/>
          <w:bCs/>
          <w:sz w:val="28"/>
          <w:szCs w:val="28"/>
        </w:rPr>
        <w:t xml:space="preserve">nnual review of the financial situation, </w:t>
      </w:r>
      <w:r w:rsidR="00B15D43">
        <w:rPr>
          <w:b/>
          <w:bCs/>
          <w:sz w:val="28"/>
          <w:szCs w:val="28"/>
        </w:rPr>
        <w:t>2020</w:t>
      </w:r>
    </w:p>
    <w:p w14:paraId="2DCB7495" w14:textId="71444A8C" w:rsidR="00DB4B09" w:rsidRDefault="00DB4B09" w:rsidP="00C941FD">
      <w:pPr>
        <w:spacing w:line="240" w:lineRule="auto"/>
        <w:rPr>
          <w:b/>
          <w:bCs/>
          <w:sz w:val="28"/>
          <w:szCs w:val="28"/>
        </w:rPr>
      </w:pPr>
    </w:p>
    <w:p w14:paraId="6BAA1713" w14:textId="77777777" w:rsidR="00DB4B09" w:rsidRDefault="00DB4B09" w:rsidP="00DB4B09">
      <w:pPr>
        <w:rPr>
          <w:b/>
          <w:color w:val="FF0000"/>
        </w:rPr>
      </w:pPr>
      <w:bookmarkStart w:id="1" w:name="_Hlk77761346"/>
    </w:p>
    <w:p w14:paraId="774430CE" w14:textId="77777777" w:rsidR="00DB4B09" w:rsidRDefault="00DB4B09" w:rsidP="00DB4B09">
      <w:pPr>
        <w:pBdr>
          <w:top w:val="single" w:sz="4" w:space="1" w:color="auto"/>
          <w:left w:val="single" w:sz="4" w:space="4" w:color="auto"/>
          <w:bottom w:val="single" w:sz="4" w:space="1" w:color="auto"/>
          <w:right w:val="single" w:sz="4" w:space="4" w:color="auto"/>
        </w:pBdr>
        <w:suppressAutoHyphens w:val="0"/>
        <w:spacing w:line="240" w:lineRule="auto"/>
        <w:jc w:val="both"/>
        <w:rPr>
          <w:i/>
        </w:rPr>
      </w:pPr>
    </w:p>
    <w:p w14:paraId="0E114740" w14:textId="77777777" w:rsidR="00DB4B09" w:rsidRDefault="00DB4B09" w:rsidP="00DB4B09">
      <w:pPr>
        <w:pBdr>
          <w:top w:val="single" w:sz="4" w:space="1" w:color="auto"/>
          <w:left w:val="single" w:sz="4" w:space="4" w:color="auto"/>
          <w:bottom w:val="single" w:sz="4" w:space="1" w:color="auto"/>
          <w:right w:val="single" w:sz="4" w:space="4" w:color="auto"/>
        </w:pBdr>
        <w:suppressAutoHyphens w:val="0"/>
        <w:spacing w:line="240" w:lineRule="auto"/>
        <w:jc w:val="both"/>
        <w:rPr>
          <w:color w:val="FF0000"/>
        </w:rPr>
      </w:pPr>
      <w:r w:rsidRPr="00D023DF">
        <w:rPr>
          <w:i/>
        </w:rPr>
        <w:t>Summary</w:t>
      </w:r>
      <w:r w:rsidRPr="00D023DF">
        <w:t xml:space="preserve"> </w:t>
      </w:r>
      <w:r>
        <w:t xml:space="preserve">   </w:t>
      </w:r>
    </w:p>
    <w:p w14:paraId="47E711D4" w14:textId="77777777" w:rsidR="00DB4B09" w:rsidRDefault="00DB4B09" w:rsidP="00DB4B09">
      <w:pPr>
        <w:pBdr>
          <w:top w:val="single" w:sz="4" w:space="1" w:color="auto"/>
          <w:left w:val="single" w:sz="4" w:space="4" w:color="auto"/>
          <w:bottom w:val="single" w:sz="4" w:space="1" w:color="auto"/>
          <w:right w:val="single" w:sz="4" w:space="4" w:color="auto"/>
        </w:pBdr>
        <w:suppressAutoHyphens w:val="0"/>
        <w:spacing w:line="240" w:lineRule="auto"/>
        <w:jc w:val="both"/>
      </w:pPr>
    </w:p>
    <w:p w14:paraId="794F225C" w14:textId="2EE2298D" w:rsidR="00DB4B09" w:rsidRPr="00D023DF" w:rsidRDefault="00C86912" w:rsidP="00DB4B09">
      <w:pPr>
        <w:pBdr>
          <w:top w:val="single" w:sz="4" w:space="1" w:color="auto"/>
          <w:left w:val="single" w:sz="4" w:space="4" w:color="auto"/>
          <w:bottom w:val="single" w:sz="4" w:space="1" w:color="auto"/>
          <w:right w:val="single" w:sz="4" w:space="4" w:color="auto"/>
        </w:pBdr>
        <w:suppressAutoHyphens w:val="0"/>
        <w:spacing w:line="240" w:lineRule="auto"/>
        <w:jc w:val="both"/>
      </w:pPr>
      <w:r w:rsidRPr="00AD3CC8">
        <w:t xml:space="preserve">The report on the annual review of the financial situation </w:t>
      </w:r>
      <w:r w:rsidR="00892042">
        <w:t>presents</w:t>
      </w:r>
      <w:r w:rsidRPr="00AD3CC8">
        <w:t xml:space="preserve"> a comprehensive review and analysis, from </w:t>
      </w:r>
      <w:r w:rsidR="00892042">
        <w:t>a</w:t>
      </w:r>
      <w:r w:rsidRPr="00AD3CC8">
        <w:t xml:space="preserve"> financial perspective, of UNDP activities at the global and aggregate levels. The overview assesses the performance of the organization against the various sources for programming: UNDP regular resources, other resources, and provides the financial position at the end of 2020 with </w:t>
      </w:r>
      <w:r w:rsidR="00892042">
        <w:t>comparatives</w:t>
      </w:r>
      <w:r w:rsidRPr="00AD3CC8">
        <w:t xml:space="preserve"> to the previous year.</w:t>
      </w:r>
    </w:p>
    <w:p w14:paraId="1BBB291A" w14:textId="77777777" w:rsidR="00AD3CC8" w:rsidRDefault="00AD3CC8" w:rsidP="00DB4B09">
      <w:pPr>
        <w:pBdr>
          <w:top w:val="single" w:sz="4" w:space="1" w:color="auto"/>
          <w:left w:val="single" w:sz="4" w:space="4" w:color="auto"/>
          <w:bottom w:val="single" w:sz="4" w:space="1" w:color="auto"/>
          <w:right w:val="single" w:sz="4" w:space="4" w:color="auto"/>
        </w:pBdr>
        <w:suppressAutoHyphens w:val="0"/>
        <w:spacing w:line="240" w:lineRule="auto"/>
        <w:jc w:val="both"/>
      </w:pPr>
    </w:p>
    <w:p w14:paraId="6AFAA542" w14:textId="77F07B0A" w:rsidR="00AD3CC8" w:rsidRPr="00AD3CC8" w:rsidRDefault="007D6014" w:rsidP="00AD3CC8">
      <w:pPr>
        <w:pBdr>
          <w:top w:val="single" w:sz="4" w:space="1" w:color="auto"/>
          <w:left w:val="single" w:sz="4" w:space="4" w:color="auto"/>
          <w:bottom w:val="single" w:sz="4" w:space="1" w:color="auto"/>
          <w:right w:val="single" w:sz="4" w:space="4" w:color="auto"/>
        </w:pBdr>
        <w:suppressAutoHyphens w:val="0"/>
        <w:spacing w:line="240" w:lineRule="auto"/>
        <w:jc w:val="both"/>
      </w:pPr>
      <w:r w:rsidRPr="00AD3CC8">
        <w:t>To</w:t>
      </w:r>
      <w:r w:rsidR="00AD3CC8" w:rsidRPr="00AD3CC8">
        <w:t xml:space="preserve"> streamline documentation shared with the Executive Board</w:t>
      </w:r>
      <w:r w:rsidR="001466F1">
        <w:t xml:space="preserve"> in line with the Executive Board Decision 2019/18</w:t>
      </w:r>
      <w:r w:rsidR="00AD3CC8" w:rsidRPr="00AD3CC8">
        <w:t xml:space="preserve">, the annual review of the financial situation </w:t>
      </w:r>
      <w:r w:rsidR="00892042">
        <w:t>is</w:t>
      </w:r>
      <w:r w:rsidR="00AD3CC8" w:rsidRPr="00AD3CC8">
        <w:t xml:space="preserve"> integrated with DP/2021/31 (</w:t>
      </w:r>
      <w:r w:rsidR="00892042" w:rsidRPr="00AD3CC8">
        <w:t>since 2020</w:t>
      </w:r>
      <w:r w:rsidR="00892042">
        <w:t>,</w:t>
      </w:r>
      <w:r w:rsidR="00892042" w:rsidRPr="00AD3CC8">
        <w:t xml:space="preserve"> </w:t>
      </w:r>
      <w:r w:rsidR="00AD3CC8" w:rsidRPr="00AD3CC8">
        <w:t xml:space="preserve">for fiscal year ended in 2019) and the financial information is detailed in this </w:t>
      </w:r>
      <w:r w:rsidR="00492AFD">
        <w:t>a</w:t>
      </w:r>
      <w:r w:rsidR="00AD3CC8" w:rsidRPr="00AD3CC8">
        <w:t xml:space="preserve">nnex I.  </w:t>
      </w:r>
    </w:p>
    <w:p w14:paraId="74763F86" w14:textId="77777777" w:rsidR="00DB4B09" w:rsidRDefault="00DB4B09" w:rsidP="00DB4B09">
      <w:pPr>
        <w:pBdr>
          <w:top w:val="single" w:sz="4" w:space="1" w:color="auto"/>
          <w:left w:val="single" w:sz="4" w:space="4" w:color="auto"/>
          <w:bottom w:val="single" w:sz="4" w:space="1" w:color="auto"/>
          <w:right w:val="single" w:sz="4" w:space="4" w:color="auto"/>
        </w:pBdr>
        <w:suppressAutoHyphens w:val="0"/>
        <w:spacing w:line="240" w:lineRule="auto"/>
        <w:jc w:val="both"/>
      </w:pPr>
    </w:p>
    <w:p w14:paraId="776FFB7A" w14:textId="77777777" w:rsidR="00DB4B09" w:rsidRDefault="00DB4B09" w:rsidP="00DB4B09">
      <w:pPr>
        <w:suppressAutoHyphens w:val="0"/>
        <w:spacing w:line="240" w:lineRule="auto"/>
        <w:jc w:val="both"/>
      </w:pPr>
      <w:r>
        <w:t xml:space="preserve">   </w:t>
      </w:r>
      <w:bookmarkEnd w:id="1"/>
    </w:p>
    <w:p w14:paraId="6EF40020" w14:textId="1A405042" w:rsidR="00E605A4" w:rsidRPr="000E57AE" w:rsidRDefault="00E605A4">
      <w:pPr>
        <w:suppressAutoHyphens w:val="0"/>
        <w:spacing w:line="240" w:lineRule="auto"/>
      </w:pPr>
    </w:p>
    <w:p w14:paraId="21B5BC65" w14:textId="3BEEE11D" w:rsidR="00E605A4" w:rsidRDefault="00E605A4" w:rsidP="00D925ED">
      <w:pPr>
        <w:pStyle w:val="HCh"/>
        <w:spacing w:after="120"/>
        <w:outlineLvl w:val="9"/>
        <w:rPr>
          <w:b w:val="0"/>
        </w:rPr>
      </w:pPr>
      <w:r w:rsidRPr="000E57AE">
        <w:rPr>
          <w:b w:val="0"/>
        </w:rPr>
        <w:t>Contents</w:t>
      </w:r>
    </w:p>
    <w:sdt>
      <w:sdtPr>
        <w:id w:val="221801565"/>
        <w:docPartObj>
          <w:docPartGallery w:val="Table of Contents"/>
          <w:docPartUnique/>
        </w:docPartObj>
      </w:sdtPr>
      <w:sdtEndPr>
        <w:rPr>
          <w:b/>
          <w:bCs/>
          <w:noProof/>
        </w:rPr>
      </w:sdtEndPr>
      <w:sdtContent>
        <w:p w14:paraId="2C0A0BE0" w14:textId="755CEA4D" w:rsidR="00BF43D0" w:rsidRDefault="002E6FA7" w:rsidP="00D060DE">
          <w:pPr>
            <w:pStyle w:val="TOC1"/>
            <w:rPr>
              <w:rFonts w:asciiTheme="minorHAnsi" w:eastAsiaTheme="minorEastAsia" w:hAnsiTheme="minorHAnsi" w:cstheme="minorBidi"/>
              <w:noProof/>
              <w:spacing w:val="0"/>
              <w:w w:val="100"/>
              <w:kern w:val="0"/>
              <w:sz w:val="22"/>
              <w:szCs w:val="22"/>
              <w:lang w:val="en-US" w:eastAsia="ja-JP"/>
            </w:rPr>
          </w:pPr>
          <w:r>
            <w:fldChar w:fldCharType="begin"/>
          </w:r>
          <w:r>
            <w:instrText xml:space="preserve"> TOC \o "1-3" \h \z \u </w:instrText>
          </w:r>
          <w:r>
            <w:fldChar w:fldCharType="separate"/>
          </w:r>
          <w:hyperlink w:anchor="_Toc75466820" w:history="1">
            <w:r w:rsidR="00BF43D0" w:rsidRPr="0031735D">
              <w:rPr>
                <w:rStyle w:val="Hyperlink"/>
                <w:noProof/>
              </w:rPr>
              <w:t>I.</w:t>
            </w:r>
            <w:r w:rsidR="00BF43D0">
              <w:rPr>
                <w:rFonts w:asciiTheme="minorHAnsi" w:eastAsiaTheme="minorEastAsia" w:hAnsiTheme="minorHAnsi" w:cstheme="minorBidi"/>
                <w:noProof/>
                <w:spacing w:val="0"/>
                <w:w w:val="100"/>
                <w:kern w:val="0"/>
                <w:sz w:val="22"/>
                <w:szCs w:val="22"/>
                <w:lang w:val="en-US" w:eastAsia="ja-JP"/>
              </w:rPr>
              <w:tab/>
            </w:r>
            <w:r w:rsidR="00BF43D0" w:rsidRPr="0031735D">
              <w:rPr>
                <w:rStyle w:val="Hyperlink"/>
                <w:noProof/>
              </w:rPr>
              <w:t>Introduction</w:t>
            </w:r>
            <w:r w:rsidR="00BF43D0">
              <w:rPr>
                <w:noProof/>
                <w:webHidden/>
              </w:rPr>
              <w:tab/>
            </w:r>
            <w:r w:rsidR="00BF43D0">
              <w:rPr>
                <w:noProof/>
                <w:webHidden/>
              </w:rPr>
              <w:fldChar w:fldCharType="begin"/>
            </w:r>
            <w:r w:rsidR="00BF43D0">
              <w:rPr>
                <w:noProof/>
                <w:webHidden/>
              </w:rPr>
              <w:instrText xml:space="preserve"> PAGEREF _Toc75466820 \h </w:instrText>
            </w:r>
            <w:r w:rsidR="00BF43D0">
              <w:rPr>
                <w:noProof/>
                <w:webHidden/>
              </w:rPr>
            </w:r>
            <w:r w:rsidR="00BF43D0">
              <w:rPr>
                <w:noProof/>
                <w:webHidden/>
              </w:rPr>
              <w:fldChar w:fldCharType="separate"/>
            </w:r>
            <w:r w:rsidR="00AD3CC8">
              <w:rPr>
                <w:noProof/>
                <w:webHidden/>
              </w:rPr>
              <w:t>2</w:t>
            </w:r>
            <w:r w:rsidR="00BF43D0">
              <w:rPr>
                <w:noProof/>
                <w:webHidden/>
              </w:rPr>
              <w:fldChar w:fldCharType="end"/>
            </w:r>
          </w:hyperlink>
        </w:p>
        <w:p w14:paraId="18764CB2" w14:textId="17908820" w:rsidR="00BF43D0" w:rsidRDefault="00D60E33" w:rsidP="00D060DE">
          <w:pPr>
            <w:pStyle w:val="TOC1"/>
            <w:rPr>
              <w:rFonts w:asciiTheme="minorHAnsi" w:eastAsiaTheme="minorEastAsia" w:hAnsiTheme="minorHAnsi" w:cstheme="minorBidi"/>
              <w:noProof/>
              <w:spacing w:val="0"/>
              <w:w w:val="100"/>
              <w:kern w:val="0"/>
              <w:sz w:val="22"/>
              <w:szCs w:val="22"/>
              <w:lang w:val="en-US" w:eastAsia="ja-JP"/>
            </w:rPr>
          </w:pPr>
          <w:hyperlink w:anchor="_Toc75466829" w:history="1">
            <w:r w:rsidR="00BF43D0" w:rsidRPr="0031735D">
              <w:rPr>
                <w:rStyle w:val="Hyperlink"/>
                <w:noProof/>
              </w:rPr>
              <w:t>II.</w:t>
            </w:r>
            <w:r w:rsidR="00BF43D0">
              <w:rPr>
                <w:rFonts w:asciiTheme="minorHAnsi" w:eastAsiaTheme="minorEastAsia" w:hAnsiTheme="minorHAnsi" w:cstheme="minorBidi"/>
                <w:noProof/>
                <w:spacing w:val="0"/>
                <w:w w:val="100"/>
                <w:kern w:val="0"/>
                <w:sz w:val="22"/>
                <w:szCs w:val="22"/>
                <w:lang w:val="en-US" w:eastAsia="ja-JP"/>
              </w:rPr>
              <w:tab/>
            </w:r>
            <w:r w:rsidR="00BF43D0" w:rsidRPr="0031735D">
              <w:rPr>
                <w:rStyle w:val="Hyperlink"/>
                <w:noProof/>
              </w:rPr>
              <w:t>Overview</w:t>
            </w:r>
            <w:r w:rsidR="00BF43D0">
              <w:rPr>
                <w:noProof/>
                <w:webHidden/>
              </w:rPr>
              <w:tab/>
            </w:r>
            <w:r w:rsidR="00BF43D0">
              <w:rPr>
                <w:noProof/>
                <w:webHidden/>
              </w:rPr>
              <w:fldChar w:fldCharType="begin"/>
            </w:r>
            <w:r w:rsidR="00BF43D0">
              <w:rPr>
                <w:noProof/>
                <w:webHidden/>
              </w:rPr>
              <w:instrText xml:space="preserve"> PAGEREF _Toc75466829 \h </w:instrText>
            </w:r>
            <w:r w:rsidR="00BF43D0">
              <w:rPr>
                <w:noProof/>
                <w:webHidden/>
              </w:rPr>
            </w:r>
            <w:r w:rsidR="00BF43D0">
              <w:rPr>
                <w:noProof/>
                <w:webHidden/>
              </w:rPr>
              <w:fldChar w:fldCharType="separate"/>
            </w:r>
            <w:r w:rsidR="00AD3CC8">
              <w:rPr>
                <w:noProof/>
                <w:webHidden/>
              </w:rPr>
              <w:t>2</w:t>
            </w:r>
            <w:r w:rsidR="00BF43D0">
              <w:rPr>
                <w:noProof/>
                <w:webHidden/>
              </w:rPr>
              <w:fldChar w:fldCharType="end"/>
            </w:r>
          </w:hyperlink>
        </w:p>
        <w:p w14:paraId="0D69049C" w14:textId="3FB028EC" w:rsidR="00BF43D0" w:rsidRDefault="00D60E33" w:rsidP="00D060DE">
          <w:pPr>
            <w:pStyle w:val="TOC1"/>
            <w:rPr>
              <w:rFonts w:asciiTheme="minorHAnsi" w:eastAsiaTheme="minorEastAsia" w:hAnsiTheme="minorHAnsi" w:cstheme="minorBidi"/>
              <w:noProof/>
              <w:spacing w:val="0"/>
              <w:w w:val="100"/>
              <w:kern w:val="0"/>
              <w:sz w:val="22"/>
              <w:szCs w:val="22"/>
              <w:lang w:val="en-US" w:eastAsia="ja-JP"/>
            </w:rPr>
          </w:pPr>
          <w:hyperlink w:anchor="_Toc75466830" w:history="1">
            <w:r w:rsidR="00BF43D0" w:rsidRPr="0031735D">
              <w:rPr>
                <w:rStyle w:val="Hyperlink"/>
                <w:noProof/>
              </w:rPr>
              <w:t>III.</w:t>
            </w:r>
            <w:r w:rsidR="00BF43D0">
              <w:rPr>
                <w:rFonts w:asciiTheme="minorHAnsi" w:eastAsiaTheme="minorEastAsia" w:hAnsiTheme="minorHAnsi" w:cstheme="minorBidi"/>
                <w:noProof/>
                <w:spacing w:val="0"/>
                <w:w w:val="100"/>
                <w:kern w:val="0"/>
                <w:sz w:val="22"/>
                <w:szCs w:val="22"/>
                <w:lang w:val="en-US" w:eastAsia="ja-JP"/>
              </w:rPr>
              <w:tab/>
            </w:r>
            <w:r w:rsidR="00BF43D0" w:rsidRPr="0031735D">
              <w:rPr>
                <w:rStyle w:val="Hyperlink"/>
                <w:noProof/>
              </w:rPr>
              <w:t>Financial highlights for 2020</w:t>
            </w:r>
            <w:r w:rsidR="00BF43D0">
              <w:rPr>
                <w:noProof/>
                <w:webHidden/>
              </w:rPr>
              <w:tab/>
            </w:r>
            <w:r w:rsidR="00BF43D0">
              <w:rPr>
                <w:noProof/>
                <w:webHidden/>
              </w:rPr>
              <w:fldChar w:fldCharType="begin"/>
            </w:r>
            <w:r w:rsidR="00BF43D0">
              <w:rPr>
                <w:noProof/>
                <w:webHidden/>
              </w:rPr>
              <w:instrText xml:space="preserve"> PAGEREF _Toc75466830 \h </w:instrText>
            </w:r>
            <w:r w:rsidR="00BF43D0">
              <w:rPr>
                <w:noProof/>
                <w:webHidden/>
              </w:rPr>
            </w:r>
            <w:r w:rsidR="00BF43D0">
              <w:rPr>
                <w:noProof/>
                <w:webHidden/>
              </w:rPr>
              <w:fldChar w:fldCharType="separate"/>
            </w:r>
            <w:r w:rsidR="00AD3CC8">
              <w:rPr>
                <w:noProof/>
                <w:webHidden/>
              </w:rPr>
              <w:t>5</w:t>
            </w:r>
            <w:r w:rsidR="00BF43D0">
              <w:rPr>
                <w:noProof/>
                <w:webHidden/>
              </w:rPr>
              <w:fldChar w:fldCharType="end"/>
            </w:r>
          </w:hyperlink>
        </w:p>
        <w:p w14:paraId="10E29424" w14:textId="43DBA25F" w:rsidR="00BF43D0" w:rsidRDefault="00D60E33">
          <w:pPr>
            <w:pStyle w:val="TOC2"/>
            <w:rPr>
              <w:rFonts w:asciiTheme="minorHAnsi" w:eastAsiaTheme="minorEastAsia" w:hAnsiTheme="minorHAnsi" w:cstheme="minorBidi"/>
              <w:noProof/>
              <w:spacing w:val="0"/>
              <w:w w:val="100"/>
              <w:kern w:val="0"/>
              <w:sz w:val="22"/>
              <w:szCs w:val="22"/>
              <w:lang w:val="en-US" w:eastAsia="ja-JP"/>
            </w:rPr>
          </w:pPr>
          <w:hyperlink w:anchor="_Toc75466831" w:history="1">
            <w:r w:rsidR="00BF43D0" w:rsidRPr="0031735D">
              <w:rPr>
                <w:rStyle w:val="Hyperlink"/>
                <w:noProof/>
              </w:rPr>
              <w:t>A.</w:t>
            </w:r>
            <w:r w:rsidR="00BF43D0">
              <w:rPr>
                <w:rFonts w:asciiTheme="minorHAnsi" w:eastAsiaTheme="minorEastAsia" w:hAnsiTheme="minorHAnsi" w:cstheme="minorBidi"/>
                <w:noProof/>
                <w:spacing w:val="0"/>
                <w:w w:val="100"/>
                <w:kern w:val="0"/>
                <w:sz w:val="22"/>
                <w:szCs w:val="22"/>
                <w:lang w:val="en-US" w:eastAsia="ja-JP"/>
              </w:rPr>
              <w:tab/>
            </w:r>
            <w:r w:rsidR="00BF43D0" w:rsidRPr="0031735D">
              <w:rPr>
                <w:rStyle w:val="Hyperlink"/>
                <w:noProof/>
              </w:rPr>
              <w:t>Summary of UNDP financial situation</w:t>
            </w:r>
            <w:r w:rsidR="00BF43D0">
              <w:rPr>
                <w:noProof/>
                <w:webHidden/>
              </w:rPr>
              <w:tab/>
            </w:r>
            <w:r w:rsidR="00BF43D0">
              <w:rPr>
                <w:noProof/>
                <w:webHidden/>
              </w:rPr>
              <w:fldChar w:fldCharType="begin"/>
            </w:r>
            <w:r w:rsidR="00BF43D0">
              <w:rPr>
                <w:noProof/>
                <w:webHidden/>
              </w:rPr>
              <w:instrText xml:space="preserve"> PAGEREF _Toc75466831 \h </w:instrText>
            </w:r>
            <w:r w:rsidR="00BF43D0">
              <w:rPr>
                <w:noProof/>
                <w:webHidden/>
              </w:rPr>
            </w:r>
            <w:r w:rsidR="00BF43D0">
              <w:rPr>
                <w:noProof/>
                <w:webHidden/>
              </w:rPr>
              <w:fldChar w:fldCharType="separate"/>
            </w:r>
            <w:r w:rsidR="00AD3CC8">
              <w:rPr>
                <w:noProof/>
                <w:webHidden/>
              </w:rPr>
              <w:t>5</w:t>
            </w:r>
            <w:r w:rsidR="00BF43D0">
              <w:rPr>
                <w:noProof/>
                <w:webHidden/>
              </w:rPr>
              <w:fldChar w:fldCharType="end"/>
            </w:r>
          </w:hyperlink>
        </w:p>
        <w:p w14:paraId="58A813F9" w14:textId="4BD64CDF" w:rsidR="00BF43D0" w:rsidRDefault="00D60E33" w:rsidP="00E22E7E">
          <w:pPr>
            <w:pStyle w:val="TOC2"/>
            <w:rPr>
              <w:rFonts w:asciiTheme="minorHAnsi" w:eastAsiaTheme="minorEastAsia" w:hAnsiTheme="minorHAnsi" w:cstheme="minorBidi"/>
              <w:noProof/>
              <w:spacing w:val="0"/>
              <w:w w:val="100"/>
              <w:kern w:val="0"/>
              <w:sz w:val="22"/>
              <w:szCs w:val="22"/>
              <w:lang w:val="en-US" w:eastAsia="ja-JP"/>
            </w:rPr>
          </w:pPr>
          <w:hyperlink w:anchor="_Toc75466832" w:history="1">
            <w:r w:rsidR="00BF43D0" w:rsidRPr="0031735D">
              <w:rPr>
                <w:rStyle w:val="Hyperlink"/>
                <w:noProof/>
              </w:rPr>
              <w:t>B.</w:t>
            </w:r>
            <w:r w:rsidR="00BF43D0">
              <w:rPr>
                <w:rFonts w:asciiTheme="minorHAnsi" w:eastAsiaTheme="minorEastAsia" w:hAnsiTheme="minorHAnsi" w:cstheme="minorBidi"/>
                <w:noProof/>
                <w:spacing w:val="0"/>
                <w:w w:val="100"/>
                <w:kern w:val="0"/>
                <w:sz w:val="22"/>
                <w:szCs w:val="22"/>
                <w:lang w:val="en-US" w:eastAsia="ja-JP"/>
              </w:rPr>
              <w:tab/>
            </w:r>
            <w:r w:rsidR="00BF43D0" w:rsidRPr="0031735D">
              <w:rPr>
                <w:rStyle w:val="Hyperlink"/>
                <w:noProof/>
              </w:rPr>
              <w:t>Revenue</w:t>
            </w:r>
            <w:r w:rsidR="00BF43D0">
              <w:rPr>
                <w:noProof/>
                <w:webHidden/>
              </w:rPr>
              <w:tab/>
            </w:r>
            <w:r w:rsidR="00BF43D0">
              <w:rPr>
                <w:noProof/>
                <w:webHidden/>
              </w:rPr>
              <w:fldChar w:fldCharType="begin"/>
            </w:r>
            <w:r w:rsidR="00BF43D0">
              <w:rPr>
                <w:noProof/>
                <w:webHidden/>
              </w:rPr>
              <w:instrText xml:space="preserve"> PAGEREF _Toc75466832 \h </w:instrText>
            </w:r>
            <w:r w:rsidR="00BF43D0">
              <w:rPr>
                <w:noProof/>
                <w:webHidden/>
              </w:rPr>
            </w:r>
            <w:r w:rsidR="00BF43D0">
              <w:rPr>
                <w:noProof/>
                <w:webHidden/>
              </w:rPr>
              <w:fldChar w:fldCharType="separate"/>
            </w:r>
            <w:r w:rsidR="00AD3CC8">
              <w:rPr>
                <w:noProof/>
                <w:webHidden/>
              </w:rPr>
              <w:t>5</w:t>
            </w:r>
            <w:r w:rsidR="00BF43D0">
              <w:rPr>
                <w:noProof/>
                <w:webHidden/>
              </w:rPr>
              <w:fldChar w:fldCharType="end"/>
            </w:r>
          </w:hyperlink>
        </w:p>
        <w:p w14:paraId="43132B4C" w14:textId="6F3B39CA" w:rsidR="00BF43D0" w:rsidRDefault="00D60E33">
          <w:pPr>
            <w:pStyle w:val="TOC2"/>
            <w:rPr>
              <w:rFonts w:asciiTheme="minorHAnsi" w:eastAsiaTheme="minorEastAsia" w:hAnsiTheme="minorHAnsi" w:cstheme="minorBidi"/>
              <w:noProof/>
              <w:spacing w:val="0"/>
              <w:w w:val="100"/>
              <w:kern w:val="0"/>
              <w:sz w:val="22"/>
              <w:szCs w:val="22"/>
              <w:lang w:val="en-US" w:eastAsia="ja-JP"/>
            </w:rPr>
          </w:pPr>
          <w:hyperlink w:anchor="_Toc75466840" w:history="1">
            <w:r w:rsidR="00BF43D0" w:rsidRPr="0031735D">
              <w:rPr>
                <w:rStyle w:val="Hyperlink"/>
                <w:noProof/>
              </w:rPr>
              <w:t>C.</w:t>
            </w:r>
            <w:r w:rsidR="00BF43D0">
              <w:rPr>
                <w:rFonts w:asciiTheme="minorHAnsi" w:eastAsiaTheme="minorEastAsia" w:hAnsiTheme="minorHAnsi" w:cstheme="minorBidi"/>
                <w:noProof/>
                <w:spacing w:val="0"/>
                <w:w w:val="100"/>
                <w:kern w:val="0"/>
                <w:sz w:val="22"/>
                <w:szCs w:val="22"/>
                <w:lang w:val="en-US" w:eastAsia="ja-JP"/>
              </w:rPr>
              <w:tab/>
            </w:r>
            <w:r w:rsidR="00BF43D0" w:rsidRPr="0031735D">
              <w:rPr>
                <w:rStyle w:val="Hyperlink"/>
                <w:noProof/>
              </w:rPr>
              <w:t>Expenses</w:t>
            </w:r>
            <w:r w:rsidR="00BF43D0">
              <w:rPr>
                <w:noProof/>
                <w:webHidden/>
              </w:rPr>
              <w:tab/>
            </w:r>
            <w:r w:rsidR="00BF43D0">
              <w:rPr>
                <w:noProof/>
                <w:webHidden/>
              </w:rPr>
              <w:fldChar w:fldCharType="begin"/>
            </w:r>
            <w:r w:rsidR="00BF43D0">
              <w:rPr>
                <w:noProof/>
                <w:webHidden/>
              </w:rPr>
              <w:instrText xml:space="preserve"> PAGEREF _Toc75466840 \h </w:instrText>
            </w:r>
            <w:r w:rsidR="00BF43D0">
              <w:rPr>
                <w:noProof/>
                <w:webHidden/>
              </w:rPr>
            </w:r>
            <w:r w:rsidR="00BF43D0">
              <w:rPr>
                <w:noProof/>
                <w:webHidden/>
              </w:rPr>
              <w:fldChar w:fldCharType="separate"/>
            </w:r>
            <w:r w:rsidR="00AD3CC8">
              <w:rPr>
                <w:noProof/>
                <w:webHidden/>
              </w:rPr>
              <w:t>10</w:t>
            </w:r>
            <w:r w:rsidR="00BF43D0">
              <w:rPr>
                <w:noProof/>
                <w:webHidden/>
              </w:rPr>
              <w:fldChar w:fldCharType="end"/>
            </w:r>
          </w:hyperlink>
        </w:p>
        <w:p w14:paraId="4DE3F310" w14:textId="393BC3C6" w:rsidR="00BF43D0" w:rsidRDefault="00D60E33" w:rsidP="00D060DE">
          <w:pPr>
            <w:pStyle w:val="TOC1"/>
            <w:rPr>
              <w:rFonts w:asciiTheme="minorHAnsi" w:eastAsiaTheme="minorEastAsia" w:hAnsiTheme="minorHAnsi" w:cstheme="minorBidi"/>
              <w:noProof/>
              <w:spacing w:val="0"/>
              <w:w w:val="100"/>
              <w:kern w:val="0"/>
              <w:sz w:val="22"/>
              <w:szCs w:val="22"/>
              <w:lang w:val="en-US" w:eastAsia="ja-JP"/>
            </w:rPr>
          </w:pPr>
          <w:hyperlink w:anchor="_Toc75466849" w:history="1">
            <w:r w:rsidR="00BF43D0" w:rsidRPr="0031735D">
              <w:rPr>
                <w:rStyle w:val="Hyperlink"/>
                <w:noProof/>
              </w:rPr>
              <w:t>IV.</w:t>
            </w:r>
            <w:r w:rsidR="00BF43D0">
              <w:rPr>
                <w:rFonts w:asciiTheme="minorHAnsi" w:eastAsiaTheme="minorEastAsia" w:hAnsiTheme="minorHAnsi" w:cstheme="minorBidi"/>
                <w:noProof/>
                <w:spacing w:val="0"/>
                <w:w w:val="100"/>
                <w:kern w:val="0"/>
                <w:sz w:val="22"/>
                <w:szCs w:val="22"/>
                <w:lang w:val="en-US" w:eastAsia="ja-JP"/>
              </w:rPr>
              <w:tab/>
            </w:r>
            <w:r w:rsidR="00BF43D0" w:rsidRPr="0031735D">
              <w:rPr>
                <w:rStyle w:val="Hyperlink"/>
                <w:noProof/>
              </w:rPr>
              <w:t>Financial position</w:t>
            </w:r>
            <w:r w:rsidR="00BF43D0">
              <w:rPr>
                <w:noProof/>
                <w:webHidden/>
              </w:rPr>
              <w:tab/>
            </w:r>
            <w:r w:rsidR="00BF43D0">
              <w:rPr>
                <w:noProof/>
                <w:webHidden/>
              </w:rPr>
              <w:fldChar w:fldCharType="begin"/>
            </w:r>
            <w:r w:rsidR="00BF43D0">
              <w:rPr>
                <w:noProof/>
                <w:webHidden/>
              </w:rPr>
              <w:instrText xml:space="preserve"> PAGEREF _Toc75466849 \h </w:instrText>
            </w:r>
            <w:r w:rsidR="00BF43D0">
              <w:rPr>
                <w:noProof/>
                <w:webHidden/>
              </w:rPr>
            </w:r>
            <w:r w:rsidR="00BF43D0">
              <w:rPr>
                <w:noProof/>
                <w:webHidden/>
              </w:rPr>
              <w:fldChar w:fldCharType="separate"/>
            </w:r>
            <w:r w:rsidR="00AD3CC8">
              <w:rPr>
                <w:noProof/>
                <w:webHidden/>
              </w:rPr>
              <w:t>16</w:t>
            </w:r>
            <w:r w:rsidR="00BF43D0">
              <w:rPr>
                <w:noProof/>
                <w:webHidden/>
              </w:rPr>
              <w:fldChar w:fldCharType="end"/>
            </w:r>
          </w:hyperlink>
        </w:p>
        <w:p w14:paraId="3CF09B08" w14:textId="3DF448FA" w:rsidR="00BF43D0" w:rsidRDefault="00D60E33">
          <w:pPr>
            <w:pStyle w:val="TOC2"/>
            <w:rPr>
              <w:rFonts w:asciiTheme="minorHAnsi" w:eastAsiaTheme="minorEastAsia" w:hAnsiTheme="minorHAnsi" w:cstheme="minorBidi"/>
              <w:noProof/>
              <w:spacing w:val="0"/>
              <w:w w:val="100"/>
              <w:kern w:val="0"/>
              <w:sz w:val="22"/>
              <w:szCs w:val="22"/>
              <w:lang w:val="en-US" w:eastAsia="ja-JP"/>
            </w:rPr>
          </w:pPr>
          <w:hyperlink w:anchor="_Toc75466850" w:history="1">
            <w:r w:rsidR="00BF43D0" w:rsidRPr="0031735D">
              <w:rPr>
                <w:rStyle w:val="Hyperlink"/>
                <w:noProof/>
              </w:rPr>
              <w:t>A.</w:t>
            </w:r>
            <w:r w:rsidR="00BF43D0">
              <w:rPr>
                <w:rFonts w:asciiTheme="minorHAnsi" w:eastAsiaTheme="minorEastAsia" w:hAnsiTheme="minorHAnsi" w:cstheme="minorBidi"/>
                <w:noProof/>
                <w:spacing w:val="0"/>
                <w:w w:val="100"/>
                <w:kern w:val="0"/>
                <w:sz w:val="22"/>
                <w:szCs w:val="22"/>
                <w:lang w:val="en-US" w:eastAsia="ja-JP"/>
              </w:rPr>
              <w:tab/>
            </w:r>
            <w:r w:rsidR="00BF43D0" w:rsidRPr="0031735D">
              <w:rPr>
                <w:rStyle w:val="Hyperlink"/>
                <w:noProof/>
              </w:rPr>
              <w:t>Assets</w:t>
            </w:r>
            <w:r w:rsidR="00BF43D0">
              <w:rPr>
                <w:noProof/>
                <w:webHidden/>
              </w:rPr>
              <w:tab/>
            </w:r>
            <w:r w:rsidR="00BF43D0">
              <w:rPr>
                <w:noProof/>
                <w:webHidden/>
              </w:rPr>
              <w:fldChar w:fldCharType="begin"/>
            </w:r>
            <w:r w:rsidR="00BF43D0">
              <w:rPr>
                <w:noProof/>
                <w:webHidden/>
              </w:rPr>
              <w:instrText xml:space="preserve"> PAGEREF _Toc75466850 \h </w:instrText>
            </w:r>
            <w:r w:rsidR="00BF43D0">
              <w:rPr>
                <w:noProof/>
                <w:webHidden/>
              </w:rPr>
            </w:r>
            <w:r w:rsidR="00BF43D0">
              <w:rPr>
                <w:noProof/>
                <w:webHidden/>
              </w:rPr>
              <w:fldChar w:fldCharType="separate"/>
            </w:r>
            <w:r w:rsidR="00AD3CC8">
              <w:rPr>
                <w:noProof/>
                <w:webHidden/>
              </w:rPr>
              <w:t>16</w:t>
            </w:r>
            <w:r w:rsidR="00BF43D0">
              <w:rPr>
                <w:noProof/>
                <w:webHidden/>
              </w:rPr>
              <w:fldChar w:fldCharType="end"/>
            </w:r>
          </w:hyperlink>
        </w:p>
        <w:p w14:paraId="40CC8C17" w14:textId="1B468FB6" w:rsidR="00BF43D0" w:rsidRDefault="00D60E33">
          <w:pPr>
            <w:pStyle w:val="TOC2"/>
            <w:rPr>
              <w:rFonts w:asciiTheme="minorHAnsi" w:eastAsiaTheme="minorEastAsia" w:hAnsiTheme="minorHAnsi" w:cstheme="minorBidi"/>
              <w:noProof/>
              <w:spacing w:val="0"/>
              <w:w w:val="100"/>
              <w:kern w:val="0"/>
              <w:sz w:val="22"/>
              <w:szCs w:val="22"/>
              <w:lang w:val="en-US" w:eastAsia="ja-JP"/>
            </w:rPr>
          </w:pPr>
          <w:hyperlink w:anchor="_Toc75466853" w:history="1">
            <w:r w:rsidR="00BF43D0" w:rsidRPr="0031735D">
              <w:rPr>
                <w:rStyle w:val="Hyperlink"/>
                <w:noProof/>
              </w:rPr>
              <w:t>B.</w:t>
            </w:r>
            <w:r w:rsidR="00BF43D0">
              <w:rPr>
                <w:rFonts w:asciiTheme="minorHAnsi" w:eastAsiaTheme="minorEastAsia" w:hAnsiTheme="minorHAnsi" w:cstheme="minorBidi"/>
                <w:noProof/>
                <w:spacing w:val="0"/>
                <w:w w:val="100"/>
                <w:kern w:val="0"/>
                <w:sz w:val="22"/>
                <w:szCs w:val="22"/>
                <w:lang w:val="en-US" w:eastAsia="ja-JP"/>
              </w:rPr>
              <w:tab/>
            </w:r>
            <w:r w:rsidR="00BF43D0" w:rsidRPr="0031735D">
              <w:rPr>
                <w:rStyle w:val="Hyperlink"/>
                <w:noProof/>
              </w:rPr>
              <w:t>Liabilities</w:t>
            </w:r>
            <w:r w:rsidR="00BF43D0">
              <w:rPr>
                <w:noProof/>
                <w:webHidden/>
              </w:rPr>
              <w:tab/>
            </w:r>
            <w:r w:rsidR="00BF43D0">
              <w:rPr>
                <w:noProof/>
                <w:webHidden/>
              </w:rPr>
              <w:fldChar w:fldCharType="begin"/>
            </w:r>
            <w:r w:rsidR="00BF43D0">
              <w:rPr>
                <w:noProof/>
                <w:webHidden/>
              </w:rPr>
              <w:instrText xml:space="preserve"> PAGEREF _Toc75466853 \h </w:instrText>
            </w:r>
            <w:r w:rsidR="00BF43D0">
              <w:rPr>
                <w:noProof/>
                <w:webHidden/>
              </w:rPr>
            </w:r>
            <w:r w:rsidR="00BF43D0">
              <w:rPr>
                <w:noProof/>
                <w:webHidden/>
              </w:rPr>
              <w:fldChar w:fldCharType="separate"/>
            </w:r>
            <w:r w:rsidR="00AD3CC8">
              <w:rPr>
                <w:noProof/>
                <w:webHidden/>
              </w:rPr>
              <w:t>17</w:t>
            </w:r>
            <w:r w:rsidR="00BF43D0">
              <w:rPr>
                <w:noProof/>
                <w:webHidden/>
              </w:rPr>
              <w:fldChar w:fldCharType="end"/>
            </w:r>
          </w:hyperlink>
        </w:p>
        <w:p w14:paraId="02272247" w14:textId="11C0F0E3" w:rsidR="00BF43D0" w:rsidRDefault="00D60E33">
          <w:pPr>
            <w:pStyle w:val="TOC2"/>
            <w:rPr>
              <w:rFonts w:asciiTheme="minorHAnsi" w:eastAsiaTheme="minorEastAsia" w:hAnsiTheme="minorHAnsi" w:cstheme="minorBidi"/>
              <w:noProof/>
              <w:spacing w:val="0"/>
              <w:w w:val="100"/>
              <w:kern w:val="0"/>
              <w:sz w:val="22"/>
              <w:szCs w:val="22"/>
              <w:lang w:val="en-US" w:eastAsia="ja-JP"/>
            </w:rPr>
          </w:pPr>
          <w:hyperlink w:anchor="_Toc75466854" w:history="1">
            <w:r w:rsidR="00BF43D0" w:rsidRPr="0031735D">
              <w:rPr>
                <w:rStyle w:val="Hyperlink"/>
                <w:noProof/>
              </w:rPr>
              <w:t>C.</w:t>
            </w:r>
            <w:r w:rsidR="00BF43D0">
              <w:rPr>
                <w:rFonts w:asciiTheme="minorHAnsi" w:eastAsiaTheme="minorEastAsia" w:hAnsiTheme="minorHAnsi" w:cstheme="minorBidi"/>
                <w:noProof/>
                <w:spacing w:val="0"/>
                <w:w w:val="100"/>
                <w:kern w:val="0"/>
                <w:sz w:val="22"/>
                <w:szCs w:val="22"/>
                <w:lang w:val="en-US" w:eastAsia="ja-JP"/>
              </w:rPr>
              <w:tab/>
            </w:r>
            <w:r w:rsidR="00BF43D0" w:rsidRPr="0031735D">
              <w:rPr>
                <w:rStyle w:val="Hyperlink"/>
                <w:noProof/>
              </w:rPr>
              <w:t>Accumulated Surplus</w:t>
            </w:r>
            <w:r w:rsidR="00BF43D0">
              <w:rPr>
                <w:noProof/>
                <w:webHidden/>
              </w:rPr>
              <w:tab/>
            </w:r>
            <w:r w:rsidR="00BF43D0">
              <w:rPr>
                <w:noProof/>
                <w:webHidden/>
              </w:rPr>
              <w:fldChar w:fldCharType="begin"/>
            </w:r>
            <w:r w:rsidR="00BF43D0">
              <w:rPr>
                <w:noProof/>
                <w:webHidden/>
              </w:rPr>
              <w:instrText xml:space="preserve"> PAGEREF _Toc75466854 \h </w:instrText>
            </w:r>
            <w:r w:rsidR="00BF43D0">
              <w:rPr>
                <w:noProof/>
                <w:webHidden/>
              </w:rPr>
            </w:r>
            <w:r w:rsidR="00BF43D0">
              <w:rPr>
                <w:noProof/>
                <w:webHidden/>
              </w:rPr>
              <w:fldChar w:fldCharType="separate"/>
            </w:r>
            <w:r w:rsidR="00AD3CC8">
              <w:rPr>
                <w:noProof/>
                <w:webHidden/>
              </w:rPr>
              <w:t>18</w:t>
            </w:r>
            <w:r w:rsidR="00BF43D0">
              <w:rPr>
                <w:noProof/>
                <w:webHidden/>
              </w:rPr>
              <w:fldChar w:fldCharType="end"/>
            </w:r>
          </w:hyperlink>
        </w:p>
        <w:p w14:paraId="325AC20E" w14:textId="16EAF456" w:rsidR="00BF43D0" w:rsidRDefault="00D60E33" w:rsidP="00D060DE">
          <w:pPr>
            <w:pStyle w:val="TOC1"/>
            <w:rPr>
              <w:rFonts w:asciiTheme="minorHAnsi" w:eastAsiaTheme="minorEastAsia" w:hAnsiTheme="minorHAnsi" w:cstheme="minorBidi"/>
              <w:noProof/>
              <w:spacing w:val="0"/>
              <w:w w:val="100"/>
              <w:kern w:val="0"/>
              <w:sz w:val="22"/>
              <w:szCs w:val="22"/>
              <w:lang w:val="en-US" w:eastAsia="ja-JP"/>
            </w:rPr>
          </w:pPr>
          <w:hyperlink w:anchor="_Toc75466855" w:history="1">
            <w:r w:rsidR="00BF43D0" w:rsidRPr="0031735D">
              <w:rPr>
                <w:rStyle w:val="Hyperlink"/>
                <w:noProof/>
              </w:rPr>
              <w:t>V.</w:t>
            </w:r>
            <w:r w:rsidR="00BF43D0">
              <w:rPr>
                <w:rFonts w:asciiTheme="minorHAnsi" w:eastAsiaTheme="minorEastAsia" w:hAnsiTheme="minorHAnsi" w:cstheme="minorBidi"/>
                <w:noProof/>
                <w:spacing w:val="0"/>
                <w:w w:val="100"/>
                <w:kern w:val="0"/>
                <w:sz w:val="22"/>
                <w:szCs w:val="22"/>
                <w:lang w:val="en-US" w:eastAsia="ja-JP"/>
              </w:rPr>
              <w:tab/>
            </w:r>
            <w:r w:rsidR="00BF43D0" w:rsidRPr="0031735D">
              <w:rPr>
                <w:rStyle w:val="Hyperlink"/>
                <w:noProof/>
              </w:rPr>
              <w:t>Others</w:t>
            </w:r>
            <w:r w:rsidR="00BF43D0">
              <w:rPr>
                <w:noProof/>
                <w:webHidden/>
              </w:rPr>
              <w:tab/>
            </w:r>
            <w:r w:rsidR="00BF43D0">
              <w:rPr>
                <w:noProof/>
                <w:webHidden/>
              </w:rPr>
              <w:fldChar w:fldCharType="begin"/>
            </w:r>
            <w:r w:rsidR="00BF43D0">
              <w:rPr>
                <w:noProof/>
                <w:webHidden/>
              </w:rPr>
              <w:instrText xml:space="preserve"> PAGEREF _Toc75466855 \h </w:instrText>
            </w:r>
            <w:r w:rsidR="00BF43D0">
              <w:rPr>
                <w:noProof/>
                <w:webHidden/>
              </w:rPr>
            </w:r>
            <w:r w:rsidR="00BF43D0">
              <w:rPr>
                <w:noProof/>
                <w:webHidden/>
              </w:rPr>
              <w:fldChar w:fldCharType="separate"/>
            </w:r>
            <w:r w:rsidR="00AD3CC8">
              <w:rPr>
                <w:noProof/>
                <w:webHidden/>
              </w:rPr>
              <w:t>21</w:t>
            </w:r>
            <w:r w:rsidR="00BF43D0">
              <w:rPr>
                <w:noProof/>
                <w:webHidden/>
              </w:rPr>
              <w:fldChar w:fldCharType="end"/>
            </w:r>
          </w:hyperlink>
        </w:p>
        <w:p w14:paraId="07FF3A32" w14:textId="50B33979" w:rsidR="00BF43D0" w:rsidRDefault="00D60E33" w:rsidP="00D060DE">
          <w:pPr>
            <w:pStyle w:val="TOC1"/>
            <w:rPr>
              <w:rFonts w:asciiTheme="minorHAnsi" w:eastAsiaTheme="minorEastAsia" w:hAnsiTheme="minorHAnsi" w:cstheme="minorBidi"/>
              <w:noProof/>
              <w:spacing w:val="0"/>
              <w:w w:val="100"/>
              <w:kern w:val="0"/>
              <w:sz w:val="22"/>
              <w:szCs w:val="22"/>
              <w:lang w:val="en-US" w:eastAsia="ja-JP"/>
            </w:rPr>
          </w:pPr>
          <w:hyperlink w:anchor="_Toc75466859" w:history="1">
            <w:r w:rsidR="00BF43D0" w:rsidRPr="0031735D">
              <w:rPr>
                <w:rStyle w:val="Hyperlink"/>
                <w:noProof/>
              </w:rPr>
              <w:t>VI.</w:t>
            </w:r>
            <w:r w:rsidR="00BF43D0">
              <w:rPr>
                <w:rFonts w:asciiTheme="minorHAnsi" w:eastAsiaTheme="minorEastAsia" w:hAnsiTheme="minorHAnsi" w:cstheme="minorBidi"/>
                <w:noProof/>
                <w:spacing w:val="0"/>
                <w:w w:val="100"/>
                <w:kern w:val="0"/>
                <w:sz w:val="22"/>
                <w:szCs w:val="22"/>
                <w:lang w:val="en-US" w:eastAsia="ja-JP"/>
              </w:rPr>
              <w:tab/>
            </w:r>
            <w:r w:rsidR="00BF43D0" w:rsidRPr="0031735D">
              <w:rPr>
                <w:rStyle w:val="Hyperlink"/>
                <w:noProof/>
              </w:rPr>
              <w:t>United Nations reform and support to United Nations organizations</w:t>
            </w:r>
            <w:r w:rsidR="00BF43D0">
              <w:rPr>
                <w:noProof/>
                <w:webHidden/>
              </w:rPr>
              <w:tab/>
            </w:r>
            <w:r w:rsidR="00BF43D0">
              <w:rPr>
                <w:noProof/>
                <w:webHidden/>
              </w:rPr>
              <w:fldChar w:fldCharType="begin"/>
            </w:r>
            <w:r w:rsidR="00BF43D0">
              <w:rPr>
                <w:noProof/>
                <w:webHidden/>
              </w:rPr>
              <w:instrText xml:space="preserve"> PAGEREF _Toc75466859 \h </w:instrText>
            </w:r>
            <w:r w:rsidR="00BF43D0">
              <w:rPr>
                <w:noProof/>
                <w:webHidden/>
              </w:rPr>
            </w:r>
            <w:r w:rsidR="00BF43D0">
              <w:rPr>
                <w:noProof/>
                <w:webHidden/>
              </w:rPr>
              <w:fldChar w:fldCharType="separate"/>
            </w:r>
            <w:r w:rsidR="00AD3CC8">
              <w:rPr>
                <w:noProof/>
                <w:webHidden/>
              </w:rPr>
              <w:t>22</w:t>
            </w:r>
            <w:r w:rsidR="00BF43D0">
              <w:rPr>
                <w:noProof/>
                <w:webHidden/>
              </w:rPr>
              <w:fldChar w:fldCharType="end"/>
            </w:r>
          </w:hyperlink>
        </w:p>
        <w:p w14:paraId="6568570B" w14:textId="5EE1B6A3" w:rsidR="00BF43D0" w:rsidRDefault="00D60E33">
          <w:pPr>
            <w:pStyle w:val="TOC2"/>
            <w:rPr>
              <w:rFonts w:asciiTheme="minorHAnsi" w:eastAsiaTheme="minorEastAsia" w:hAnsiTheme="minorHAnsi" w:cstheme="minorBidi"/>
              <w:noProof/>
              <w:spacing w:val="0"/>
              <w:w w:val="100"/>
              <w:kern w:val="0"/>
              <w:sz w:val="22"/>
              <w:szCs w:val="22"/>
              <w:lang w:val="en-US" w:eastAsia="ja-JP"/>
            </w:rPr>
          </w:pPr>
          <w:hyperlink w:anchor="_Toc75466860" w:history="1">
            <w:r w:rsidR="00BF43D0" w:rsidRPr="0031735D">
              <w:rPr>
                <w:rStyle w:val="Hyperlink"/>
                <w:noProof/>
              </w:rPr>
              <w:t>A.</w:t>
            </w:r>
            <w:r w:rsidR="00BF43D0">
              <w:rPr>
                <w:rFonts w:asciiTheme="minorHAnsi" w:eastAsiaTheme="minorEastAsia" w:hAnsiTheme="minorHAnsi" w:cstheme="minorBidi"/>
                <w:noProof/>
                <w:spacing w:val="0"/>
                <w:w w:val="100"/>
                <w:kern w:val="0"/>
                <w:sz w:val="22"/>
                <w:szCs w:val="22"/>
                <w:lang w:val="en-US" w:eastAsia="ja-JP"/>
              </w:rPr>
              <w:tab/>
            </w:r>
            <w:r w:rsidR="00BF43D0" w:rsidRPr="0031735D">
              <w:rPr>
                <w:rStyle w:val="Hyperlink"/>
                <w:noProof/>
              </w:rPr>
              <w:t>UNDP administrative agent function</w:t>
            </w:r>
            <w:r w:rsidR="00BF43D0">
              <w:rPr>
                <w:noProof/>
                <w:webHidden/>
              </w:rPr>
              <w:tab/>
            </w:r>
            <w:r w:rsidR="00BF43D0">
              <w:rPr>
                <w:noProof/>
                <w:webHidden/>
              </w:rPr>
              <w:fldChar w:fldCharType="begin"/>
            </w:r>
            <w:r w:rsidR="00BF43D0">
              <w:rPr>
                <w:noProof/>
                <w:webHidden/>
              </w:rPr>
              <w:instrText xml:space="preserve"> PAGEREF _Toc75466860 \h </w:instrText>
            </w:r>
            <w:r w:rsidR="00BF43D0">
              <w:rPr>
                <w:noProof/>
                <w:webHidden/>
              </w:rPr>
            </w:r>
            <w:r w:rsidR="00BF43D0">
              <w:rPr>
                <w:noProof/>
                <w:webHidden/>
              </w:rPr>
              <w:fldChar w:fldCharType="separate"/>
            </w:r>
            <w:r w:rsidR="00AD3CC8">
              <w:rPr>
                <w:noProof/>
                <w:webHidden/>
              </w:rPr>
              <w:t>22</w:t>
            </w:r>
            <w:r w:rsidR="00BF43D0">
              <w:rPr>
                <w:noProof/>
                <w:webHidden/>
              </w:rPr>
              <w:fldChar w:fldCharType="end"/>
            </w:r>
          </w:hyperlink>
        </w:p>
        <w:p w14:paraId="6EE03AC1" w14:textId="747279B5" w:rsidR="00BF43D0" w:rsidRDefault="00D60E33">
          <w:pPr>
            <w:pStyle w:val="TOC2"/>
            <w:rPr>
              <w:rFonts w:asciiTheme="minorHAnsi" w:eastAsiaTheme="minorEastAsia" w:hAnsiTheme="minorHAnsi" w:cstheme="minorBidi"/>
              <w:noProof/>
              <w:spacing w:val="0"/>
              <w:w w:val="100"/>
              <w:kern w:val="0"/>
              <w:sz w:val="22"/>
              <w:szCs w:val="22"/>
              <w:lang w:val="en-US" w:eastAsia="ja-JP"/>
            </w:rPr>
          </w:pPr>
          <w:hyperlink w:anchor="_Toc75466861" w:history="1">
            <w:r w:rsidR="00BF43D0" w:rsidRPr="0031735D">
              <w:rPr>
                <w:rStyle w:val="Hyperlink"/>
                <w:noProof/>
              </w:rPr>
              <w:t>B.</w:t>
            </w:r>
            <w:r w:rsidR="00BF43D0">
              <w:rPr>
                <w:rFonts w:asciiTheme="minorHAnsi" w:eastAsiaTheme="minorEastAsia" w:hAnsiTheme="minorHAnsi" w:cstheme="minorBidi"/>
                <w:noProof/>
                <w:spacing w:val="0"/>
                <w:w w:val="100"/>
                <w:kern w:val="0"/>
                <w:sz w:val="22"/>
                <w:szCs w:val="22"/>
                <w:lang w:val="en-US" w:eastAsia="ja-JP"/>
              </w:rPr>
              <w:tab/>
            </w:r>
            <w:r w:rsidR="00BF43D0" w:rsidRPr="0031735D">
              <w:rPr>
                <w:rStyle w:val="Hyperlink"/>
                <w:noProof/>
              </w:rPr>
              <w:t>Support to United Nations organizations</w:t>
            </w:r>
            <w:r w:rsidR="00BF43D0">
              <w:rPr>
                <w:noProof/>
                <w:webHidden/>
              </w:rPr>
              <w:tab/>
            </w:r>
            <w:r w:rsidR="00BF43D0">
              <w:rPr>
                <w:noProof/>
                <w:webHidden/>
              </w:rPr>
              <w:fldChar w:fldCharType="begin"/>
            </w:r>
            <w:r w:rsidR="00BF43D0">
              <w:rPr>
                <w:noProof/>
                <w:webHidden/>
              </w:rPr>
              <w:instrText xml:space="preserve"> PAGEREF _Toc75466861 \h </w:instrText>
            </w:r>
            <w:r w:rsidR="00BF43D0">
              <w:rPr>
                <w:noProof/>
                <w:webHidden/>
              </w:rPr>
            </w:r>
            <w:r w:rsidR="00BF43D0">
              <w:rPr>
                <w:noProof/>
                <w:webHidden/>
              </w:rPr>
              <w:fldChar w:fldCharType="separate"/>
            </w:r>
            <w:r w:rsidR="00AD3CC8">
              <w:rPr>
                <w:noProof/>
                <w:webHidden/>
              </w:rPr>
              <w:t>22</w:t>
            </w:r>
            <w:r w:rsidR="00BF43D0">
              <w:rPr>
                <w:noProof/>
                <w:webHidden/>
              </w:rPr>
              <w:fldChar w:fldCharType="end"/>
            </w:r>
          </w:hyperlink>
        </w:p>
        <w:p w14:paraId="2B3ADE53" w14:textId="0262492A" w:rsidR="00BF43D0" w:rsidRDefault="00D60E33">
          <w:pPr>
            <w:pStyle w:val="TOC2"/>
            <w:rPr>
              <w:rFonts w:asciiTheme="minorHAnsi" w:eastAsiaTheme="minorEastAsia" w:hAnsiTheme="minorHAnsi" w:cstheme="minorBidi"/>
              <w:noProof/>
              <w:spacing w:val="0"/>
              <w:w w:val="100"/>
              <w:kern w:val="0"/>
              <w:sz w:val="22"/>
              <w:szCs w:val="22"/>
              <w:lang w:val="en-US" w:eastAsia="ja-JP"/>
            </w:rPr>
          </w:pPr>
          <w:hyperlink w:anchor="_Toc75466862" w:history="1">
            <w:r w:rsidR="00BF43D0" w:rsidRPr="0031735D">
              <w:rPr>
                <w:rStyle w:val="Hyperlink"/>
                <w:noProof/>
              </w:rPr>
              <w:t>C.</w:t>
            </w:r>
            <w:r w:rsidR="00BF43D0">
              <w:rPr>
                <w:rFonts w:asciiTheme="minorHAnsi" w:eastAsiaTheme="minorEastAsia" w:hAnsiTheme="minorHAnsi" w:cstheme="minorBidi"/>
                <w:noProof/>
                <w:spacing w:val="0"/>
                <w:w w:val="100"/>
                <w:kern w:val="0"/>
                <w:sz w:val="22"/>
                <w:szCs w:val="22"/>
                <w:lang w:val="en-US" w:eastAsia="ja-JP"/>
              </w:rPr>
              <w:tab/>
            </w:r>
            <w:r w:rsidR="00BF43D0" w:rsidRPr="0031735D">
              <w:rPr>
                <w:rStyle w:val="Hyperlink"/>
                <w:noProof/>
              </w:rPr>
              <w:t>United Nations development coordination activities</w:t>
            </w:r>
            <w:r w:rsidR="00BF43D0">
              <w:rPr>
                <w:noProof/>
                <w:webHidden/>
              </w:rPr>
              <w:tab/>
            </w:r>
            <w:r w:rsidR="00BF43D0">
              <w:rPr>
                <w:noProof/>
                <w:webHidden/>
              </w:rPr>
              <w:fldChar w:fldCharType="begin"/>
            </w:r>
            <w:r w:rsidR="00BF43D0">
              <w:rPr>
                <w:noProof/>
                <w:webHidden/>
              </w:rPr>
              <w:instrText xml:space="preserve"> PAGEREF _Toc75466862 \h </w:instrText>
            </w:r>
            <w:r w:rsidR="00BF43D0">
              <w:rPr>
                <w:noProof/>
                <w:webHidden/>
              </w:rPr>
            </w:r>
            <w:r w:rsidR="00BF43D0">
              <w:rPr>
                <w:noProof/>
                <w:webHidden/>
              </w:rPr>
              <w:fldChar w:fldCharType="separate"/>
            </w:r>
            <w:r w:rsidR="00AD3CC8">
              <w:rPr>
                <w:noProof/>
                <w:webHidden/>
              </w:rPr>
              <w:t>22</w:t>
            </w:r>
            <w:r w:rsidR="00BF43D0">
              <w:rPr>
                <w:noProof/>
                <w:webHidden/>
              </w:rPr>
              <w:fldChar w:fldCharType="end"/>
            </w:r>
          </w:hyperlink>
        </w:p>
        <w:p w14:paraId="0C6FD253" w14:textId="5A2BFCC3" w:rsidR="00BF43D0" w:rsidRDefault="00D60E33">
          <w:pPr>
            <w:pStyle w:val="TOC2"/>
            <w:rPr>
              <w:rFonts w:asciiTheme="minorHAnsi" w:eastAsiaTheme="minorEastAsia" w:hAnsiTheme="minorHAnsi" w:cstheme="minorBidi"/>
              <w:noProof/>
              <w:spacing w:val="0"/>
              <w:w w:val="100"/>
              <w:kern w:val="0"/>
              <w:sz w:val="22"/>
              <w:szCs w:val="22"/>
              <w:lang w:val="en-US" w:eastAsia="ja-JP"/>
            </w:rPr>
          </w:pPr>
          <w:hyperlink w:anchor="_Toc75466864" w:history="1">
            <w:r w:rsidR="00BF43D0" w:rsidRPr="0031735D">
              <w:rPr>
                <w:rStyle w:val="Hyperlink"/>
                <w:noProof/>
              </w:rPr>
              <w:t>D.</w:t>
            </w:r>
            <w:r w:rsidR="00BF43D0">
              <w:rPr>
                <w:rFonts w:asciiTheme="minorHAnsi" w:eastAsiaTheme="minorEastAsia" w:hAnsiTheme="minorHAnsi" w:cstheme="minorBidi"/>
                <w:noProof/>
                <w:spacing w:val="0"/>
                <w:w w:val="100"/>
                <w:kern w:val="0"/>
                <w:sz w:val="22"/>
                <w:szCs w:val="22"/>
                <w:lang w:val="en-US" w:eastAsia="ja-JP"/>
              </w:rPr>
              <w:tab/>
            </w:r>
            <w:r w:rsidR="00BF43D0" w:rsidRPr="0031735D">
              <w:rPr>
                <w:rStyle w:val="Hyperlink"/>
                <w:noProof/>
              </w:rPr>
              <w:t>United Nations-mandated security costs</w:t>
            </w:r>
            <w:r w:rsidR="00BF43D0">
              <w:rPr>
                <w:noProof/>
                <w:webHidden/>
              </w:rPr>
              <w:tab/>
            </w:r>
            <w:r w:rsidR="00BF43D0">
              <w:rPr>
                <w:noProof/>
                <w:webHidden/>
              </w:rPr>
              <w:fldChar w:fldCharType="begin"/>
            </w:r>
            <w:r w:rsidR="00BF43D0">
              <w:rPr>
                <w:noProof/>
                <w:webHidden/>
              </w:rPr>
              <w:instrText xml:space="preserve"> PAGEREF _Toc75466864 \h </w:instrText>
            </w:r>
            <w:r w:rsidR="00BF43D0">
              <w:rPr>
                <w:noProof/>
                <w:webHidden/>
              </w:rPr>
            </w:r>
            <w:r w:rsidR="00BF43D0">
              <w:rPr>
                <w:noProof/>
                <w:webHidden/>
              </w:rPr>
              <w:fldChar w:fldCharType="separate"/>
            </w:r>
            <w:r w:rsidR="00AD3CC8">
              <w:rPr>
                <w:noProof/>
                <w:webHidden/>
              </w:rPr>
              <w:t>23</w:t>
            </w:r>
            <w:r w:rsidR="00BF43D0">
              <w:rPr>
                <w:noProof/>
                <w:webHidden/>
              </w:rPr>
              <w:fldChar w:fldCharType="end"/>
            </w:r>
          </w:hyperlink>
        </w:p>
        <w:p w14:paraId="38E46829" w14:textId="23AC9719" w:rsidR="00BF43D0" w:rsidRDefault="00D60E33" w:rsidP="00D060DE">
          <w:pPr>
            <w:pStyle w:val="TOC1"/>
            <w:rPr>
              <w:rFonts w:asciiTheme="minorHAnsi" w:eastAsiaTheme="minorEastAsia" w:hAnsiTheme="minorHAnsi" w:cstheme="minorBidi"/>
              <w:noProof/>
              <w:spacing w:val="0"/>
              <w:w w:val="100"/>
              <w:kern w:val="0"/>
              <w:sz w:val="22"/>
              <w:szCs w:val="22"/>
              <w:lang w:val="en-US" w:eastAsia="ja-JP"/>
            </w:rPr>
          </w:pPr>
          <w:hyperlink w:anchor="_Toc75466865" w:history="1">
            <w:r w:rsidR="00BF43D0" w:rsidRPr="0031735D">
              <w:rPr>
                <w:rStyle w:val="Hyperlink"/>
                <w:noProof/>
              </w:rPr>
              <w:t>VII.</w:t>
            </w:r>
            <w:r w:rsidR="00BF43D0">
              <w:rPr>
                <w:rFonts w:asciiTheme="minorHAnsi" w:eastAsiaTheme="minorEastAsia" w:hAnsiTheme="minorHAnsi" w:cstheme="minorBidi"/>
                <w:noProof/>
                <w:spacing w:val="0"/>
                <w:w w:val="100"/>
                <w:kern w:val="0"/>
                <w:sz w:val="22"/>
                <w:szCs w:val="22"/>
                <w:lang w:val="en-US" w:eastAsia="ja-JP"/>
              </w:rPr>
              <w:tab/>
            </w:r>
            <w:r w:rsidR="00BF43D0" w:rsidRPr="0031735D">
              <w:rPr>
                <w:rStyle w:val="Hyperlink"/>
                <w:noProof/>
              </w:rPr>
              <w:t>‘Greening’ UNDP</w:t>
            </w:r>
            <w:r w:rsidR="00BF43D0">
              <w:rPr>
                <w:noProof/>
                <w:webHidden/>
              </w:rPr>
              <w:tab/>
            </w:r>
            <w:r w:rsidR="00BF43D0">
              <w:rPr>
                <w:noProof/>
                <w:webHidden/>
              </w:rPr>
              <w:fldChar w:fldCharType="begin"/>
            </w:r>
            <w:r w:rsidR="00BF43D0">
              <w:rPr>
                <w:noProof/>
                <w:webHidden/>
              </w:rPr>
              <w:instrText xml:space="preserve"> PAGEREF _Toc75466865 \h </w:instrText>
            </w:r>
            <w:r w:rsidR="00BF43D0">
              <w:rPr>
                <w:noProof/>
                <w:webHidden/>
              </w:rPr>
            </w:r>
            <w:r w:rsidR="00BF43D0">
              <w:rPr>
                <w:noProof/>
                <w:webHidden/>
              </w:rPr>
              <w:fldChar w:fldCharType="separate"/>
            </w:r>
            <w:r w:rsidR="00AD3CC8">
              <w:rPr>
                <w:noProof/>
                <w:webHidden/>
              </w:rPr>
              <w:t>23</w:t>
            </w:r>
            <w:r w:rsidR="00BF43D0">
              <w:rPr>
                <w:noProof/>
                <w:webHidden/>
              </w:rPr>
              <w:fldChar w:fldCharType="end"/>
            </w:r>
          </w:hyperlink>
        </w:p>
        <w:p w14:paraId="2D7CB49A" w14:textId="5F634C14" w:rsidR="00BF43D0" w:rsidRDefault="00D60E33" w:rsidP="00D060DE">
          <w:pPr>
            <w:pStyle w:val="TOC1"/>
            <w:rPr>
              <w:rFonts w:asciiTheme="minorHAnsi" w:eastAsiaTheme="minorEastAsia" w:hAnsiTheme="minorHAnsi" w:cstheme="minorBidi"/>
              <w:noProof/>
              <w:spacing w:val="0"/>
              <w:w w:val="100"/>
              <w:kern w:val="0"/>
              <w:sz w:val="22"/>
              <w:szCs w:val="22"/>
              <w:lang w:val="en-US" w:eastAsia="ja-JP"/>
            </w:rPr>
          </w:pPr>
          <w:hyperlink w:anchor="_Toc75466866" w:history="1">
            <w:r w:rsidR="00BF43D0" w:rsidRPr="0031735D">
              <w:rPr>
                <w:rStyle w:val="Hyperlink"/>
                <w:bCs/>
                <w:noProof/>
              </w:rPr>
              <w:t>VIII.</w:t>
            </w:r>
            <w:r w:rsidR="00BF43D0">
              <w:rPr>
                <w:rFonts w:asciiTheme="minorHAnsi" w:eastAsiaTheme="minorEastAsia" w:hAnsiTheme="minorHAnsi" w:cstheme="minorBidi"/>
                <w:noProof/>
                <w:spacing w:val="0"/>
                <w:w w:val="100"/>
                <w:kern w:val="0"/>
                <w:sz w:val="22"/>
                <w:szCs w:val="22"/>
                <w:lang w:val="en-US" w:eastAsia="ja-JP"/>
              </w:rPr>
              <w:tab/>
            </w:r>
            <w:r w:rsidR="00BF43D0" w:rsidRPr="0031735D">
              <w:rPr>
                <w:rStyle w:val="Hyperlink"/>
                <w:noProof/>
              </w:rPr>
              <w:t xml:space="preserve">Appendices </w:t>
            </w:r>
            <w:r w:rsidR="00BF43D0" w:rsidRPr="0031735D">
              <w:rPr>
                <w:rStyle w:val="Hyperlink"/>
                <w:bCs/>
                <w:noProof/>
              </w:rPr>
              <w:t>(available on the UNDP Executive Board web page)</w:t>
            </w:r>
            <w:r w:rsidR="00BF43D0">
              <w:rPr>
                <w:noProof/>
                <w:webHidden/>
              </w:rPr>
              <w:tab/>
            </w:r>
            <w:r w:rsidR="00BF43D0">
              <w:rPr>
                <w:noProof/>
                <w:webHidden/>
              </w:rPr>
              <w:fldChar w:fldCharType="begin"/>
            </w:r>
            <w:r w:rsidR="00BF43D0">
              <w:rPr>
                <w:noProof/>
                <w:webHidden/>
              </w:rPr>
              <w:instrText xml:space="preserve"> PAGEREF _Toc75466866 \h </w:instrText>
            </w:r>
            <w:r w:rsidR="00BF43D0">
              <w:rPr>
                <w:noProof/>
                <w:webHidden/>
              </w:rPr>
            </w:r>
            <w:r w:rsidR="00BF43D0">
              <w:rPr>
                <w:noProof/>
                <w:webHidden/>
              </w:rPr>
              <w:fldChar w:fldCharType="separate"/>
            </w:r>
            <w:r w:rsidR="00AD3CC8">
              <w:rPr>
                <w:noProof/>
                <w:webHidden/>
              </w:rPr>
              <w:t>24</w:t>
            </w:r>
            <w:r w:rsidR="00BF43D0">
              <w:rPr>
                <w:noProof/>
                <w:webHidden/>
              </w:rPr>
              <w:fldChar w:fldCharType="end"/>
            </w:r>
          </w:hyperlink>
        </w:p>
        <w:p w14:paraId="25EDF886" w14:textId="6C98260E" w:rsidR="00122E90" w:rsidRPr="00681331" w:rsidRDefault="002E6FA7">
          <w:pPr>
            <w:rPr>
              <w:noProof/>
            </w:rPr>
          </w:pPr>
          <w:r>
            <w:rPr>
              <w:b/>
              <w:bCs/>
              <w:noProof/>
            </w:rPr>
            <w:fldChar w:fldCharType="end"/>
          </w:r>
          <w:r w:rsidR="001E476E" w:rsidRPr="00681331" w:rsidDel="001E476E">
            <w:rPr>
              <w:noProof/>
            </w:rPr>
            <w:t xml:space="preserve"> </w:t>
          </w:r>
        </w:p>
        <w:p w14:paraId="3F72B558" w14:textId="44D21076" w:rsidR="002E6FA7" w:rsidRDefault="00D60E33"/>
      </w:sdtContent>
    </w:sdt>
    <w:p w14:paraId="58451734" w14:textId="77777777" w:rsidR="00E605A4" w:rsidRPr="000E57AE" w:rsidRDefault="00E605A4">
      <w:pPr>
        <w:suppressAutoHyphens w:val="0"/>
        <w:spacing w:line="240" w:lineRule="auto"/>
      </w:pPr>
      <w:r w:rsidRPr="000E57AE">
        <w:br w:type="page"/>
      </w:r>
    </w:p>
    <w:p w14:paraId="0BBD9D2C" w14:textId="295847E5" w:rsidR="00AE5C22" w:rsidRDefault="00AE5C22" w:rsidP="00454919">
      <w:pPr>
        <w:pStyle w:val="SingleTxt"/>
        <w:tabs>
          <w:tab w:val="clear" w:pos="1267"/>
          <w:tab w:val="clear" w:pos="1742"/>
          <w:tab w:val="left" w:pos="1530"/>
        </w:tabs>
        <w:ind w:left="1080"/>
      </w:pPr>
      <w:bookmarkStart w:id="2" w:name="_Toc44600413"/>
      <w:bookmarkStart w:id="3" w:name="_Toc44600760"/>
      <w:bookmarkStart w:id="4" w:name="_Toc44600414"/>
      <w:bookmarkStart w:id="5" w:name="_Toc44600761"/>
      <w:bookmarkStart w:id="6" w:name="_Toc44600415"/>
      <w:bookmarkStart w:id="7" w:name="_Toc44600762"/>
      <w:bookmarkStart w:id="8" w:name="_Toc44600416"/>
      <w:bookmarkStart w:id="9" w:name="_Toc44600763"/>
      <w:bookmarkStart w:id="10" w:name="_Toc39596148"/>
      <w:bookmarkStart w:id="11" w:name="_Toc39596192"/>
      <w:bookmarkStart w:id="12" w:name="_Toc39596236"/>
      <w:bookmarkEnd w:id="2"/>
      <w:bookmarkEnd w:id="3"/>
      <w:bookmarkEnd w:id="4"/>
      <w:bookmarkEnd w:id="5"/>
      <w:bookmarkEnd w:id="6"/>
      <w:bookmarkEnd w:id="7"/>
      <w:bookmarkEnd w:id="8"/>
      <w:bookmarkEnd w:id="9"/>
      <w:bookmarkEnd w:id="10"/>
      <w:bookmarkEnd w:id="11"/>
      <w:bookmarkEnd w:id="12"/>
    </w:p>
    <w:p w14:paraId="597D9E25" w14:textId="359902D4" w:rsidR="007E3F7F" w:rsidRDefault="007E3F7F" w:rsidP="005F648C">
      <w:pPr>
        <w:pStyle w:val="HCh"/>
        <w:numPr>
          <w:ilvl w:val="0"/>
          <w:numId w:val="13"/>
        </w:numPr>
        <w:spacing w:before="360" w:after="240" w:line="240" w:lineRule="auto"/>
        <w:ind w:right="1267"/>
      </w:pPr>
      <w:bookmarkStart w:id="13" w:name="_Toc75466820"/>
      <w:r w:rsidRPr="007459CA">
        <w:t>Introduction</w:t>
      </w:r>
      <w:bookmarkEnd w:id="13"/>
    </w:p>
    <w:p w14:paraId="3ACAD8F5" w14:textId="02BDBEE1" w:rsidR="007E3F7F" w:rsidRPr="007459CA" w:rsidRDefault="007E3F7F" w:rsidP="00AF3FD4">
      <w:pPr>
        <w:pStyle w:val="ListParagraph"/>
        <w:numPr>
          <w:ilvl w:val="0"/>
          <w:numId w:val="5"/>
        </w:numPr>
        <w:spacing w:before="240" w:after="240" w:line="240" w:lineRule="auto"/>
        <w:ind w:right="1267"/>
        <w:contextualSpacing w:val="0"/>
        <w:jc w:val="both"/>
      </w:pPr>
      <w:r w:rsidRPr="007459CA">
        <w:t xml:space="preserve">This </w:t>
      </w:r>
      <w:r w:rsidR="00772FB5">
        <w:t>Annex</w:t>
      </w:r>
      <w:r w:rsidRPr="007459CA">
        <w:t xml:space="preserve"> provides an overview of the financial position of UNDP – including the United Nations Volunteers (UNV) and the United Nations Office for South-South Cooperation (UNOSSC) at the end of 20</w:t>
      </w:r>
      <w:r w:rsidR="00AD5834">
        <w:t>20</w:t>
      </w:r>
      <w:r w:rsidRPr="007459CA">
        <w:t xml:space="preserve">. </w:t>
      </w:r>
    </w:p>
    <w:p w14:paraId="12F214C2" w14:textId="01B5C0B9" w:rsidR="007E3F7F" w:rsidRPr="00043410" w:rsidRDefault="007F402D" w:rsidP="00AF3FD4">
      <w:pPr>
        <w:pStyle w:val="ListParagraph"/>
        <w:numPr>
          <w:ilvl w:val="0"/>
          <w:numId w:val="5"/>
        </w:numPr>
        <w:spacing w:before="240" w:after="240" w:line="240" w:lineRule="auto"/>
        <w:ind w:right="1267"/>
        <w:contextualSpacing w:val="0"/>
        <w:jc w:val="both"/>
      </w:pPr>
      <w:r w:rsidRPr="00043410">
        <w:t>A</w:t>
      </w:r>
      <w:r>
        <w:t xml:space="preserve">ppendices </w:t>
      </w:r>
      <w:r w:rsidR="007E3F7F" w:rsidRPr="00043410">
        <w:t>I-V</w:t>
      </w:r>
      <w:r w:rsidR="00DB256A">
        <w:t>I</w:t>
      </w:r>
      <w:r w:rsidR="007E3F7F" w:rsidRPr="00043410">
        <w:t xml:space="preserve"> are available on the Executive Board web page. Tables 1-1</w:t>
      </w:r>
      <w:r w:rsidR="00CC46AD">
        <w:t>0</w:t>
      </w:r>
      <w:r w:rsidR="007E3F7F" w:rsidRPr="00043410">
        <w:t xml:space="preserve">, in </w:t>
      </w:r>
      <w:r>
        <w:t>Appendix VI</w:t>
      </w:r>
      <w:r w:rsidR="00DB256A">
        <w:t>I</w:t>
      </w:r>
      <w:r w:rsidR="007E3F7F" w:rsidRPr="00043410">
        <w:t>, provide further details of the activities undertaken by UNDP.</w:t>
      </w:r>
    </w:p>
    <w:p w14:paraId="4A0E5B41" w14:textId="64A7EB86" w:rsidR="007E3F7F" w:rsidRDefault="007E3F7F" w:rsidP="00AF3FD4">
      <w:pPr>
        <w:pStyle w:val="ListParagraph"/>
        <w:numPr>
          <w:ilvl w:val="0"/>
          <w:numId w:val="5"/>
        </w:numPr>
        <w:spacing w:before="240" w:after="240" w:line="240" w:lineRule="auto"/>
        <w:ind w:right="1267"/>
        <w:contextualSpacing w:val="0"/>
        <w:jc w:val="both"/>
      </w:pPr>
      <w:r w:rsidRPr="00043410">
        <w:t>In accordance with Executive Board decision 2013/28, this report includes a comparative overview of actual 20</w:t>
      </w:r>
      <w:r w:rsidR="00105FBD">
        <w:t>20</w:t>
      </w:r>
      <w:r w:rsidRPr="00043410">
        <w:t xml:space="preserve"> utilization compared to the resource planning figures in the UNDP Integrated resources plan, 2018-2021 (</w:t>
      </w:r>
      <w:hyperlink r:id="rId16" w:history="1">
        <w:r w:rsidRPr="00043410">
          <w:t>DP/2017/</w:t>
        </w:r>
      </w:hyperlink>
      <w:r w:rsidRPr="00043410">
        <w:t>39), and the corresponding a</w:t>
      </w:r>
      <w:r w:rsidR="00822D21">
        <w:t>ppendix</w:t>
      </w:r>
      <w:r w:rsidRPr="00043410">
        <w:t xml:space="preserve"> II. It includes </w:t>
      </w:r>
      <w:r w:rsidR="00822D21" w:rsidRPr="00043410">
        <w:t>a</w:t>
      </w:r>
      <w:r w:rsidR="00822D21">
        <w:t>ppendices</w:t>
      </w:r>
      <w:r w:rsidRPr="00043410">
        <w:t xml:space="preserve"> III.A and III.B in the format of the UNDP integrated resources plan. A</w:t>
      </w:r>
      <w:r w:rsidR="00822D21">
        <w:t>ppendix</w:t>
      </w:r>
      <w:r w:rsidRPr="00043410">
        <w:t xml:space="preserve"> III.C provides the resources allocated to posts, by location.</w:t>
      </w:r>
      <w:r w:rsidR="003E1191">
        <w:t xml:space="preserve"> Appendix </w:t>
      </w:r>
      <w:r w:rsidR="007746E8">
        <w:t>IV provides</w:t>
      </w:r>
      <w:r w:rsidR="009270E6">
        <w:t xml:space="preserve"> </w:t>
      </w:r>
      <w:r w:rsidR="00021ACF">
        <w:t xml:space="preserve">annual </w:t>
      </w:r>
      <w:r w:rsidR="00021ACF" w:rsidRPr="00E45F33">
        <w:t>contributions</w:t>
      </w:r>
      <w:r w:rsidR="00021ACF">
        <w:t xml:space="preserve"> (regular </w:t>
      </w:r>
      <w:r w:rsidR="003B7EC8">
        <w:t>resources)</w:t>
      </w:r>
      <w:r w:rsidR="00021ACF" w:rsidRPr="00E45F33">
        <w:t xml:space="preserve"> from top 10 donors</w:t>
      </w:r>
      <w:r w:rsidR="00021ACF">
        <w:t xml:space="preserve">, and </w:t>
      </w:r>
      <w:r w:rsidR="001B5D54" w:rsidRPr="001B5D54">
        <w:t>an update on general management services cost-recovery waivers is described in A</w:t>
      </w:r>
      <w:r w:rsidR="00DD5F9A">
        <w:t>ppendix</w:t>
      </w:r>
      <w:r w:rsidR="001B5D54" w:rsidRPr="001B5D54">
        <w:t xml:space="preserve"> V.</w:t>
      </w:r>
      <w:r w:rsidR="006424C4">
        <w:t xml:space="preserve"> </w:t>
      </w:r>
      <w:r w:rsidR="003B7EC8">
        <w:t xml:space="preserve"> </w:t>
      </w:r>
      <w:r w:rsidR="009270E6">
        <w:t>The detailed agenda of Appendices can be found in Section VIII.</w:t>
      </w:r>
    </w:p>
    <w:p w14:paraId="76EE0022" w14:textId="0971D29F" w:rsidR="0050288D" w:rsidRDefault="0050288D" w:rsidP="005F648C">
      <w:pPr>
        <w:pStyle w:val="HCh"/>
        <w:numPr>
          <w:ilvl w:val="0"/>
          <w:numId w:val="13"/>
        </w:numPr>
        <w:spacing w:before="360" w:after="240" w:line="240" w:lineRule="auto"/>
        <w:ind w:right="1267"/>
      </w:pPr>
      <w:bookmarkStart w:id="14" w:name="_Toc75466821"/>
      <w:bookmarkStart w:id="15" w:name="_Toc75466822"/>
      <w:bookmarkStart w:id="16" w:name="_Toc75466823"/>
      <w:bookmarkStart w:id="17" w:name="_Toc75466824"/>
      <w:bookmarkStart w:id="18" w:name="_Toc75466825"/>
      <w:bookmarkStart w:id="19" w:name="_Toc75466826"/>
      <w:bookmarkStart w:id="20" w:name="_Toc75466827"/>
      <w:bookmarkStart w:id="21" w:name="_Toc75466828"/>
      <w:bookmarkStart w:id="22" w:name="_Toc75466829"/>
      <w:bookmarkEnd w:id="14"/>
      <w:bookmarkEnd w:id="15"/>
      <w:bookmarkEnd w:id="16"/>
      <w:bookmarkEnd w:id="17"/>
      <w:bookmarkEnd w:id="18"/>
      <w:bookmarkEnd w:id="19"/>
      <w:bookmarkEnd w:id="20"/>
      <w:bookmarkEnd w:id="21"/>
      <w:r>
        <w:t>Overview</w:t>
      </w:r>
      <w:bookmarkEnd w:id="22"/>
    </w:p>
    <w:p w14:paraId="65DB55B9" w14:textId="7288DA48" w:rsidR="00F34CC0" w:rsidRPr="00F34CC0" w:rsidRDefault="00615A16" w:rsidP="00AF3FD4">
      <w:pPr>
        <w:pStyle w:val="ListParagraph"/>
        <w:numPr>
          <w:ilvl w:val="0"/>
          <w:numId w:val="5"/>
        </w:numPr>
        <w:spacing w:before="240" w:after="240" w:line="240" w:lineRule="auto"/>
        <w:ind w:right="1267"/>
        <w:contextualSpacing w:val="0"/>
        <w:jc w:val="both"/>
      </w:pPr>
      <w:r w:rsidRPr="00615A16">
        <w:t>Financial stability remained a top corporate priority in 20</w:t>
      </w:r>
      <w:r w:rsidR="00394912">
        <w:t>20</w:t>
      </w:r>
      <w:r w:rsidRPr="00615A16">
        <w:t xml:space="preserve"> for UNDP.</w:t>
      </w:r>
      <w:r w:rsidR="00F34CC0">
        <w:t xml:space="preserve"> </w:t>
      </w:r>
      <w:r w:rsidR="00F34CC0" w:rsidRPr="00F34CC0">
        <w:t>In mid-March 2020, the C</w:t>
      </w:r>
      <w:r w:rsidR="007F7DB2">
        <w:t>OVID</w:t>
      </w:r>
      <w:r w:rsidR="00F34CC0" w:rsidRPr="00F34CC0">
        <w:t>-19 pandemic became a global challenge and impacted the global economy in an unprecedented manner. UNDP continued to focus on the effective implementation of its programmatic activities, quickly adjusting to these unprecedented circumstances, supported by a robust response from partners/donors in addressing the pandemic during this period.</w:t>
      </w:r>
    </w:p>
    <w:p w14:paraId="5764968A" w14:textId="224A5E52" w:rsidR="73AB3A99" w:rsidRPr="00AF3FD4" w:rsidRDefault="009F71C8" w:rsidP="00AF3FD4">
      <w:pPr>
        <w:pStyle w:val="ListParagraph"/>
        <w:numPr>
          <w:ilvl w:val="0"/>
          <w:numId w:val="5"/>
        </w:numPr>
        <w:spacing w:before="240" w:after="240" w:line="240" w:lineRule="auto"/>
        <w:ind w:right="1267"/>
        <w:contextualSpacing w:val="0"/>
        <w:jc w:val="both"/>
      </w:pPr>
      <w:r w:rsidRPr="0031223C">
        <w:t>Total revenue</w:t>
      </w:r>
      <w:r w:rsidR="00954B03" w:rsidRPr="0031223C">
        <w:t>,</w:t>
      </w:r>
      <w:r w:rsidRPr="0031223C">
        <w:t xml:space="preserve"> including voluntary contributions in 20</w:t>
      </w:r>
      <w:r w:rsidR="0050037A" w:rsidRPr="0031223C">
        <w:t>20</w:t>
      </w:r>
      <w:r w:rsidRPr="0031223C">
        <w:t xml:space="preserve"> was </w:t>
      </w:r>
      <w:r w:rsidRPr="00AF3FD4">
        <w:t>$</w:t>
      </w:r>
      <w:r w:rsidR="0050037A" w:rsidRPr="00AF3FD4">
        <w:t>6.</w:t>
      </w:r>
      <w:r w:rsidR="009025FC" w:rsidRPr="00AF3FD4">
        <w:t>6</w:t>
      </w:r>
      <w:r w:rsidRPr="00AF3FD4">
        <w:t xml:space="preserve"> billion</w:t>
      </w:r>
      <w:r w:rsidRPr="0031223C">
        <w:t>, a</w:t>
      </w:r>
      <w:r w:rsidR="0050037A" w:rsidRPr="0031223C">
        <w:t>n</w:t>
      </w:r>
      <w:r w:rsidRPr="0031223C">
        <w:t xml:space="preserve"> </w:t>
      </w:r>
      <w:r w:rsidR="0050037A" w:rsidRPr="0031223C">
        <w:t>increase</w:t>
      </w:r>
      <w:r w:rsidRPr="0031223C">
        <w:t xml:space="preserve"> of $</w:t>
      </w:r>
      <w:r w:rsidR="0050037A" w:rsidRPr="0031223C">
        <w:t>1.</w:t>
      </w:r>
      <w:r w:rsidR="001E271C" w:rsidRPr="0031223C">
        <w:t>8</w:t>
      </w:r>
      <w:r w:rsidRPr="0031223C">
        <w:t xml:space="preserve"> </w:t>
      </w:r>
      <w:r w:rsidR="0050037A" w:rsidRPr="0031223C">
        <w:t>b</w:t>
      </w:r>
      <w:r w:rsidRPr="0031223C">
        <w:t xml:space="preserve">illion (or </w:t>
      </w:r>
      <w:r w:rsidR="0050037A" w:rsidRPr="0031223C">
        <w:t>3</w:t>
      </w:r>
      <w:r w:rsidR="001E271C" w:rsidRPr="0031223C">
        <w:t>7</w:t>
      </w:r>
      <w:r w:rsidRPr="0031223C">
        <w:t xml:space="preserve"> per cent) from $</w:t>
      </w:r>
      <w:r w:rsidR="00A90A0A" w:rsidRPr="0031223C">
        <w:t>4.8</w:t>
      </w:r>
      <w:r w:rsidRPr="0031223C">
        <w:t xml:space="preserve"> billion in</w:t>
      </w:r>
      <w:r>
        <w:t xml:space="preserve"> 201</w:t>
      </w:r>
      <w:r w:rsidR="00A90A0A">
        <w:t>9</w:t>
      </w:r>
      <w:r>
        <w:t>. This includes voluntary contributions of $</w:t>
      </w:r>
      <w:r w:rsidR="00182CB5" w:rsidRPr="0031223C">
        <w:t>6.</w:t>
      </w:r>
      <w:r w:rsidR="00233990" w:rsidRPr="0031223C">
        <w:t>3</w:t>
      </w:r>
      <w:r w:rsidRPr="0031223C">
        <w:t xml:space="preserve"> billion, a</w:t>
      </w:r>
      <w:r w:rsidR="00182CB5" w:rsidRPr="0031223C">
        <w:t>n increase</w:t>
      </w:r>
      <w:r w:rsidRPr="0031223C">
        <w:t xml:space="preserve"> of $</w:t>
      </w:r>
      <w:r w:rsidR="00182CB5" w:rsidRPr="0031223C">
        <w:t>1.</w:t>
      </w:r>
      <w:r w:rsidR="00233990" w:rsidRPr="0031223C">
        <w:t>8</w:t>
      </w:r>
      <w:r w:rsidR="00182CB5" w:rsidRPr="0031223C">
        <w:t xml:space="preserve"> billion</w:t>
      </w:r>
      <w:r w:rsidRPr="0031223C">
        <w:t xml:space="preserve"> (or </w:t>
      </w:r>
      <w:r w:rsidR="00233990" w:rsidRPr="0031223C">
        <w:t>40</w:t>
      </w:r>
      <w:r w:rsidRPr="0031223C">
        <w:t xml:space="preserve"> pe</w:t>
      </w:r>
      <w:r>
        <w:t xml:space="preserve">r cent) from </w:t>
      </w:r>
      <w:r w:rsidRPr="00AF3FD4">
        <w:t>$</w:t>
      </w:r>
      <w:r w:rsidR="00182CB5" w:rsidRPr="00AF3FD4">
        <w:t>4.</w:t>
      </w:r>
      <w:r w:rsidR="006304BC" w:rsidRPr="00AF3FD4">
        <w:t>5</w:t>
      </w:r>
      <w:r w:rsidRPr="00AF3FD4">
        <w:t xml:space="preserve"> </w:t>
      </w:r>
      <w:r>
        <w:t>billion) in 201</w:t>
      </w:r>
      <w:r w:rsidR="00182CB5">
        <w:t>9</w:t>
      </w:r>
      <w:r>
        <w:t>.</w:t>
      </w:r>
      <w:r w:rsidR="00C558D3" w:rsidRPr="00C558D3">
        <w:t xml:space="preserve"> </w:t>
      </w:r>
      <w:r w:rsidR="00182CB5">
        <w:t xml:space="preserve">This increase was driven by multi-year agreement with several </w:t>
      </w:r>
      <w:r w:rsidR="00DA5A8E">
        <w:t xml:space="preserve">key donors. </w:t>
      </w:r>
    </w:p>
    <w:p w14:paraId="45452A87" w14:textId="739FCD01" w:rsidR="73AB3A99" w:rsidRPr="00AF3FD4" w:rsidRDefault="73AB3A99" w:rsidP="00AF3FD4">
      <w:pPr>
        <w:pStyle w:val="ListParagraph"/>
        <w:numPr>
          <w:ilvl w:val="0"/>
          <w:numId w:val="5"/>
        </w:numPr>
        <w:spacing w:before="240" w:after="240" w:line="240" w:lineRule="auto"/>
        <w:ind w:right="1267"/>
        <w:contextualSpacing w:val="0"/>
        <w:jc w:val="both"/>
      </w:pPr>
      <w:r>
        <w:t>Total expense</w:t>
      </w:r>
      <w:r w:rsidR="00414907">
        <w:t>s</w:t>
      </w:r>
      <w:r w:rsidR="00414907" w:rsidRPr="00414907">
        <w:t xml:space="preserve"> </w:t>
      </w:r>
      <w:r w:rsidR="00414907">
        <w:t>in 20</w:t>
      </w:r>
      <w:r w:rsidR="00DA5A8E">
        <w:t>20</w:t>
      </w:r>
      <w:r>
        <w:t>, that includes programme delivery</w:t>
      </w:r>
      <w:r w:rsidR="00414907">
        <w:t>,</w:t>
      </w:r>
      <w:r>
        <w:t xml:space="preserve"> </w:t>
      </w:r>
      <w:r w:rsidRPr="0031223C">
        <w:t xml:space="preserve">was </w:t>
      </w:r>
      <w:r w:rsidRPr="00AF3FD4">
        <w:t>$</w:t>
      </w:r>
      <w:r w:rsidR="00DA5A8E" w:rsidRPr="00AF3FD4">
        <w:t>5.</w:t>
      </w:r>
      <w:r w:rsidR="000E10C3" w:rsidRPr="00AF3FD4">
        <w:t>1</w:t>
      </w:r>
      <w:r w:rsidRPr="00AF3FD4">
        <w:t xml:space="preserve"> billion</w:t>
      </w:r>
      <w:r w:rsidRPr="0031223C">
        <w:t>, a</w:t>
      </w:r>
      <w:r w:rsidR="00DA5A8E" w:rsidRPr="0031223C">
        <w:t>n in</w:t>
      </w:r>
      <w:r w:rsidRPr="0031223C">
        <w:t>crease of $</w:t>
      </w:r>
      <w:r w:rsidR="00DA5A8E" w:rsidRPr="0031223C">
        <w:t>127</w:t>
      </w:r>
      <w:r w:rsidRPr="0031223C">
        <w:t xml:space="preserve"> million (3 per cent) from $</w:t>
      </w:r>
      <w:r w:rsidR="008D75C0" w:rsidRPr="0031223C">
        <w:t>4.9</w:t>
      </w:r>
      <w:r w:rsidRPr="0031223C">
        <w:t xml:space="preserve"> billion in 201</w:t>
      </w:r>
      <w:r w:rsidR="008D75C0" w:rsidRPr="0031223C">
        <w:t>9</w:t>
      </w:r>
      <w:r w:rsidRPr="0031223C">
        <w:t xml:space="preserve">. </w:t>
      </w:r>
      <w:r w:rsidR="008D75C0" w:rsidRPr="0031223C">
        <w:t>Of $5.</w:t>
      </w:r>
      <w:r w:rsidR="000E10C3" w:rsidRPr="0031223C">
        <w:t>1</w:t>
      </w:r>
      <w:r w:rsidR="008D75C0">
        <w:t xml:space="preserve"> billion, despite the pandemic, p</w:t>
      </w:r>
      <w:r>
        <w:t>rogramme expense (i.e.</w:t>
      </w:r>
      <w:r w:rsidR="006C7B63">
        <w:t>,</w:t>
      </w:r>
      <w:r>
        <w:t xml:space="preserve"> delivery) was $4.</w:t>
      </w:r>
      <w:r w:rsidR="008D75C0">
        <w:t>4</w:t>
      </w:r>
      <w:r>
        <w:t xml:space="preserve"> billion</w:t>
      </w:r>
      <w:r w:rsidR="00A13E76">
        <w:t>, an increase</w:t>
      </w:r>
      <w:r>
        <w:t xml:space="preserve"> of $</w:t>
      </w:r>
      <w:r w:rsidR="00A13E76">
        <w:t>66</w:t>
      </w:r>
      <w:r>
        <w:t xml:space="preserve"> million (or 2 per cent)</w:t>
      </w:r>
      <w:r w:rsidR="007A0447">
        <w:t xml:space="preserve"> from 2019, which is</w:t>
      </w:r>
      <w:r w:rsidR="00406A6A" w:rsidRPr="00406A6A">
        <w:t xml:space="preserve"> </w:t>
      </w:r>
      <w:r w:rsidR="00406A6A" w:rsidRPr="00E45773">
        <w:t>UNDP’s second-highest delivery rate in six years.</w:t>
      </w:r>
    </w:p>
    <w:p w14:paraId="2E66C2CB" w14:textId="59FD1882" w:rsidR="00AF4E2B" w:rsidRPr="00AF3FD4" w:rsidRDefault="00AF4E2B" w:rsidP="00AF3FD4">
      <w:pPr>
        <w:pStyle w:val="ListParagraph"/>
        <w:numPr>
          <w:ilvl w:val="0"/>
          <w:numId w:val="5"/>
        </w:numPr>
        <w:spacing w:before="240" w:after="240" w:line="240" w:lineRule="auto"/>
        <w:ind w:right="1267"/>
        <w:contextualSpacing w:val="0"/>
        <w:jc w:val="both"/>
      </w:pPr>
      <w:r>
        <w:t>Total revenue</w:t>
      </w:r>
      <w:r w:rsidR="2A4FAD1B">
        <w:t>,</w:t>
      </w:r>
      <w:r>
        <w:t xml:space="preserve"> less total expenses resulted in a surplus of $1.</w:t>
      </w:r>
      <w:r w:rsidR="00233990">
        <w:t>6</w:t>
      </w:r>
      <w:r>
        <w:t xml:space="preserve"> billion</w:t>
      </w:r>
      <w:r w:rsidR="00855C4C">
        <w:t xml:space="preserve"> for 2020</w:t>
      </w:r>
      <w:r>
        <w:t>, compared to a deficit of $9</w:t>
      </w:r>
      <w:r w:rsidR="00A93DD1">
        <w:t>4.5</w:t>
      </w:r>
      <w:r>
        <w:t xml:space="preserve"> million in 2019. </w:t>
      </w:r>
      <w:r w:rsidR="00FD696C">
        <w:t xml:space="preserve"> </w:t>
      </w:r>
      <w:r>
        <w:t>This surplus increased the accumulated resource balance</w:t>
      </w:r>
      <w:r w:rsidR="006E30B2">
        <w:t xml:space="preserve"> which </w:t>
      </w:r>
      <w:r w:rsidR="00705341">
        <w:t>will</w:t>
      </w:r>
      <w:r w:rsidR="006E30B2">
        <w:t xml:space="preserve"> be utilized to support future years’ programme</w:t>
      </w:r>
      <w:r>
        <w:t xml:space="preserve"> delivery. The 2020 institutional budget was fully balanced (four years in a row)</w:t>
      </w:r>
      <w:r w:rsidR="00C400D8">
        <w:t xml:space="preserve"> with a small surplus of $57.6 million, of which $34.1 million is flexible</w:t>
      </w:r>
      <w:r>
        <w:t>.</w:t>
      </w:r>
    </w:p>
    <w:p w14:paraId="0AAEAF06" w14:textId="6B4ACE11" w:rsidR="32DB0536" w:rsidRPr="00AF3FD4" w:rsidRDefault="6A6AF236" w:rsidP="00AF3FD4">
      <w:pPr>
        <w:pStyle w:val="ListParagraph"/>
        <w:numPr>
          <w:ilvl w:val="0"/>
          <w:numId w:val="5"/>
        </w:numPr>
        <w:spacing w:before="240" w:after="240" w:line="240" w:lineRule="auto"/>
        <w:ind w:right="1267"/>
        <w:contextualSpacing w:val="0"/>
        <w:jc w:val="both"/>
      </w:pPr>
      <w:r>
        <w:t xml:space="preserve">Compared to the previous year, the proportion of regular resources allocated to development programmes increased to </w:t>
      </w:r>
      <w:r w:rsidR="00D26447">
        <w:t>69</w:t>
      </w:r>
      <w:r>
        <w:t xml:space="preserve"> per cent from </w:t>
      </w:r>
      <w:r w:rsidR="00D26447">
        <w:t>66</w:t>
      </w:r>
      <w:r>
        <w:t xml:space="preserve"> per cent, while the proportion of regular resources used for institutional budget activities decreased from </w:t>
      </w:r>
      <w:r w:rsidR="00D26447">
        <w:t>34</w:t>
      </w:r>
      <w:r>
        <w:t xml:space="preserve"> per cent to </w:t>
      </w:r>
      <w:r w:rsidR="00D26447">
        <w:t>31</w:t>
      </w:r>
      <w:r>
        <w:t xml:space="preserve"> per cent. The latter was below the planned allocation of regular resources to institutional activities of </w:t>
      </w:r>
      <w:r w:rsidR="0062753A">
        <w:t>33</w:t>
      </w:r>
      <w:r>
        <w:t xml:space="preserve"> per cent in the Executive Board-approved </w:t>
      </w:r>
      <w:r>
        <w:lastRenderedPageBreak/>
        <w:t xml:space="preserve">integrated budget. </w:t>
      </w:r>
      <w:r w:rsidR="00723B58" w:rsidRPr="00723B58">
        <w:t>In 2020, 91 cents of every dollar spent went to programmes and services to achieve development results, unchanged from 2019.</w:t>
      </w:r>
    </w:p>
    <w:p w14:paraId="7631C93E" w14:textId="26283433" w:rsidR="00341311" w:rsidRPr="00837D3D" w:rsidRDefault="00982DCB" w:rsidP="00AF3FD4">
      <w:pPr>
        <w:pStyle w:val="ListParagraph"/>
        <w:numPr>
          <w:ilvl w:val="0"/>
          <w:numId w:val="5"/>
        </w:numPr>
        <w:spacing w:before="240" w:after="240" w:line="240" w:lineRule="auto"/>
        <w:ind w:right="1267"/>
        <w:contextualSpacing w:val="0"/>
        <w:jc w:val="both"/>
      </w:pPr>
      <w:r w:rsidRPr="00837D3D">
        <w:t>Total accumulated resource balances were $</w:t>
      </w:r>
      <w:r w:rsidR="00A923D0" w:rsidRPr="00837D3D">
        <w:t>1</w:t>
      </w:r>
      <w:r w:rsidR="0051708E" w:rsidRPr="00837D3D">
        <w:t>1.0</w:t>
      </w:r>
      <w:r w:rsidRPr="00837D3D">
        <w:t xml:space="preserve"> billion (</w:t>
      </w:r>
      <w:r w:rsidR="00A923D0" w:rsidRPr="00837D3D">
        <w:t>2019</w:t>
      </w:r>
      <w:r w:rsidRPr="00837D3D">
        <w:t>: $9.</w:t>
      </w:r>
      <w:r w:rsidR="00A923D0" w:rsidRPr="00837D3D">
        <w:t>4</w:t>
      </w:r>
      <w:r w:rsidRPr="00837D3D">
        <w:t xml:space="preserve"> billion), of which, non-core programme resources balances were $</w:t>
      </w:r>
      <w:r w:rsidR="00910CB5" w:rsidRPr="00837D3D">
        <w:t>10.</w:t>
      </w:r>
      <w:r w:rsidR="00FA6FAE" w:rsidRPr="00837D3D">
        <w:t>3</w:t>
      </w:r>
      <w:r w:rsidRPr="00837D3D">
        <w:t xml:space="preserve"> billion, a</w:t>
      </w:r>
      <w:r w:rsidR="00910CB5" w:rsidRPr="00837D3D">
        <w:t>n increase of 1</w:t>
      </w:r>
      <w:r w:rsidR="00FA6FAE" w:rsidRPr="00837D3D">
        <w:t>9</w:t>
      </w:r>
      <w:r w:rsidR="00910CB5" w:rsidRPr="00837D3D">
        <w:t xml:space="preserve"> per cent over 2019 ($8.7 billion). </w:t>
      </w:r>
      <w:r w:rsidR="00341311" w:rsidRPr="00837D3D">
        <w:t>The $1</w:t>
      </w:r>
      <w:r w:rsidR="007A55B3" w:rsidRPr="00837D3D">
        <w:t>1.0</w:t>
      </w:r>
      <w:r w:rsidR="00341311" w:rsidRPr="00837D3D">
        <w:t xml:space="preserve"> billion includes $4.</w:t>
      </w:r>
      <w:r w:rsidR="00BF7959" w:rsidRPr="00837D3D">
        <w:t>9</w:t>
      </w:r>
      <w:r w:rsidR="00341311" w:rsidRPr="00837D3D">
        <w:t xml:space="preserve"> billion of receivables, investments of $0.9 billion for the After-Service Health Insurance (ASHI) liability, leaving accumulated resources of $5.</w:t>
      </w:r>
      <w:r w:rsidR="00F40F29" w:rsidRPr="00837D3D">
        <w:t>2</w:t>
      </w:r>
      <w:r w:rsidR="00341311" w:rsidRPr="00837D3D">
        <w:t xml:space="preserve"> billion</w:t>
      </w:r>
      <w:r w:rsidR="00675BD2" w:rsidRPr="00837D3D">
        <w:t xml:space="preserve"> available for programme delivery</w:t>
      </w:r>
      <w:r w:rsidR="0039591B" w:rsidRPr="00837D3D">
        <w:t>, which will be utilized to support future years’ programme delivery.</w:t>
      </w:r>
      <w:r w:rsidR="00341311" w:rsidRPr="00837D3D">
        <w:t xml:space="preserve">  </w:t>
      </w:r>
    </w:p>
    <w:p w14:paraId="324CDBC5" w14:textId="03918EAC" w:rsidR="32DB0536" w:rsidRPr="00AF3FD4" w:rsidRDefault="6A6AF236" w:rsidP="00AF3FD4">
      <w:pPr>
        <w:pStyle w:val="ListParagraph"/>
        <w:numPr>
          <w:ilvl w:val="0"/>
          <w:numId w:val="5"/>
        </w:numPr>
        <w:spacing w:before="240" w:after="240" w:line="240" w:lineRule="auto"/>
        <w:ind w:right="1267"/>
        <w:contextualSpacing w:val="0"/>
        <w:jc w:val="both"/>
      </w:pPr>
      <w:r>
        <w:t>Total cash and investments, including the After-Service Health Insurance (ASHI) portfolio increased by $</w:t>
      </w:r>
      <w:r w:rsidR="008D0C47">
        <w:t>981</w:t>
      </w:r>
      <w:r>
        <w:t xml:space="preserve"> million to $</w:t>
      </w:r>
      <w:r w:rsidR="008D0C47">
        <w:t>8.0</w:t>
      </w:r>
      <w:r>
        <w:t xml:space="preserve"> billion (201</w:t>
      </w:r>
      <w:r w:rsidR="008D0C47">
        <w:t>9</w:t>
      </w:r>
      <w:r>
        <w:t>: $</w:t>
      </w:r>
      <w:r w:rsidR="00B2646E">
        <w:t>7.1</w:t>
      </w:r>
      <w:r>
        <w:t xml:space="preserve"> billion) </w:t>
      </w:r>
      <w:r w:rsidR="13A145FA">
        <w:t xml:space="preserve">as </w:t>
      </w:r>
      <w:proofErr w:type="gramStart"/>
      <w:r>
        <w:t>at</w:t>
      </w:r>
      <w:proofErr w:type="gramEnd"/>
      <w:r>
        <w:t xml:space="preserve"> 31 December 20</w:t>
      </w:r>
      <w:r w:rsidR="00B2646E">
        <w:t>20</w:t>
      </w:r>
      <w:r>
        <w:t xml:space="preserve">. </w:t>
      </w:r>
    </w:p>
    <w:p w14:paraId="75251769" w14:textId="320DC12F" w:rsidR="009856BF" w:rsidRPr="00AF3FD4" w:rsidRDefault="6A6AF236" w:rsidP="00AF3FD4">
      <w:pPr>
        <w:pStyle w:val="ListParagraph"/>
        <w:numPr>
          <w:ilvl w:val="0"/>
          <w:numId w:val="5"/>
        </w:numPr>
        <w:spacing w:before="240" w:after="240" w:line="240" w:lineRule="auto"/>
        <w:ind w:right="1267"/>
        <w:contextualSpacing w:val="0"/>
        <w:jc w:val="both"/>
      </w:pPr>
      <w:r>
        <w:t xml:space="preserve">The liability for ASHI </w:t>
      </w:r>
      <w:r w:rsidR="00775165">
        <w:t>is valued at $1</w:t>
      </w:r>
      <w:r w:rsidR="00F94B9B">
        <w:t>.</w:t>
      </w:r>
      <w:r w:rsidR="00775165">
        <w:t xml:space="preserve">2 billion </w:t>
      </w:r>
      <w:r w:rsidR="00814BD5">
        <w:t xml:space="preserve">($1.0 billion in 2019), </w:t>
      </w:r>
      <w:r w:rsidR="00E57703">
        <w:t>an increase of 12</w:t>
      </w:r>
      <w:r>
        <w:t xml:space="preserve"> per cent</w:t>
      </w:r>
      <w:r w:rsidR="00E57703">
        <w:t xml:space="preserve">, </w:t>
      </w:r>
      <w:r>
        <w:t xml:space="preserve">while </w:t>
      </w:r>
      <w:r w:rsidR="00E57703">
        <w:t xml:space="preserve">ASHI </w:t>
      </w:r>
      <w:r>
        <w:t xml:space="preserve">investments increased by </w:t>
      </w:r>
      <w:r w:rsidR="00DE0FE7">
        <w:t>18</w:t>
      </w:r>
      <w:r w:rsidR="008264C8">
        <w:t xml:space="preserve"> per cent</w:t>
      </w:r>
      <w:r>
        <w:t xml:space="preserve"> to $</w:t>
      </w:r>
      <w:r w:rsidR="00DE0FE7">
        <w:t>918</w:t>
      </w:r>
      <w:r>
        <w:t xml:space="preserve"> million. This resulted in a funding position of </w:t>
      </w:r>
      <w:r w:rsidR="00DE0FE7">
        <w:t>78</w:t>
      </w:r>
      <w:r w:rsidR="008264C8">
        <w:t xml:space="preserve"> per cent</w:t>
      </w:r>
      <w:r w:rsidR="00DE0FE7">
        <w:t xml:space="preserve"> (2019: 74 per cent),</w:t>
      </w:r>
      <w:r>
        <w:t xml:space="preserve"> based on a 15-year ASHI funding strategy.</w:t>
      </w:r>
      <w:r w:rsidR="00E67DFF">
        <w:t xml:space="preserve"> </w:t>
      </w:r>
      <w:r w:rsidR="00E67DFF" w:rsidRPr="00E67DFF">
        <w:t>The growth in the ASHI liability is mostly attributable to the year-over-year decrease in interest rates (discount rate) which increased the liability as per the actuarial assessment.</w:t>
      </w:r>
    </w:p>
    <w:p w14:paraId="1ACF797C" w14:textId="2FBAD179" w:rsidR="00145A70" w:rsidRPr="00AF3FD4" w:rsidRDefault="00145A70" w:rsidP="00AF3FD4">
      <w:pPr>
        <w:pStyle w:val="ListParagraph"/>
        <w:numPr>
          <w:ilvl w:val="0"/>
          <w:numId w:val="5"/>
        </w:numPr>
        <w:spacing w:before="240" w:after="240" w:line="240" w:lineRule="auto"/>
        <w:ind w:right="1267"/>
        <w:contextualSpacing w:val="0"/>
        <w:jc w:val="both"/>
      </w:pPr>
      <w:r w:rsidRPr="00AF3FD4">
        <w:t>UNDP changed its asset capitalization threshold for property, plant</w:t>
      </w:r>
      <w:r w:rsidR="008E139C" w:rsidRPr="00AF3FD4">
        <w:t>,</w:t>
      </w:r>
      <w:r w:rsidRPr="00AF3FD4">
        <w:t xml:space="preserve"> and equipment from $1,500 to $5,000 per unit. This change delivers efficiencies in the administration of these assets. This accounting change affected 18,066 assets and resulted in a decrease in the overall net book value of property, plant, and equipment from $150 million to $12</w:t>
      </w:r>
      <w:r w:rsidR="00B32A72" w:rsidRPr="00AF3FD4">
        <w:t>9</w:t>
      </w:r>
      <w:r w:rsidRPr="00AF3FD4">
        <w:t xml:space="preserve"> million.</w:t>
      </w:r>
    </w:p>
    <w:p w14:paraId="05A3E9AA" w14:textId="2B0EFD0E" w:rsidR="000D6C37" w:rsidRPr="00837D3D" w:rsidRDefault="00982DCB" w:rsidP="00AF3FD4">
      <w:pPr>
        <w:pStyle w:val="ListParagraph"/>
        <w:numPr>
          <w:ilvl w:val="0"/>
          <w:numId w:val="5"/>
        </w:numPr>
        <w:spacing w:before="240" w:after="240" w:line="240" w:lineRule="auto"/>
        <w:ind w:right="1267"/>
        <w:contextualSpacing w:val="0"/>
        <w:jc w:val="both"/>
      </w:pPr>
      <w:r>
        <w:t xml:space="preserve">Foreign Exchange gains contributed $23 million (2019: $1 million) to core resources, partly attributable to higher volatility. Volatility has continued to decline from its peak during the early stages of the pandemic, and the large gain recorded in 2020 is not anticipated going forward.  </w:t>
      </w:r>
      <w:bookmarkStart w:id="23" w:name="_Hlk45028216"/>
    </w:p>
    <w:bookmarkEnd w:id="23"/>
    <w:p w14:paraId="442358FC" w14:textId="299C5E1E" w:rsidR="00065220" w:rsidRPr="000E57AE" w:rsidRDefault="00F21C31" w:rsidP="00897B9D">
      <w:pPr>
        <w:pStyle w:val="ListParagraph"/>
        <w:numPr>
          <w:ilvl w:val="0"/>
          <w:numId w:val="5"/>
        </w:numPr>
        <w:spacing w:before="240" w:after="240" w:line="240" w:lineRule="auto"/>
        <w:ind w:right="1267"/>
        <w:contextualSpacing w:val="0"/>
        <w:jc w:val="both"/>
      </w:pPr>
      <w:r w:rsidRPr="000E57AE">
        <w:t xml:space="preserve">Figure </w:t>
      </w:r>
      <w:r w:rsidR="004D4DCC">
        <w:t>I</w:t>
      </w:r>
      <w:r w:rsidR="00442030">
        <w:t xml:space="preserve"> (</w:t>
      </w:r>
      <w:r w:rsidR="004D4DCC">
        <w:t>a</w:t>
      </w:r>
      <w:r w:rsidR="00442030">
        <w:t>)</w:t>
      </w:r>
      <w:r w:rsidR="005569A9">
        <w:t xml:space="preserve"> </w:t>
      </w:r>
      <w:r>
        <w:t>-</w:t>
      </w:r>
      <w:r w:rsidR="004D4DCC">
        <w:t>I</w:t>
      </w:r>
      <w:r w:rsidR="00442030">
        <w:t xml:space="preserve"> (</w:t>
      </w:r>
      <w:r w:rsidR="004D4DCC">
        <w:t>c</w:t>
      </w:r>
      <w:r w:rsidR="00442030">
        <w:t>)</w:t>
      </w:r>
      <w:r w:rsidRPr="000E57AE">
        <w:t xml:space="preserve"> illustrates the trend of total revenue and total expenses.</w:t>
      </w:r>
      <w:r w:rsidR="00065220" w:rsidRPr="000E57AE" w:rsidDel="00065220">
        <w:t xml:space="preserve"> </w:t>
      </w:r>
    </w:p>
    <w:p w14:paraId="62ED00D7" w14:textId="0CFD9AA9" w:rsidR="0051378B" w:rsidRDefault="00837D3D" w:rsidP="00BA3F6E">
      <w:pPr>
        <w:pStyle w:val="SingleTxt"/>
        <w:keepNext/>
        <w:tabs>
          <w:tab w:val="clear" w:pos="1267"/>
          <w:tab w:val="clear" w:pos="1742"/>
          <w:tab w:val="left" w:pos="1530"/>
        </w:tabs>
        <w:ind w:firstLine="259"/>
        <w:jc w:val="center"/>
        <w:rPr>
          <w:b/>
          <w:bCs/>
        </w:rPr>
      </w:pPr>
      <w:r w:rsidRPr="00B664C6">
        <w:rPr>
          <w:noProof/>
        </w:rPr>
        <w:drawing>
          <wp:anchor distT="0" distB="0" distL="114300" distR="114300" simplePos="0" relativeHeight="251658240" behindDoc="1" locked="0" layoutInCell="1" allowOverlap="1" wp14:anchorId="24BFFD14" wp14:editId="178E0CB5">
            <wp:simplePos x="0" y="0"/>
            <wp:positionH relativeFrom="margin">
              <wp:align>center</wp:align>
            </wp:positionH>
            <wp:positionV relativeFrom="paragraph">
              <wp:posOffset>209550</wp:posOffset>
            </wp:positionV>
            <wp:extent cx="5619752" cy="2553335"/>
            <wp:effectExtent l="0" t="0" r="0" b="0"/>
            <wp:wrapTight wrapText="bothSides">
              <wp:wrapPolygon edited="0">
                <wp:start x="0" y="0"/>
                <wp:lineTo x="0" y="21433"/>
                <wp:lineTo x="21527" y="21433"/>
                <wp:lineTo x="21527" y="0"/>
                <wp:lineTo x="0" y="0"/>
              </wp:wrapPolygon>
            </wp:wrapTight>
            <wp:docPr id="10272582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7">
                      <a:extLst>
                        <a:ext uri="{28A0092B-C50C-407E-A947-70E740481C1C}">
                          <a14:useLocalDpi xmlns:a14="http://schemas.microsoft.com/office/drawing/2010/main" val="0"/>
                        </a:ext>
                      </a:extLst>
                    </a:blip>
                    <a:stretch>
                      <a:fillRect/>
                    </a:stretch>
                  </pic:blipFill>
                  <pic:spPr>
                    <a:xfrm>
                      <a:off x="0" y="0"/>
                      <a:ext cx="5619752" cy="2553335"/>
                    </a:xfrm>
                    <a:prstGeom prst="rect">
                      <a:avLst/>
                    </a:prstGeom>
                  </pic:spPr>
                </pic:pic>
              </a:graphicData>
            </a:graphic>
            <wp14:sizeRelH relativeFrom="page">
              <wp14:pctWidth>0</wp14:pctWidth>
            </wp14:sizeRelH>
            <wp14:sizeRelV relativeFrom="page">
              <wp14:pctHeight>0</wp14:pctHeight>
            </wp14:sizeRelV>
          </wp:anchor>
        </w:drawing>
      </w:r>
      <w:r w:rsidR="5AB731AC" w:rsidRPr="00B664C6">
        <w:rPr>
          <w:b/>
          <w:bCs/>
        </w:rPr>
        <w:t xml:space="preserve">Figure </w:t>
      </w:r>
      <w:r w:rsidR="0C6E9214" w:rsidRPr="00B664C6">
        <w:rPr>
          <w:b/>
          <w:bCs/>
        </w:rPr>
        <w:t>I</w:t>
      </w:r>
      <w:r w:rsidR="1CCDB147" w:rsidRPr="00B664C6">
        <w:rPr>
          <w:b/>
          <w:bCs/>
        </w:rPr>
        <w:t xml:space="preserve"> (</w:t>
      </w:r>
      <w:r w:rsidR="0C6E9214" w:rsidRPr="00B664C6">
        <w:rPr>
          <w:b/>
          <w:bCs/>
        </w:rPr>
        <w:t>a</w:t>
      </w:r>
      <w:r w:rsidR="1CCDB147" w:rsidRPr="00B664C6">
        <w:rPr>
          <w:b/>
          <w:bCs/>
        </w:rPr>
        <w:t>)</w:t>
      </w:r>
      <w:r w:rsidR="5563B11C" w:rsidRPr="00B664C6">
        <w:t>.</w:t>
      </w:r>
      <w:r w:rsidR="43C7FF81" w:rsidRPr="00B664C6">
        <w:t xml:space="preserve"> </w:t>
      </w:r>
      <w:r w:rsidR="5EA9AB55" w:rsidRPr="00B664C6">
        <w:rPr>
          <w:b/>
          <w:bCs/>
        </w:rPr>
        <w:t xml:space="preserve">UNDP </w:t>
      </w:r>
      <w:r w:rsidR="588618F6" w:rsidRPr="00B664C6">
        <w:rPr>
          <w:b/>
          <w:bCs/>
        </w:rPr>
        <w:t>total revenue trend</w:t>
      </w:r>
    </w:p>
    <w:p w14:paraId="368D4D1D" w14:textId="52BA8643" w:rsidR="00CA7870" w:rsidRDefault="00CA7870" w:rsidP="003C31AA">
      <w:pPr>
        <w:pStyle w:val="SingleTxt"/>
        <w:tabs>
          <w:tab w:val="clear" w:pos="1267"/>
          <w:tab w:val="clear" w:pos="1742"/>
          <w:tab w:val="left" w:pos="1530"/>
        </w:tabs>
        <w:ind w:firstLine="259"/>
        <w:jc w:val="center"/>
        <w:rPr>
          <w:b/>
        </w:rPr>
      </w:pPr>
    </w:p>
    <w:p w14:paraId="6DD4E435" w14:textId="5D74B3F8" w:rsidR="001E05F1" w:rsidRDefault="00837D3D" w:rsidP="006E5E37">
      <w:pPr>
        <w:pStyle w:val="SingleTxt"/>
        <w:keepNext/>
        <w:tabs>
          <w:tab w:val="clear" w:pos="1267"/>
          <w:tab w:val="clear" w:pos="1742"/>
          <w:tab w:val="left" w:pos="1530"/>
        </w:tabs>
        <w:ind w:left="0" w:firstLine="1428"/>
        <w:jc w:val="center"/>
        <w:rPr>
          <w:b/>
          <w:bCs/>
        </w:rPr>
      </w:pPr>
      <w:r>
        <w:rPr>
          <w:noProof/>
        </w:rPr>
        <w:lastRenderedPageBreak/>
        <w:drawing>
          <wp:anchor distT="0" distB="0" distL="114300" distR="114300" simplePos="0" relativeHeight="251658241" behindDoc="1" locked="0" layoutInCell="1" allowOverlap="1" wp14:anchorId="74112722" wp14:editId="5E0B5BFB">
            <wp:simplePos x="0" y="0"/>
            <wp:positionH relativeFrom="margin">
              <wp:align>center</wp:align>
            </wp:positionH>
            <wp:positionV relativeFrom="paragraph">
              <wp:posOffset>200025</wp:posOffset>
            </wp:positionV>
            <wp:extent cx="5572125" cy="2486025"/>
            <wp:effectExtent l="0" t="0" r="9525" b="9525"/>
            <wp:wrapTight wrapText="bothSides">
              <wp:wrapPolygon edited="0">
                <wp:start x="0" y="0"/>
                <wp:lineTo x="0" y="21517"/>
                <wp:lineTo x="21563" y="21517"/>
                <wp:lineTo x="21563" y="0"/>
                <wp:lineTo x="0" y="0"/>
              </wp:wrapPolygon>
            </wp:wrapTight>
            <wp:docPr id="1556755120" name="Picture 1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8">
                      <a:extLst>
                        <a:ext uri="{28A0092B-C50C-407E-A947-70E740481C1C}">
                          <a14:useLocalDpi xmlns:a14="http://schemas.microsoft.com/office/drawing/2010/main" val="0"/>
                        </a:ext>
                      </a:extLst>
                    </a:blip>
                    <a:stretch>
                      <a:fillRect/>
                    </a:stretch>
                  </pic:blipFill>
                  <pic:spPr>
                    <a:xfrm>
                      <a:off x="0" y="0"/>
                      <a:ext cx="5572125" cy="2486025"/>
                    </a:xfrm>
                    <a:prstGeom prst="rect">
                      <a:avLst/>
                    </a:prstGeom>
                  </pic:spPr>
                </pic:pic>
              </a:graphicData>
            </a:graphic>
            <wp14:sizeRelH relativeFrom="page">
              <wp14:pctWidth>0</wp14:pctWidth>
            </wp14:sizeRelH>
            <wp14:sizeRelV relativeFrom="page">
              <wp14:pctHeight>0</wp14:pctHeight>
            </wp14:sizeRelV>
          </wp:anchor>
        </w:drawing>
      </w:r>
      <w:r w:rsidR="5AB731AC" w:rsidRPr="5D788B90">
        <w:rPr>
          <w:b/>
          <w:bCs/>
        </w:rPr>
        <w:t xml:space="preserve">Figure </w:t>
      </w:r>
      <w:r w:rsidR="0C6E9214">
        <w:rPr>
          <w:b/>
          <w:bCs/>
        </w:rPr>
        <w:t>I</w:t>
      </w:r>
      <w:r w:rsidR="1CCDB147">
        <w:rPr>
          <w:b/>
          <w:bCs/>
        </w:rPr>
        <w:t xml:space="preserve"> (</w:t>
      </w:r>
      <w:r w:rsidR="0C6E9214">
        <w:rPr>
          <w:b/>
          <w:bCs/>
        </w:rPr>
        <w:t>b</w:t>
      </w:r>
      <w:r w:rsidR="1CCDB147">
        <w:rPr>
          <w:b/>
          <w:bCs/>
        </w:rPr>
        <w:t>)</w:t>
      </w:r>
      <w:r w:rsidR="5563B11C">
        <w:rPr>
          <w:b/>
          <w:bCs/>
        </w:rPr>
        <w:t>.</w:t>
      </w:r>
      <w:r w:rsidR="588618F6" w:rsidRPr="5D788B90">
        <w:rPr>
          <w:b/>
          <w:bCs/>
        </w:rPr>
        <w:t xml:space="preserve"> UNDP total expenses tre</w:t>
      </w:r>
      <w:r w:rsidR="40B1F630" w:rsidRPr="5D788B90">
        <w:rPr>
          <w:b/>
          <w:bCs/>
        </w:rPr>
        <w:t>nd</w:t>
      </w:r>
    </w:p>
    <w:p w14:paraId="1B43C383" w14:textId="693D0A07" w:rsidR="006C0436" w:rsidRPr="000E57AE" w:rsidRDefault="00272195" w:rsidP="003F5F37">
      <w:pPr>
        <w:pStyle w:val="SingleTxt"/>
        <w:keepNext/>
        <w:tabs>
          <w:tab w:val="clear" w:pos="1267"/>
          <w:tab w:val="clear" w:pos="1742"/>
          <w:tab w:val="clear" w:pos="2218"/>
        </w:tabs>
        <w:ind w:left="1440"/>
        <w:jc w:val="left"/>
        <w:rPr>
          <w:sz w:val="14"/>
          <w:szCs w:val="14"/>
        </w:rPr>
      </w:pPr>
      <w:r>
        <w:rPr>
          <w:sz w:val="14"/>
          <w:szCs w:val="14"/>
        </w:rPr>
        <w:t>Note: Non-programme e</w:t>
      </w:r>
      <w:r w:rsidR="00A23414" w:rsidRPr="000E57AE">
        <w:rPr>
          <w:sz w:val="14"/>
          <w:szCs w:val="14"/>
        </w:rPr>
        <w:t xml:space="preserve">xpenses consist of </w:t>
      </w:r>
      <w:r w:rsidR="00394277" w:rsidRPr="000E57AE">
        <w:rPr>
          <w:sz w:val="14"/>
          <w:szCs w:val="14"/>
        </w:rPr>
        <w:t>development effectiveness, United Nations development coordination, management and special purpose classifications</w:t>
      </w:r>
      <w:r w:rsidR="002E10B5" w:rsidRPr="000E57AE">
        <w:rPr>
          <w:sz w:val="14"/>
          <w:szCs w:val="14"/>
        </w:rPr>
        <w:t>.</w:t>
      </w:r>
    </w:p>
    <w:p w14:paraId="53A5438B" w14:textId="41234949" w:rsidR="00E44330" w:rsidRDefault="00E44330">
      <w:pPr>
        <w:suppressAutoHyphens w:val="0"/>
        <w:spacing w:line="240" w:lineRule="auto"/>
      </w:pPr>
    </w:p>
    <w:p w14:paraId="3FD4F30C" w14:textId="455EFDAC" w:rsidR="00CC7EA4" w:rsidRPr="000E57AE" w:rsidRDefault="00F27DB5" w:rsidP="003F5F37">
      <w:pPr>
        <w:keepNext/>
        <w:tabs>
          <w:tab w:val="left" w:pos="1530"/>
        </w:tabs>
        <w:suppressAutoHyphens w:val="0"/>
        <w:spacing w:line="240" w:lineRule="auto"/>
        <w:rPr>
          <w:b/>
        </w:rPr>
      </w:pPr>
      <w:r>
        <w:tab/>
      </w:r>
      <w:bookmarkStart w:id="24" w:name="_Hlk10826233"/>
      <w:r w:rsidR="006E5E37">
        <w:tab/>
      </w:r>
      <w:r w:rsidR="006E5E37">
        <w:tab/>
      </w:r>
      <w:r w:rsidR="00CC7EA4" w:rsidRPr="0031223C">
        <w:rPr>
          <w:b/>
        </w:rPr>
        <w:t xml:space="preserve">Figure </w:t>
      </w:r>
      <w:r w:rsidR="004D4DCC" w:rsidRPr="0031223C">
        <w:rPr>
          <w:b/>
        </w:rPr>
        <w:t>I</w:t>
      </w:r>
      <w:r w:rsidR="00442030" w:rsidRPr="0031223C">
        <w:rPr>
          <w:b/>
        </w:rPr>
        <w:t xml:space="preserve"> (</w:t>
      </w:r>
      <w:r w:rsidR="001E05F1" w:rsidRPr="0031223C">
        <w:rPr>
          <w:b/>
        </w:rPr>
        <w:t>c</w:t>
      </w:r>
      <w:r w:rsidR="00442030" w:rsidRPr="0031223C">
        <w:rPr>
          <w:b/>
        </w:rPr>
        <w:t>)</w:t>
      </w:r>
      <w:r w:rsidR="00CC7EA4" w:rsidRPr="0031223C">
        <w:rPr>
          <w:b/>
        </w:rPr>
        <w:t xml:space="preserve">. </w:t>
      </w:r>
      <w:r w:rsidR="00FC1FDA" w:rsidRPr="0031223C">
        <w:rPr>
          <w:b/>
        </w:rPr>
        <w:t xml:space="preserve"> </w:t>
      </w:r>
      <w:r w:rsidR="004C4202" w:rsidRPr="0031223C">
        <w:rPr>
          <w:b/>
        </w:rPr>
        <w:t xml:space="preserve"> </w:t>
      </w:r>
      <w:r w:rsidR="003C7F38" w:rsidRPr="0031223C">
        <w:rPr>
          <w:b/>
        </w:rPr>
        <w:t>Total r</w:t>
      </w:r>
      <w:r w:rsidR="00CC7EA4" w:rsidRPr="0031223C">
        <w:rPr>
          <w:b/>
        </w:rPr>
        <w:t>evenue and expenses</w:t>
      </w:r>
      <w:r w:rsidR="00887D87" w:rsidRPr="0031223C">
        <w:rPr>
          <w:b/>
        </w:rPr>
        <w:t xml:space="preserve"> trend</w:t>
      </w:r>
      <w:r w:rsidR="00CC7EA4" w:rsidRPr="0031223C">
        <w:rPr>
          <w:b/>
        </w:rPr>
        <w:t>, 20</w:t>
      </w:r>
      <w:r w:rsidR="0053446A" w:rsidRPr="0031223C">
        <w:rPr>
          <w:b/>
        </w:rPr>
        <w:t>0</w:t>
      </w:r>
      <w:r w:rsidR="00090F2D" w:rsidRPr="0031223C">
        <w:rPr>
          <w:b/>
        </w:rPr>
        <w:t>9</w:t>
      </w:r>
      <w:r w:rsidR="00CC7EA4" w:rsidRPr="0031223C">
        <w:rPr>
          <w:b/>
        </w:rPr>
        <w:t>-20</w:t>
      </w:r>
      <w:r w:rsidR="00351A74" w:rsidRPr="0031223C">
        <w:rPr>
          <w:b/>
        </w:rPr>
        <w:t>20</w:t>
      </w:r>
    </w:p>
    <w:bookmarkEnd w:id="24"/>
    <w:p w14:paraId="677CFC7B" w14:textId="172CA128" w:rsidR="00CC7EA4" w:rsidRDefault="00837D3D" w:rsidP="003F5F37">
      <w:pPr>
        <w:keepNext/>
        <w:tabs>
          <w:tab w:val="left" w:pos="1260"/>
          <w:tab w:val="left" w:pos="1530"/>
        </w:tabs>
        <w:suppressAutoHyphens w:val="0"/>
        <w:spacing w:line="240" w:lineRule="auto"/>
        <w:jc w:val="center"/>
        <w:rPr>
          <w:i/>
        </w:rPr>
      </w:pPr>
      <w:r>
        <w:rPr>
          <w:noProof/>
        </w:rPr>
        <w:drawing>
          <wp:anchor distT="0" distB="0" distL="114300" distR="114300" simplePos="0" relativeHeight="251658242" behindDoc="1" locked="0" layoutInCell="1" allowOverlap="1" wp14:anchorId="6AF03C85" wp14:editId="6E22F4FF">
            <wp:simplePos x="0" y="0"/>
            <wp:positionH relativeFrom="margin">
              <wp:align>center</wp:align>
            </wp:positionH>
            <wp:positionV relativeFrom="paragraph">
              <wp:posOffset>234972</wp:posOffset>
            </wp:positionV>
            <wp:extent cx="5895340" cy="3105150"/>
            <wp:effectExtent l="0" t="0" r="0" b="0"/>
            <wp:wrapTight wrapText="bothSides">
              <wp:wrapPolygon edited="0">
                <wp:start x="0" y="0"/>
                <wp:lineTo x="0" y="21467"/>
                <wp:lineTo x="21498" y="21467"/>
                <wp:lineTo x="21498" y="0"/>
                <wp:lineTo x="0" y="0"/>
              </wp:wrapPolygon>
            </wp:wrapTight>
            <wp:docPr id="48870014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9">
                      <a:extLst>
                        <a:ext uri="{28A0092B-C50C-407E-A947-70E740481C1C}">
                          <a14:useLocalDpi xmlns:a14="http://schemas.microsoft.com/office/drawing/2010/main" val="0"/>
                        </a:ext>
                      </a:extLst>
                    </a:blip>
                    <a:stretch>
                      <a:fillRect/>
                    </a:stretch>
                  </pic:blipFill>
                  <pic:spPr>
                    <a:xfrm>
                      <a:off x="0" y="0"/>
                      <a:ext cx="5895340" cy="3105150"/>
                    </a:xfrm>
                    <a:prstGeom prst="rect">
                      <a:avLst/>
                    </a:prstGeom>
                  </pic:spPr>
                </pic:pic>
              </a:graphicData>
            </a:graphic>
            <wp14:sizeRelH relativeFrom="page">
              <wp14:pctWidth>0</wp14:pctWidth>
            </wp14:sizeRelH>
            <wp14:sizeRelV relativeFrom="page">
              <wp14:pctHeight>0</wp14:pctHeight>
            </wp14:sizeRelV>
          </wp:anchor>
        </w:drawing>
      </w:r>
      <w:r w:rsidR="00CC7EA4" w:rsidRPr="000E57AE">
        <w:rPr>
          <w:b/>
        </w:rPr>
        <w:t xml:space="preserve"> </w:t>
      </w:r>
      <w:r w:rsidR="00CC7EA4" w:rsidRPr="00E44330">
        <w:rPr>
          <w:i/>
        </w:rPr>
        <w:t xml:space="preserve">(in millions of </w:t>
      </w:r>
      <w:r w:rsidR="00E44330">
        <w:rPr>
          <w:i/>
        </w:rPr>
        <w:t xml:space="preserve">United States </w:t>
      </w:r>
      <w:r w:rsidR="00CC7EA4" w:rsidRPr="00E44330">
        <w:rPr>
          <w:i/>
        </w:rPr>
        <w:t>dollars)</w:t>
      </w:r>
    </w:p>
    <w:p w14:paraId="6E99A50D" w14:textId="2FEEA3EA" w:rsidR="001955C8" w:rsidRDefault="001955C8" w:rsidP="00CC7EA4">
      <w:pPr>
        <w:pStyle w:val="SingleTxt"/>
        <w:spacing w:before="60" w:after="0" w:line="120" w:lineRule="exact"/>
        <w:rPr>
          <w:i/>
          <w:sz w:val="14"/>
          <w:szCs w:val="14"/>
        </w:rPr>
      </w:pPr>
    </w:p>
    <w:p w14:paraId="5FC8C3F9" w14:textId="64D8CA93" w:rsidR="00CC7EA4" w:rsidRDefault="00A32A7F" w:rsidP="00CC7EA4">
      <w:pPr>
        <w:pStyle w:val="SingleTxt"/>
        <w:spacing w:before="60" w:after="0" w:line="120" w:lineRule="exact"/>
        <w:rPr>
          <w:color w:val="333333"/>
          <w:sz w:val="18"/>
          <w:szCs w:val="18"/>
          <w:shd w:val="clear" w:color="auto" w:fill="F5F5F5"/>
        </w:rPr>
      </w:pPr>
      <w:r w:rsidRPr="000E57AE">
        <w:rPr>
          <w:i/>
          <w:sz w:val="14"/>
          <w:szCs w:val="14"/>
        </w:rPr>
        <w:tab/>
      </w:r>
      <w:r w:rsidR="00CC7EA4" w:rsidRPr="005F5E73">
        <w:rPr>
          <w:i/>
          <w:sz w:val="18"/>
          <w:szCs w:val="18"/>
        </w:rPr>
        <w:t>Note:</w:t>
      </w:r>
      <w:r w:rsidR="00CC7EA4" w:rsidRPr="005F5E73">
        <w:rPr>
          <w:sz w:val="18"/>
          <w:szCs w:val="18"/>
        </w:rPr>
        <w:t xml:space="preserve"> IPSAS=</w:t>
      </w:r>
      <w:r w:rsidR="00CC7EA4" w:rsidRPr="005F5E73">
        <w:rPr>
          <w:color w:val="333333"/>
          <w:sz w:val="18"/>
          <w:szCs w:val="18"/>
          <w:shd w:val="clear" w:color="auto" w:fill="F5F5F5"/>
        </w:rPr>
        <w:t>International Public Sector Accounting Standards</w:t>
      </w:r>
    </w:p>
    <w:p w14:paraId="6BE067E1" w14:textId="77777777" w:rsidR="003C31AA" w:rsidRDefault="003C31AA" w:rsidP="00CC7EA4">
      <w:pPr>
        <w:pStyle w:val="SingleTxt"/>
        <w:spacing w:before="60" w:after="0" w:line="120" w:lineRule="exact"/>
        <w:rPr>
          <w:color w:val="333333"/>
          <w:sz w:val="18"/>
          <w:szCs w:val="18"/>
          <w:shd w:val="clear" w:color="auto" w:fill="F5F5F5"/>
        </w:rPr>
      </w:pPr>
    </w:p>
    <w:p w14:paraId="0D24F77F" w14:textId="0D34C2F0" w:rsidR="003C31AA" w:rsidRDefault="003C31AA">
      <w:pPr>
        <w:suppressAutoHyphens w:val="0"/>
        <w:spacing w:line="240" w:lineRule="auto"/>
        <w:rPr>
          <w:i/>
          <w:sz w:val="18"/>
          <w:szCs w:val="18"/>
        </w:rPr>
      </w:pPr>
      <w:r>
        <w:rPr>
          <w:i/>
          <w:sz w:val="18"/>
          <w:szCs w:val="18"/>
        </w:rPr>
        <w:br w:type="page"/>
      </w:r>
    </w:p>
    <w:p w14:paraId="5CC01D42" w14:textId="4FDCE3F1" w:rsidR="003D3B1E" w:rsidRPr="000E57AE" w:rsidRDefault="003D3B1E" w:rsidP="005F648C">
      <w:pPr>
        <w:pStyle w:val="HCh"/>
        <w:numPr>
          <w:ilvl w:val="0"/>
          <w:numId w:val="13"/>
        </w:numPr>
        <w:tabs>
          <w:tab w:val="clear" w:pos="1267"/>
          <w:tab w:val="left" w:pos="1260"/>
        </w:tabs>
        <w:spacing w:before="360" w:after="240" w:line="240" w:lineRule="auto"/>
        <w:ind w:right="1267"/>
      </w:pPr>
      <w:bookmarkStart w:id="25" w:name="_Toc75466830"/>
      <w:r w:rsidRPr="000E57AE">
        <w:lastRenderedPageBreak/>
        <w:t xml:space="preserve">Financial </w:t>
      </w:r>
      <w:r w:rsidR="00E82350" w:rsidRPr="000E57AE">
        <w:t>h</w:t>
      </w:r>
      <w:r w:rsidRPr="000E57AE">
        <w:t>ighlights for 20</w:t>
      </w:r>
      <w:r w:rsidR="00ED4140">
        <w:t>20</w:t>
      </w:r>
      <w:bookmarkEnd w:id="25"/>
    </w:p>
    <w:p w14:paraId="1D6C1539" w14:textId="3301024A" w:rsidR="003D3B1E" w:rsidRPr="00B664C6" w:rsidRDefault="003D3B1E" w:rsidP="009E5F63">
      <w:pPr>
        <w:pStyle w:val="H1"/>
        <w:numPr>
          <w:ilvl w:val="1"/>
          <w:numId w:val="6"/>
        </w:numPr>
        <w:tabs>
          <w:tab w:val="clear" w:pos="1022"/>
          <w:tab w:val="clear" w:pos="1742"/>
          <w:tab w:val="right" w:pos="1440"/>
          <w:tab w:val="left" w:pos="1800"/>
        </w:tabs>
        <w:spacing w:before="240" w:after="240" w:line="240" w:lineRule="auto"/>
        <w:ind w:left="1152" w:right="0"/>
        <w:outlineLvl w:val="1"/>
      </w:pPr>
      <w:bookmarkStart w:id="26" w:name="_Toc39596151"/>
      <w:bookmarkStart w:id="27" w:name="_Toc39596195"/>
      <w:bookmarkStart w:id="28" w:name="_Toc39596239"/>
      <w:bookmarkStart w:id="29" w:name="_Toc75466831"/>
      <w:bookmarkEnd w:id="26"/>
      <w:bookmarkEnd w:id="27"/>
      <w:bookmarkEnd w:id="28"/>
      <w:r w:rsidRPr="00B664C6">
        <w:t>Summary of UNDP financial situation</w:t>
      </w:r>
      <w:bookmarkEnd w:id="29"/>
      <w:r w:rsidRPr="00B664C6">
        <w:t xml:space="preserve"> </w:t>
      </w:r>
    </w:p>
    <w:p w14:paraId="0E73A800" w14:textId="5D0C5A27" w:rsidR="008C76BF" w:rsidRPr="00B664C6" w:rsidRDefault="006D630A" w:rsidP="008264C8">
      <w:pPr>
        <w:pStyle w:val="SingleTxt"/>
        <w:keepNext/>
        <w:spacing w:after="0"/>
        <w:jc w:val="center"/>
        <w:rPr>
          <w:b/>
          <w:sz w:val="22"/>
          <w:szCs w:val="22"/>
        </w:rPr>
      </w:pPr>
      <w:r w:rsidRPr="00B664C6">
        <w:rPr>
          <w:b/>
        </w:rPr>
        <w:t>Table 1.</w:t>
      </w:r>
      <w:r w:rsidR="002861BE" w:rsidRPr="00B664C6">
        <w:rPr>
          <w:b/>
        </w:rPr>
        <w:t xml:space="preserve"> </w:t>
      </w:r>
      <w:r w:rsidR="003E2000" w:rsidRPr="00B664C6">
        <w:rPr>
          <w:b/>
        </w:rPr>
        <w:t>UNDP financial situation, 20</w:t>
      </w:r>
      <w:r w:rsidR="00133FAF" w:rsidRPr="00B664C6">
        <w:rPr>
          <w:b/>
        </w:rPr>
        <w:t>19</w:t>
      </w:r>
      <w:r w:rsidR="00494E10" w:rsidRPr="00B664C6">
        <w:rPr>
          <w:b/>
        </w:rPr>
        <w:t>-</w:t>
      </w:r>
      <w:r w:rsidR="003E2000" w:rsidRPr="00B664C6">
        <w:rPr>
          <w:b/>
        </w:rPr>
        <w:t>20</w:t>
      </w:r>
      <w:bookmarkStart w:id="30" w:name="_Toc40281075"/>
      <w:bookmarkStart w:id="31" w:name="_Toc40281234"/>
      <w:bookmarkEnd w:id="30"/>
      <w:bookmarkEnd w:id="31"/>
      <w:r w:rsidR="00133FAF" w:rsidRPr="00B664C6">
        <w:rPr>
          <w:b/>
        </w:rPr>
        <w:t>20</w:t>
      </w:r>
    </w:p>
    <w:tbl>
      <w:tblPr>
        <w:tblStyle w:val="TableGrid"/>
        <w:tblpPr w:leftFromText="180" w:rightFromText="180" w:vertAnchor="text" w:horzAnchor="page" w:tblpX="1916" w:tblpY="55"/>
        <w:tblW w:w="8708" w:type="dxa"/>
        <w:tblLayout w:type="fixed"/>
        <w:tblCellMar>
          <w:top w:w="43" w:type="dxa"/>
          <w:left w:w="43" w:type="dxa"/>
          <w:bottom w:w="43" w:type="dxa"/>
          <w:right w:w="43" w:type="dxa"/>
        </w:tblCellMar>
        <w:tblLook w:val="04A0" w:firstRow="1" w:lastRow="0" w:firstColumn="1" w:lastColumn="0" w:noHBand="0" w:noVBand="1"/>
      </w:tblPr>
      <w:tblGrid>
        <w:gridCol w:w="2963"/>
        <w:gridCol w:w="1433"/>
        <w:gridCol w:w="1434"/>
        <w:gridCol w:w="1434"/>
        <w:gridCol w:w="1435"/>
        <w:gridCol w:w="9"/>
      </w:tblGrid>
      <w:tr w:rsidR="001A228F" w:rsidRPr="00B664C6" w14:paraId="35520FEF" w14:textId="70B6C5AB" w:rsidTr="00955997">
        <w:trPr>
          <w:gridAfter w:val="1"/>
          <w:wAfter w:w="9" w:type="dxa"/>
          <w:trHeight w:val="410"/>
        </w:trPr>
        <w:tc>
          <w:tcPr>
            <w:tcW w:w="2963" w:type="dxa"/>
            <w:tcBorders>
              <w:top w:val="nil"/>
              <w:left w:val="nil"/>
              <w:bottom w:val="single" w:sz="4" w:space="0" w:color="auto"/>
              <w:right w:val="nil"/>
            </w:tcBorders>
            <w:hideMark/>
          </w:tcPr>
          <w:p w14:paraId="551575D8" w14:textId="20735A0C" w:rsidR="001A228F" w:rsidRPr="00B664C6" w:rsidRDefault="001A228F" w:rsidP="009741B1">
            <w:pPr>
              <w:keepNext/>
              <w:rPr>
                <w:color w:val="000000"/>
                <w:spacing w:val="0"/>
                <w:w w:val="100"/>
                <w:kern w:val="0"/>
                <w:sz w:val="18"/>
                <w:szCs w:val="18"/>
                <w:lang w:val="en-US"/>
              </w:rPr>
            </w:pPr>
            <w:r w:rsidRPr="00B664C6">
              <w:rPr>
                <w:color w:val="000000"/>
                <w:spacing w:val="0"/>
                <w:w w:val="100"/>
                <w:kern w:val="0"/>
                <w:sz w:val="18"/>
                <w:szCs w:val="18"/>
                <w:lang w:val="en-US"/>
              </w:rPr>
              <w:t>(Millions of United States dollars)</w:t>
            </w:r>
            <w:bookmarkStart w:id="32" w:name="_Toc40281076"/>
            <w:bookmarkStart w:id="33" w:name="_Toc40281235"/>
            <w:bookmarkEnd w:id="32"/>
            <w:bookmarkEnd w:id="33"/>
          </w:p>
        </w:tc>
        <w:tc>
          <w:tcPr>
            <w:tcW w:w="1433" w:type="dxa"/>
            <w:tcBorders>
              <w:top w:val="nil"/>
              <w:left w:val="nil"/>
              <w:bottom w:val="single" w:sz="4" w:space="0" w:color="auto"/>
              <w:right w:val="nil"/>
            </w:tcBorders>
            <w:vAlign w:val="center"/>
            <w:hideMark/>
          </w:tcPr>
          <w:p w14:paraId="3356B975" w14:textId="4180404C" w:rsidR="001A228F" w:rsidRPr="00B664C6" w:rsidRDefault="004F0A43" w:rsidP="009741B1">
            <w:pPr>
              <w:keepNext/>
              <w:suppressAutoHyphens w:val="0"/>
              <w:spacing w:line="240" w:lineRule="auto"/>
              <w:jc w:val="center"/>
              <w:rPr>
                <w:b/>
                <w:bCs/>
                <w:i/>
                <w:iCs/>
                <w:color w:val="000000"/>
                <w:spacing w:val="0"/>
                <w:w w:val="100"/>
                <w:kern w:val="0"/>
                <w:sz w:val="18"/>
                <w:szCs w:val="18"/>
                <w:lang w:val="en-US"/>
              </w:rPr>
            </w:pPr>
            <w:bookmarkStart w:id="34" w:name="_Toc40281077"/>
            <w:bookmarkStart w:id="35" w:name="_Toc40281236"/>
            <w:bookmarkEnd w:id="34"/>
            <w:bookmarkEnd w:id="35"/>
            <w:r w:rsidRPr="00B664C6">
              <w:rPr>
                <w:b/>
                <w:bCs/>
                <w:i/>
                <w:iCs/>
                <w:color w:val="000000"/>
                <w:spacing w:val="0"/>
                <w:w w:val="100"/>
                <w:kern w:val="0"/>
                <w:sz w:val="18"/>
                <w:szCs w:val="18"/>
                <w:lang w:val="en-US"/>
              </w:rPr>
              <w:t>2020</w:t>
            </w:r>
            <w:bookmarkStart w:id="36" w:name="_Toc40281078"/>
            <w:bookmarkStart w:id="37" w:name="_Toc40281237"/>
            <w:bookmarkEnd w:id="36"/>
            <w:bookmarkEnd w:id="37"/>
          </w:p>
        </w:tc>
        <w:tc>
          <w:tcPr>
            <w:tcW w:w="1434" w:type="dxa"/>
            <w:tcBorders>
              <w:top w:val="nil"/>
              <w:left w:val="nil"/>
              <w:bottom w:val="single" w:sz="4" w:space="0" w:color="auto"/>
              <w:right w:val="nil"/>
            </w:tcBorders>
            <w:vAlign w:val="center"/>
          </w:tcPr>
          <w:p w14:paraId="21159D1D" w14:textId="3A42B65C" w:rsidR="00A87E6F" w:rsidRPr="00B664C6" w:rsidRDefault="004F0A43" w:rsidP="009741B1">
            <w:pPr>
              <w:keepNext/>
              <w:suppressAutoHyphens w:val="0"/>
              <w:spacing w:line="240" w:lineRule="auto"/>
              <w:jc w:val="center"/>
              <w:rPr>
                <w:b/>
                <w:bCs/>
                <w:i/>
                <w:iCs/>
                <w:color w:val="000000"/>
                <w:spacing w:val="0"/>
                <w:w w:val="100"/>
                <w:kern w:val="0"/>
                <w:sz w:val="18"/>
                <w:szCs w:val="18"/>
                <w:lang w:val="en-US"/>
              </w:rPr>
            </w:pPr>
            <w:bookmarkStart w:id="38" w:name="_Toc40281079"/>
            <w:bookmarkStart w:id="39" w:name="_Toc40281238"/>
            <w:bookmarkStart w:id="40" w:name="_Toc40281080"/>
            <w:bookmarkStart w:id="41" w:name="_Toc40281239"/>
            <w:bookmarkEnd w:id="38"/>
            <w:bookmarkEnd w:id="39"/>
            <w:bookmarkEnd w:id="40"/>
            <w:bookmarkEnd w:id="41"/>
            <w:r w:rsidRPr="00B664C6">
              <w:rPr>
                <w:b/>
                <w:bCs/>
                <w:i/>
                <w:iCs/>
                <w:color w:val="000000"/>
                <w:spacing w:val="0"/>
                <w:w w:val="100"/>
                <w:kern w:val="0"/>
                <w:sz w:val="18"/>
                <w:szCs w:val="18"/>
                <w:lang w:val="en-US"/>
              </w:rPr>
              <w:t>2019</w:t>
            </w:r>
          </w:p>
        </w:tc>
        <w:tc>
          <w:tcPr>
            <w:tcW w:w="1434" w:type="dxa"/>
            <w:tcBorders>
              <w:top w:val="nil"/>
              <w:left w:val="nil"/>
              <w:bottom w:val="single" w:sz="4" w:space="0" w:color="auto"/>
              <w:right w:val="nil"/>
            </w:tcBorders>
            <w:vAlign w:val="center"/>
            <w:hideMark/>
          </w:tcPr>
          <w:p w14:paraId="553932AE" w14:textId="3F26B5AB" w:rsidR="001A228F" w:rsidRPr="00B664C6" w:rsidRDefault="001A228F" w:rsidP="009741B1">
            <w:pPr>
              <w:keepNext/>
              <w:suppressAutoHyphens w:val="0"/>
              <w:spacing w:line="240" w:lineRule="auto"/>
              <w:jc w:val="center"/>
              <w:rPr>
                <w:color w:val="000000"/>
                <w:spacing w:val="0"/>
                <w:w w:val="100"/>
                <w:kern w:val="0"/>
                <w:sz w:val="18"/>
                <w:szCs w:val="18"/>
                <w:lang w:val="en-US"/>
              </w:rPr>
            </w:pPr>
            <w:r w:rsidRPr="00B664C6">
              <w:rPr>
                <w:color w:val="000000"/>
                <w:spacing w:val="0"/>
                <w:w w:val="100"/>
                <w:kern w:val="0"/>
                <w:sz w:val="18"/>
                <w:szCs w:val="18"/>
                <w:lang w:val="en-US"/>
              </w:rPr>
              <w:t>Increase/</w:t>
            </w:r>
            <w:r w:rsidRPr="00B664C6">
              <w:rPr>
                <w:color w:val="000000"/>
                <w:spacing w:val="0"/>
                <w:w w:val="100"/>
                <w:kern w:val="0"/>
                <w:sz w:val="18"/>
                <w:szCs w:val="18"/>
                <w:lang w:val="en-US"/>
              </w:rPr>
              <w:br/>
              <w:t>(</w:t>
            </w:r>
            <w:r w:rsidR="00CD3F51">
              <w:rPr>
                <w:color w:val="000000"/>
                <w:spacing w:val="0"/>
                <w:w w:val="100"/>
                <w:kern w:val="0"/>
                <w:sz w:val="18"/>
                <w:szCs w:val="18"/>
                <w:lang w:val="en-US"/>
              </w:rPr>
              <w:t>D</w:t>
            </w:r>
            <w:r w:rsidRPr="00B664C6">
              <w:rPr>
                <w:color w:val="000000"/>
                <w:spacing w:val="0"/>
                <w:w w:val="100"/>
                <w:kern w:val="0"/>
                <w:sz w:val="18"/>
                <w:szCs w:val="18"/>
                <w:lang w:val="en-US"/>
              </w:rPr>
              <w:t>ecrease)</w:t>
            </w:r>
            <w:bookmarkStart w:id="42" w:name="_Toc40281081"/>
            <w:bookmarkStart w:id="43" w:name="_Toc40281240"/>
            <w:bookmarkEnd w:id="42"/>
            <w:bookmarkEnd w:id="43"/>
          </w:p>
        </w:tc>
        <w:tc>
          <w:tcPr>
            <w:tcW w:w="1435" w:type="dxa"/>
            <w:tcBorders>
              <w:top w:val="nil"/>
              <w:left w:val="nil"/>
              <w:bottom w:val="single" w:sz="4" w:space="0" w:color="auto"/>
              <w:right w:val="nil"/>
            </w:tcBorders>
            <w:vAlign w:val="center"/>
            <w:hideMark/>
          </w:tcPr>
          <w:p w14:paraId="0E5A328D" w14:textId="5119B11A" w:rsidR="001A228F" w:rsidRPr="00B664C6" w:rsidRDefault="001A228F" w:rsidP="009741B1">
            <w:pPr>
              <w:keepNext/>
              <w:suppressAutoHyphens w:val="0"/>
              <w:spacing w:line="240" w:lineRule="auto"/>
              <w:jc w:val="center"/>
              <w:rPr>
                <w:color w:val="000000"/>
                <w:spacing w:val="0"/>
                <w:w w:val="100"/>
                <w:kern w:val="0"/>
                <w:sz w:val="18"/>
                <w:szCs w:val="18"/>
                <w:lang w:val="en-US"/>
              </w:rPr>
            </w:pPr>
            <w:r w:rsidRPr="00B664C6">
              <w:rPr>
                <w:color w:val="000000"/>
                <w:spacing w:val="0"/>
                <w:w w:val="100"/>
                <w:kern w:val="0"/>
                <w:sz w:val="18"/>
                <w:szCs w:val="18"/>
                <w:lang w:val="en-US"/>
              </w:rPr>
              <w:t>Percentage change</w:t>
            </w:r>
            <w:bookmarkStart w:id="44" w:name="_Toc40281082"/>
            <w:bookmarkStart w:id="45" w:name="_Toc40281241"/>
            <w:bookmarkEnd w:id="44"/>
            <w:bookmarkEnd w:id="45"/>
          </w:p>
        </w:tc>
        <w:bookmarkStart w:id="46" w:name="_Toc40281083"/>
        <w:bookmarkStart w:id="47" w:name="_Toc40281242"/>
        <w:bookmarkEnd w:id="46"/>
        <w:bookmarkEnd w:id="47"/>
      </w:tr>
      <w:tr w:rsidR="004F0A43" w:rsidRPr="00B664C6" w14:paraId="0B69FB41" w14:textId="6D19D131" w:rsidTr="00955997">
        <w:trPr>
          <w:gridAfter w:val="1"/>
          <w:wAfter w:w="9" w:type="dxa"/>
          <w:trHeight w:val="206"/>
        </w:trPr>
        <w:tc>
          <w:tcPr>
            <w:tcW w:w="2963" w:type="dxa"/>
            <w:tcBorders>
              <w:top w:val="single" w:sz="4" w:space="0" w:color="auto"/>
              <w:left w:val="nil"/>
              <w:bottom w:val="nil"/>
              <w:right w:val="nil"/>
            </w:tcBorders>
            <w:hideMark/>
          </w:tcPr>
          <w:p w14:paraId="283A0CF5" w14:textId="756CE5EC" w:rsidR="004F0A43" w:rsidRPr="00B664C6" w:rsidRDefault="004F0A43" w:rsidP="004F0A43">
            <w:pPr>
              <w:keepNext/>
              <w:suppressAutoHyphens w:val="0"/>
              <w:spacing w:line="240" w:lineRule="auto"/>
              <w:rPr>
                <w:b/>
                <w:bCs/>
                <w:color w:val="000000"/>
                <w:spacing w:val="0"/>
                <w:w w:val="100"/>
                <w:kern w:val="0"/>
                <w:sz w:val="18"/>
                <w:szCs w:val="18"/>
                <w:lang w:val="en-US"/>
              </w:rPr>
            </w:pPr>
            <w:r w:rsidRPr="00B664C6">
              <w:rPr>
                <w:b/>
                <w:bCs/>
                <w:color w:val="000000"/>
                <w:spacing w:val="0"/>
                <w:w w:val="100"/>
                <w:kern w:val="0"/>
                <w:sz w:val="18"/>
                <w:szCs w:val="18"/>
                <w:lang w:val="en-US"/>
              </w:rPr>
              <w:t>Revenue</w:t>
            </w:r>
            <w:r w:rsidRPr="00B664C6">
              <w:rPr>
                <w:b/>
                <w:bCs/>
                <w:color w:val="000000"/>
                <w:spacing w:val="0"/>
                <w:w w:val="100"/>
                <w:kern w:val="0"/>
                <w:sz w:val="18"/>
                <w:szCs w:val="18"/>
                <w:vertAlign w:val="superscript"/>
                <w:lang w:val="en-US"/>
              </w:rPr>
              <w:t xml:space="preserve"> </w:t>
            </w:r>
            <w:r w:rsidRPr="00B664C6">
              <w:rPr>
                <w:b/>
                <w:bCs/>
                <w:color w:val="000000"/>
                <w:spacing w:val="0"/>
                <w:w w:val="100"/>
                <w:kern w:val="0"/>
                <w:vertAlign w:val="superscript"/>
                <w:lang w:val="en-US"/>
              </w:rPr>
              <w:t>a</w:t>
            </w:r>
            <w:bookmarkStart w:id="48" w:name="_Toc40281084"/>
            <w:bookmarkStart w:id="49" w:name="_Toc40281243"/>
            <w:bookmarkEnd w:id="48"/>
            <w:bookmarkEnd w:id="49"/>
          </w:p>
        </w:tc>
        <w:tc>
          <w:tcPr>
            <w:tcW w:w="1433" w:type="dxa"/>
            <w:tcBorders>
              <w:top w:val="single" w:sz="4" w:space="0" w:color="auto"/>
              <w:left w:val="nil"/>
              <w:bottom w:val="nil"/>
              <w:right w:val="nil"/>
            </w:tcBorders>
          </w:tcPr>
          <w:p w14:paraId="560FD145" w14:textId="156FC83A" w:rsidR="004F0A43" w:rsidRPr="00B664C6" w:rsidRDefault="007C402B" w:rsidP="004F0A43">
            <w:pPr>
              <w:keepNext/>
              <w:suppressAutoHyphens w:val="0"/>
              <w:spacing w:line="240" w:lineRule="auto"/>
              <w:jc w:val="right"/>
              <w:rPr>
                <w:color w:val="000000"/>
                <w:spacing w:val="0"/>
                <w:w w:val="100"/>
                <w:kern w:val="0"/>
                <w:sz w:val="18"/>
                <w:szCs w:val="18"/>
                <w:lang w:val="en-US"/>
              </w:rPr>
            </w:pPr>
            <w:bookmarkStart w:id="50" w:name="_Toc40281085"/>
            <w:bookmarkStart w:id="51" w:name="_Toc40281244"/>
            <w:bookmarkEnd w:id="50"/>
            <w:bookmarkEnd w:id="51"/>
            <w:r w:rsidRPr="00B664C6">
              <w:rPr>
                <w:color w:val="000000"/>
                <w:spacing w:val="0"/>
                <w:w w:val="100"/>
                <w:kern w:val="0"/>
                <w:sz w:val="18"/>
                <w:szCs w:val="18"/>
                <w:lang w:val="en-US"/>
              </w:rPr>
              <w:t>6,</w:t>
            </w:r>
            <w:r w:rsidR="008564D7" w:rsidRPr="00B664C6">
              <w:rPr>
                <w:color w:val="000000"/>
                <w:spacing w:val="0"/>
                <w:w w:val="100"/>
                <w:kern w:val="0"/>
                <w:sz w:val="18"/>
                <w:szCs w:val="18"/>
                <w:lang w:val="en-US"/>
              </w:rPr>
              <w:t>618</w:t>
            </w:r>
            <w:bookmarkStart w:id="52" w:name="_Toc40281086"/>
            <w:bookmarkStart w:id="53" w:name="_Toc40281245"/>
            <w:bookmarkEnd w:id="52"/>
            <w:bookmarkEnd w:id="53"/>
          </w:p>
        </w:tc>
        <w:tc>
          <w:tcPr>
            <w:tcW w:w="1434" w:type="dxa"/>
            <w:tcBorders>
              <w:top w:val="single" w:sz="4" w:space="0" w:color="auto"/>
              <w:left w:val="nil"/>
              <w:bottom w:val="nil"/>
              <w:right w:val="nil"/>
            </w:tcBorders>
          </w:tcPr>
          <w:p w14:paraId="37DC1BBC" w14:textId="08EE433F" w:rsidR="004F0A43" w:rsidRPr="00B664C6" w:rsidRDefault="004F0A43" w:rsidP="004F0A43">
            <w:pPr>
              <w:keepNext/>
              <w:suppressAutoHyphens w:val="0"/>
              <w:spacing w:line="240" w:lineRule="auto"/>
              <w:jc w:val="right"/>
              <w:rPr>
                <w:color w:val="000000"/>
                <w:spacing w:val="0"/>
                <w:w w:val="100"/>
                <w:kern w:val="0"/>
                <w:sz w:val="18"/>
                <w:szCs w:val="18"/>
                <w:lang w:val="en-US"/>
              </w:rPr>
            </w:pPr>
            <w:bookmarkStart w:id="54" w:name="_Toc40281087"/>
            <w:bookmarkStart w:id="55" w:name="_Toc40281246"/>
            <w:bookmarkEnd w:id="54"/>
            <w:bookmarkEnd w:id="55"/>
            <w:r w:rsidRPr="00B664C6">
              <w:rPr>
                <w:color w:val="000000"/>
                <w:spacing w:val="0"/>
                <w:w w:val="100"/>
                <w:kern w:val="0"/>
                <w:sz w:val="18"/>
                <w:szCs w:val="18"/>
                <w:lang w:val="en-US"/>
              </w:rPr>
              <w:t>4,829</w:t>
            </w:r>
            <w:bookmarkStart w:id="56" w:name="_Toc40281088"/>
            <w:bookmarkStart w:id="57" w:name="_Toc40281247"/>
            <w:bookmarkEnd w:id="56"/>
            <w:bookmarkEnd w:id="57"/>
          </w:p>
        </w:tc>
        <w:tc>
          <w:tcPr>
            <w:tcW w:w="1434" w:type="dxa"/>
            <w:tcBorders>
              <w:top w:val="single" w:sz="4" w:space="0" w:color="auto"/>
              <w:left w:val="nil"/>
              <w:bottom w:val="nil"/>
              <w:right w:val="nil"/>
            </w:tcBorders>
            <w:noWrap/>
          </w:tcPr>
          <w:p w14:paraId="1220C2B5" w14:textId="66EF2532" w:rsidR="004F0A43" w:rsidRPr="00B664C6" w:rsidRDefault="00D96CE0" w:rsidP="004F0A43">
            <w:pPr>
              <w:keepNext/>
              <w:suppressAutoHyphens w:val="0"/>
              <w:spacing w:line="240" w:lineRule="auto"/>
              <w:jc w:val="right"/>
              <w:rPr>
                <w:color w:val="000000"/>
                <w:spacing w:val="0"/>
                <w:w w:val="100"/>
                <w:kern w:val="0"/>
                <w:sz w:val="18"/>
                <w:szCs w:val="18"/>
                <w:lang w:val="en-US"/>
              </w:rPr>
            </w:pPr>
            <w:r w:rsidRPr="00B664C6">
              <w:rPr>
                <w:color w:val="000000"/>
                <w:spacing w:val="0"/>
                <w:w w:val="100"/>
                <w:kern w:val="0"/>
                <w:sz w:val="18"/>
                <w:szCs w:val="18"/>
                <w:lang w:val="en-US"/>
              </w:rPr>
              <w:t>1,7</w:t>
            </w:r>
            <w:bookmarkStart w:id="58" w:name="_Toc40281089"/>
            <w:bookmarkStart w:id="59" w:name="_Toc40281248"/>
            <w:bookmarkEnd w:id="58"/>
            <w:bookmarkEnd w:id="59"/>
            <w:r w:rsidR="008564D7" w:rsidRPr="00B664C6">
              <w:rPr>
                <w:color w:val="000000"/>
                <w:spacing w:val="0"/>
                <w:w w:val="100"/>
                <w:kern w:val="0"/>
                <w:sz w:val="18"/>
                <w:szCs w:val="18"/>
                <w:lang w:val="en-US"/>
              </w:rPr>
              <w:t>89</w:t>
            </w:r>
          </w:p>
        </w:tc>
        <w:tc>
          <w:tcPr>
            <w:tcW w:w="1435" w:type="dxa"/>
            <w:tcBorders>
              <w:top w:val="single" w:sz="4" w:space="0" w:color="auto"/>
              <w:left w:val="nil"/>
              <w:bottom w:val="nil"/>
              <w:right w:val="nil"/>
            </w:tcBorders>
            <w:noWrap/>
          </w:tcPr>
          <w:p w14:paraId="0DDA5134" w14:textId="74369EC5" w:rsidR="004F0A43" w:rsidRPr="00B664C6" w:rsidRDefault="00200591" w:rsidP="004F0A43">
            <w:pPr>
              <w:keepNext/>
              <w:suppressAutoHyphens w:val="0"/>
              <w:spacing w:line="240" w:lineRule="auto"/>
              <w:jc w:val="center"/>
              <w:rPr>
                <w:color w:val="000000"/>
                <w:spacing w:val="0"/>
                <w:w w:val="100"/>
                <w:kern w:val="0"/>
                <w:sz w:val="18"/>
                <w:szCs w:val="18"/>
                <w:lang w:val="en-US"/>
              </w:rPr>
            </w:pPr>
            <w:r w:rsidRPr="00B664C6">
              <w:rPr>
                <w:color w:val="000000"/>
                <w:spacing w:val="0"/>
                <w:w w:val="100"/>
                <w:kern w:val="0"/>
                <w:sz w:val="18"/>
                <w:szCs w:val="18"/>
                <w:lang w:val="en-US"/>
              </w:rPr>
              <w:t>3</w:t>
            </w:r>
            <w:r w:rsidR="008564D7" w:rsidRPr="00B664C6">
              <w:rPr>
                <w:color w:val="000000"/>
                <w:spacing w:val="0"/>
                <w:w w:val="100"/>
                <w:kern w:val="0"/>
                <w:sz w:val="18"/>
                <w:szCs w:val="18"/>
                <w:lang w:val="en-US"/>
              </w:rPr>
              <w:t>7</w:t>
            </w:r>
            <w:r w:rsidRPr="00B664C6">
              <w:rPr>
                <w:color w:val="000000"/>
                <w:spacing w:val="0"/>
                <w:w w:val="100"/>
                <w:kern w:val="0"/>
                <w:sz w:val="18"/>
                <w:szCs w:val="18"/>
                <w:lang w:val="en-US"/>
              </w:rPr>
              <w:t>%</w:t>
            </w:r>
            <w:bookmarkStart w:id="60" w:name="_Toc40281090"/>
            <w:bookmarkStart w:id="61" w:name="_Toc40281249"/>
            <w:bookmarkEnd w:id="60"/>
            <w:bookmarkEnd w:id="61"/>
          </w:p>
        </w:tc>
        <w:bookmarkStart w:id="62" w:name="_Toc40281091"/>
        <w:bookmarkStart w:id="63" w:name="_Toc40281250"/>
        <w:bookmarkEnd w:id="62"/>
        <w:bookmarkEnd w:id="63"/>
      </w:tr>
      <w:tr w:rsidR="004F0A43" w:rsidRPr="00B664C6" w14:paraId="78B8D572" w14:textId="78D5A97B" w:rsidTr="00955997">
        <w:trPr>
          <w:gridAfter w:val="1"/>
          <w:wAfter w:w="9" w:type="dxa"/>
          <w:trHeight w:val="206"/>
        </w:trPr>
        <w:tc>
          <w:tcPr>
            <w:tcW w:w="2963" w:type="dxa"/>
            <w:tcBorders>
              <w:top w:val="nil"/>
              <w:left w:val="nil"/>
              <w:bottom w:val="single" w:sz="4" w:space="0" w:color="auto"/>
              <w:right w:val="nil"/>
            </w:tcBorders>
            <w:hideMark/>
          </w:tcPr>
          <w:p w14:paraId="7BD8AB66" w14:textId="38C250F7" w:rsidR="004F0A43" w:rsidRPr="00B664C6" w:rsidRDefault="004F0A43" w:rsidP="004F0A43">
            <w:pPr>
              <w:keepNext/>
              <w:suppressAutoHyphens w:val="0"/>
              <w:spacing w:line="240" w:lineRule="auto"/>
              <w:rPr>
                <w:b/>
                <w:bCs/>
                <w:color w:val="000000"/>
                <w:spacing w:val="0"/>
                <w:w w:val="100"/>
                <w:kern w:val="0"/>
                <w:sz w:val="18"/>
                <w:szCs w:val="18"/>
                <w:lang w:val="en-US"/>
              </w:rPr>
            </w:pPr>
            <w:r w:rsidRPr="00B664C6">
              <w:rPr>
                <w:b/>
                <w:bCs/>
                <w:color w:val="000000"/>
                <w:spacing w:val="0"/>
                <w:w w:val="100"/>
                <w:kern w:val="0"/>
                <w:sz w:val="18"/>
                <w:szCs w:val="18"/>
                <w:lang w:val="en-US"/>
              </w:rPr>
              <w:t xml:space="preserve">Expenses </w:t>
            </w:r>
            <w:r w:rsidRPr="00B664C6">
              <w:rPr>
                <w:b/>
                <w:bCs/>
                <w:color w:val="000000"/>
                <w:spacing w:val="0"/>
                <w:w w:val="100"/>
                <w:kern w:val="0"/>
                <w:vertAlign w:val="superscript"/>
                <w:lang w:val="en-US"/>
              </w:rPr>
              <w:t>a</w:t>
            </w:r>
            <w:bookmarkStart w:id="64" w:name="_Toc40281092"/>
            <w:bookmarkStart w:id="65" w:name="_Toc40281251"/>
            <w:bookmarkEnd w:id="64"/>
            <w:bookmarkEnd w:id="65"/>
          </w:p>
        </w:tc>
        <w:tc>
          <w:tcPr>
            <w:tcW w:w="1433" w:type="dxa"/>
            <w:tcBorders>
              <w:top w:val="nil"/>
              <w:left w:val="nil"/>
              <w:bottom w:val="single" w:sz="4" w:space="0" w:color="auto"/>
              <w:right w:val="nil"/>
            </w:tcBorders>
          </w:tcPr>
          <w:p w14:paraId="42347080" w14:textId="21ED03EF" w:rsidR="004F0A43" w:rsidRPr="00B664C6" w:rsidRDefault="007C402B" w:rsidP="004F0A43">
            <w:pPr>
              <w:keepNext/>
              <w:suppressAutoHyphens w:val="0"/>
              <w:spacing w:line="240" w:lineRule="auto"/>
              <w:jc w:val="right"/>
              <w:rPr>
                <w:color w:val="000000"/>
                <w:spacing w:val="0"/>
                <w:w w:val="100"/>
                <w:kern w:val="0"/>
                <w:sz w:val="18"/>
                <w:szCs w:val="18"/>
                <w:lang w:val="en-US"/>
              </w:rPr>
            </w:pPr>
            <w:bookmarkStart w:id="66" w:name="_Toc40281093"/>
            <w:bookmarkStart w:id="67" w:name="_Toc40281252"/>
            <w:bookmarkEnd w:id="66"/>
            <w:bookmarkEnd w:id="67"/>
            <w:r w:rsidRPr="00B664C6">
              <w:rPr>
                <w:color w:val="000000"/>
                <w:spacing w:val="0"/>
                <w:w w:val="100"/>
                <w:kern w:val="0"/>
                <w:sz w:val="18"/>
                <w:szCs w:val="18"/>
                <w:lang w:val="en-US"/>
              </w:rPr>
              <w:t>5,051</w:t>
            </w:r>
            <w:bookmarkStart w:id="68" w:name="_Toc40281094"/>
            <w:bookmarkStart w:id="69" w:name="_Toc40281253"/>
            <w:bookmarkEnd w:id="68"/>
            <w:bookmarkEnd w:id="69"/>
          </w:p>
        </w:tc>
        <w:tc>
          <w:tcPr>
            <w:tcW w:w="1434" w:type="dxa"/>
            <w:tcBorders>
              <w:top w:val="nil"/>
              <w:left w:val="nil"/>
              <w:bottom w:val="single" w:sz="4" w:space="0" w:color="auto"/>
              <w:right w:val="nil"/>
            </w:tcBorders>
          </w:tcPr>
          <w:p w14:paraId="70CCAF7F" w14:textId="1CBCACB0" w:rsidR="004F0A43" w:rsidRPr="00B664C6" w:rsidRDefault="004F0A43" w:rsidP="004F0A43">
            <w:pPr>
              <w:keepNext/>
              <w:suppressAutoHyphens w:val="0"/>
              <w:spacing w:line="240" w:lineRule="auto"/>
              <w:jc w:val="right"/>
              <w:rPr>
                <w:color w:val="000000"/>
                <w:spacing w:val="0"/>
                <w:w w:val="100"/>
                <w:kern w:val="0"/>
                <w:sz w:val="18"/>
                <w:szCs w:val="18"/>
                <w:lang w:val="en-US"/>
              </w:rPr>
            </w:pPr>
            <w:bookmarkStart w:id="70" w:name="_Toc40281095"/>
            <w:bookmarkStart w:id="71" w:name="_Toc40281254"/>
            <w:bookmarkEnd w:id="70"/>
            <w:bookmarkEnd w:id="71"/>
            <w:r w:rsidRPr="00B664C6">
              <w:rPr>
                <w:color w:val="000000"/>
                <w:spacing w:val="0"/>
                <w:w w:val="100"/>
                <w:kern w:val="0"/>
                <w:sz w:val="18"/>
                <w:szCs w:val="18"/>
                <w:lang w:val="en-US"/>
              </w:rPr>
              <w:t>4,924</w:t>
            </w:r>
            <w:bookmarkStart w:id="72" w:name="_Toc40281096"/>
            <w:bookmarkStart w:id="73" w:name="_Toc40281255"/>
            <w:bookmarkEnd w:id="72"/>
            <w:bookmarkEnd w:id="73"/>
          </w:p>
        </w:tc>
        <w:tc>
          <w:tcPr>
            <w:tcW w:w="1434" w:type="dxa"/>
            <w:tcBorders>
              <w:top w:val="nil"/>
              <w:left w:val="nil"/>
              <w:bottom w:val="single" w:sz="4" w:space="0" w:color="auto"/>
              <w:right w:val="nil"/>
            </w:tcBorders>
            <w:noWrap/>
          </w:tcPr>
          <w:p w14:paraId="77758289" w14:textId="0D398CA5" w:rsidR="004F0A43" w:rsidRPr="00B664C6" w:rsidRDefault="00D96CE0" w:rsidP="004F0A43">
            <w:pPr>
              <w:keepNext/>
              <w:suppressAutoHyphens w:val="0"/>
              <w:spacing w:line="240" w:lineRule="auto"/>
              <w:jc w:val="right"/>
              <w:rPr>
                <w:color w:val="000000"/>
                <w:spacing w:val="0"/>
                <w:w w:val="100"/>
                <w:kern w:val="0"/>
                <w:sz w:val="18"/>
                <w:szCs w:val="18"/>
                <w:lang w:val="en-US"/>
              </w:rPr>
            </w:pPr>
            <w:r w:rsidRPr="00B664C6">
              <w:rPr>
                <w:color w:val="000000"/>
                <w:spacing w:val="0"/>
                <w:w w:val="100"/>
                <w:kern w:val="0"/>
                <w:sz w:val="18"/>
                <w:szCs w:val="18"/>
                <w:lang w:val="en-US"/>
              </w:rPr>
              <w:t>127</w:t>
            </w:r>
            <w:bookmarkStart w:id="74" w:name="_Toc40281097"/>
            <w:bookmarkStart w:id="75" w:name="_Toc40281256"/>
            <w:bookmarkEnd w:id="74"/>
            <w:bookmarkEnd w:id="75"/>
          </w:p>
        </w:tc>
        <w:tc>
          <w:tcPr>
            <w:tcW w:w="1435" w:type="dxa"/>
            <w:tcBorders>
              <w:top w:val="nil"/>
              <w:left w:val="nil"/>
              <w:bottom w:val="single" w:sz="4" w:space="0" w:color="auto"/>
              <w:right w:val="nil"/>
            </w:tcBorders>
            <w:noWrap/>
          </w:tcPr>
          <w:p w14:paraId="721DB515" w14:textId="42AE412B" w:rsidR="004F0A43" w:rsidRPr="00B664C6" w:rsidRDefault="00200591" w:rsidP="004F0A43">
            <w:pPr>
              <w:keepNext/>
              <w:suppressAutoHyphens w:val="0"/>
              <w:spacing w:line="240" w:lineRule="auto"/>
              <w:jc w:val="center"/>
              <w:rPr>
                <w:color w:val="000000"/>
                <w:spacing w:val="0"/>
                <w:w w:val="100"/>
                <w:kern w:val="0"/>
                <w:sz w:val="18"/>
                <w:szCs w:val="18"/>
                <w:lang w:val="en-US"/>
              </w:rPr>
            </w:pPr>
            <w:r w:rsidRPr="00B664C6">
              <w:rPr>
                <w:color w:val="000000"/>
                <w:spacing w:val="0"/>
                <w:w w:val="100"/>
                <w:kern w:val="0"/>
                <w:sz w:val="18"/>
                <w:szCs w:val="18"/>
                <w:lang w:val="en-US"/>
              </w:rPr>
              <w:t>3%</w:t>
            </w:r>
            <w:bookmarkStart w:id="76" w:name="_Toc40281098"/>
            <w:bookmarkStart w:id="77" w:name="_Toc40281257"/>
            <w:bookmarkEnd w:id="76"/>
            <w:bookmarkEnd w:id="77"/>
          </w:p>
        </w:tc>
        <w:bookmarkStart w:id="78" w:name="_Toc40281099"/>
        <w:bookmarkStart w:id="79" w:name="_Toc40281258"/>
        <w:bookmarkEnd w:id="78"/>
        <w:bookmarkEnd w:id="79"/>
      </w:tr>
      <w:tr w:rsidR="004F0A43" w:rsidRPr="00B664C6" w14:paraId="1E50997D" w14:textId="3B94D94E" w:rsidTr="00955997">
        <w:trPr>
          <w:gridAfter w:val="1"/>
          <w:wAfter w:w="9" w:type="dxa"/>
          <w:trHeight w:val="206"/>
        </w:trPr>
        <w:tc>
          <w:tcPr>
            <w:tcW w:w="2963" w:type="dxa"/>
            <w:tcBorders>
              <w:top w:val="single" w:sz="4" w:space="0" w:color="auto"/>
              <w:left w:val="nil"/>
              <w:bottom w:val="single" w:sz="4" w:space="0" w:color="auto"/>
              <w:right w:val="nil"/>
            </w:tcBorders>
            <w:hideMark/>
          </w:tcPr>
          <w:p w14:paraId="65E16921" w14:textId="53A58686" w:rsidR="004F0A43" w:rsidRPr="00B664C6" w:rsidRDefault="004F0A43" w:rsidP="004F0A43">
            <w:pPr>
              <w:keepNext/>
              <w:suppressAutoHyphens w:val="0"/>
              <w:spacing w:line="240" w:lineRule="auto"/>
              <w:rPr>
                <w:b/>
                <w:bCs/>
                <w:color w:val="000000"/>
                <w:spacing w:val="0"/>
                <w:w w:val="100"/>
                <w:kern w:val="0"/>
                <w:sz w:val="18"/>
                <w:szCs w:val="18"/>
                <w:lang w:val="en-US"/>
              </w:rPr>
            </w:pPr>
            <w:r w:rsidRPr="00B664C6">
              <w:rPr>
                <w:b/>
                <w:bCs/>
                <w:color w:val="000000"/>
                <w:spacing w:val="0"/>
                <w:w w:val="100"/>
                <w:kern w:val="0"/>
                <w:sz w:val="18"/>
                <w:szCs w:val="18"/>
                <w:lang w:val="en-US"/>
              </w:rPr>
              <w:t>Net revenue</w:t>
            </w:r>
            <w:bookmarkStart w:id="80" w:name="_Toc40281100"/>
            <w:bookmarkStart w:id="81" w:name="_Toc40281259"/>
            <w:bookmarkEnd w:id="80"/>
            <w:bookmarkEnd w:id="81"/>
          </w:p>
        </w:tc>
        <w:tc>
          <w:tcPr>
            <w:tcW w:w="1433" w:type="dxa"/>
            <w:tcBorders>
              <w:top w:val="single" w:sz="4" w:space="0" w:color="auto"/>
              <w:left w:val="nil"/>
              <w:bottom w:val="single" w:sz="4" w:space="0" w:color="auto"/>
              <w:right w:val="nil"/>
            </w:tcBorders>
          </w:tcPr>
          <w:p w14:paraId="138AF46D" w14:textId="0A233112" w:rsidR="004F0A43" w:rsidRPr="00B664C6" w:rsidRDefault="007C402B" w:rsidP="004F0A43">
            <w:pPr>
              <w:keepNext/>
              <w:suppressAutoHyphens w:val="0"/>
              <w:spacing w:line="240" w:lineRule="auto"/>
              <w:jc w:val="right"/>
              <w:rPr>
                <w:color w:val="000000"/>
                <w:spacing w:val="0"/>
                <w:w w:val="100"/>
                <w:kern w:val="0"/>
                <w:sz w:val="18"/>
                <w:szCs w:val="18"/>
                <w:lang w:val="en-US"/>
              </w:rPr>
            </w:pPr>
            <w:bookmarkStart w:id="82" w:name="_Toc40281101"/>
            <w:bookmarkStart w:id="83" w:name="_Toc40281260"/>
            <w:bookmarkEnd w:id="82"/>
            <w:bookmarkEnd w:id="83"/>
            <w:r w:rsidRPr="00B664C6">
              <w:rPr>
                <w:color w:val="000000"/>
                <w:spacing w:val="0"/>
                <w:w w:val="100"/>
                <w:kern w:val="0"/>
                <w:sz w:val="18"/>
                <w:szCs w:val="18"/>
                <w:lang w:val="en-US"/>
              </w:rPr>
              <w:t>1,</w:t>
            </w:r>
            <w:bookmarkStart w:id="84" w:name="_Toc40281102"/>
            <w:bookmarkStart w:id="85" w:name="_Toc40281261"/>
            <w:bookmarkEnd w:id="84"/>
            <w:bookmarkEnd w:id="85"/>
            <w:r w:rsidR="008564D7" w:rsidRPr="00B664C6">
              <w:rPr>
                <w:color w:val="000000"/>
                <w:spacing w:val="0"/>
                <w:w w:val="100"/>
                <w:kern w:val="0"/>
                <w:sz w:val="18"/>
                <w:szCs w:val="18"/>
                <w:lang w:val="en-US"/>
              </w:rPr>
              <w:t>567</w:t>
            </w:r>
          </w:p>
        </w:tc>
        <w:tc>
          <w:tcPr>
            <w:tcW w:w="1434" w:type="dxa"/>
            <w:tcBorders>
              <w:top w:val="single" w:sz="4" w:space="0" w:color="auto"/>
              <w:left w:val="nil"/>
              <w:bottom w:val="single" w:sz="4" w:space="0" w:color="auto"/>
              <w:right w:val="nil"/>
            </w:tcBorders>
          </w:tcPr>
          <w:p w14:paraId="54CFC07B" w14:textId="7CAC2FA4" w:rsidR="004F0A43" w:rsidRPr="00B664C6" w:rsidRDefault="004F0A43" w:rsidP="004F0A43">
            <w:pPr>
              <w:keepNext/>
              <w:suppressAutoHyphens w:val="0"/>
              <w:spacing w:line="240" w:lineRule="auto"/>
              <w:jc w:val="right"/>
              <w:rPr>
                <w:color w:val="000000"/>
                <w:spacing w:val="0"/>
                <w:w w:val="100"/>
                <w:kern w:val="0"/>
                <w:sz w:val="18"/>
                <w:szCs w:val="18"/>
                <w:lang w:val="en-US"/>
              </w:rPr>
            </w:pPr>
            <w:bookmarkStart w:id="86" w:name="_Toc40281103"/>
            <w:bookmarkStart w:id="87" w:name="_Toc40281262"/>
            <w:bookmarkEnd w:id="86"/>
            <w:bookmarkEnd w:id="87"/>
            <w:r w:rsidRPr="00B664C6">
              <w:rPr>
                <w:color w:val="000000"/>
                <w:spacing w:val="0"/>
                <w:w w:val="100"/>
                <w:kern w:val="0"/>
                <w:sz w:val="18"/>
                <w:szCs w:val="18"/>
                <w:lang w:val="en-US"/>
              </w:rPr>
              <w:t>(95)</w:t>
            </w:r>
            <w:bookmarkStart w:id="88" w:name="_Toc40281104"/>
            <w:bookmarkStart w:id="89" w:name="_Toc40281263"/>
            <w:bookmarkEnd w:id="88"/>
            <w:bookmarkEnd w:id="89"/>
          </w:p>
        </w:tc>
        <w:tc>
          <w:tcPr>
            <w:tcW w:w="1434" w:type="dxa"/>
            <w:tcBorders>
              <w:top w:val="single" w:sz="4" w:space="0" w:color="auto"/>
              <w:left w:val="nil"/>
              <w:bottom w:val="single" w:sz="4" w:space="0" w:color="auto"/>
              <w:right w:val="nil"/>
            </w:tcBorders>
            <w:noWrap/>
          </w:tcPr>
          <w:p w14:paraId="41180214" w14:textId="3CFC33A0" w:rsidR="004F0A43" w:rsidRPr="00B664C6" w:rsidRDefault="00D96CE0" w:rsidP="004F0A43">
            <w:pPr>
              <w:keepNext/>
              <w:suppressAutoHyphens w:val="0"/>
              <w:spacing w:line="240" w:lineRule="auto"/>
              <w:jc w:val="right"/>
              <w:rPr>
                <w:color w:val="000000"/>
                <w:spacing w:val="0"/>
                <w:w w:val="100"/>
                <w:kern w:val="0"/>
                <w:sz w:val="18"/>
                <w:szCs w:val="18"/>
                <w:lang w:val="en-US"/>
              </w:rPr>
            </w:pPr>
            <w:r w:rsidRPr="00B664C6">
              <w:rPr>
                <w:color w:val="000000"/>
                <w:spacing w:val="0"/>
                <w:w w:val="100"/>
                <w:kern w:val="0"/>
                <w:sz w:val="18"/>
                <w:szCs w:val="18"/>
                <w:lang w:val="en-US"/>
              </w:rPr>
              <w:t>1,</w:t>
            </w:r>
            <w:r w:rsidR="008564D7" w:rsidRPr="00B664C6">
              <w:rPr>
                <w:color w:val="000000"/>
                <w:spacing w:val="0"/>
                <w:w w:val="100"/>
                <w:kern w:val="0"/>
                <w:sz w:val="18"/>
                <w:szCs w:val="18"/>
                <w:lang w:val="en-US"/>
              </w:rPr>
              <w:t>662</w:t>
            </w:r>
            <w:bookmarkStart w:id="90" w:name="_Toc40281105"/>
            <w:bookmarkStart w:id="91" w:name="_Toc40281264"/>
            <w:bookmarkEnd w:id="90"/>
            <w:bookmarkEnd w:id="91"/>
          </w:p>
        </w:tc>
        <w:tc>
          <w:tcPr>
            <w:tcW w:w="1435" w:type="dxa"/>
            <w:tcBorders>
              <w:top w:val="single" w:sz="4" w:space="0" w:color="auto"/>
              <w:left w:val="nil"/>
              <w:bottom w:val="single" w:sz="4" w:space="0" w:color="auto"/>
              <w:right w:val="nil"/>
            </w:tcBorders>
            <w:noWrap/>
          </w:tcPr>
          <w:p w14:paraId="51149979" w14:textId="242E88A0" w:rsidR="004F0A43" w:rsidRPr="00B664C6" w:rsidRDefault="00200591" w:rsidP="004F0A43">
            <w:pPr>
              <w:keepNext/>
              <w:suppressAutoHyphens w:val="0"/>
              <w:spacing w:line="240" w:lineRule="auto"/>
              <w:ind w:right="180"/>
              <w:jc w:val="center"/>
              <w:rPr>
                <w:color w:val="000000"/>
                <w:spacing w:val="0"/>
                <w:w w:val="100"/>
                <w:kern w:val="0"/>
                <w:sz w:val="18"/>
                <w:szCs w:val="18"/>
                <w:lang w:val="en-US"/>
              </w:rPr>
            </w:pPr>
            <w:r w:rsidRPr="00B664C6">
              <w:rPr>
                <w:color w:val="000000"/>
                <w:spacing w:val="0"/>
                <w:w w:val="100"/>
                <w:kern w:val="0"/>
                <w:sz w:val="18"/>
                <w:szCs w:val="18"/>
                <w:lang w:val="en-US"/>
              </w:rPr>
              <w:t>-</w:t>
            </w:r>
            <w:bookmarkStart w:id="92" w:name="_Toc40281106"/>
            <w:bookmarkStart w:id="93" w:name="_Toc40281265"/>
            <w:bookmarkEnd w:id="92"/>
            <w:bookmarkEnd w:id="93"/>
          </w:p>
        </w:tc>
        <w:bookmarkStart w:id="94" w:name="_Toc40281107"/>
        <w:bookmarkStart w:id="95" w:name="_Toc40281266"/>
        <w:bookmarkEnd w:id="94"/>
        <w:bookmarkEnd w:id="95"/>
      </w:tr>
      <w:tr w:rsidR="004F0A43" w:rsidRPr="00B664C6" w14:paraId="26B9FE16" w14:textId="51B01BBE" w:rsidTr="00955997">
        <w:trPr>
          <w:gridAfter w:val="1"/>
          <w:wAfter w:w="9" w:type="dxa"/>
          <w:trHeight w:val="206"/>
        </w:trPr>
        <w:tc>
          <w:tcPr>
            <w:tcW w:w="2963" w:type="dxa"/>
            <w:tcBorders>
              <w:top w:val="single" w:sz="4" w:space="0" w:color="auto"/>
              <w:left w:val="nil"/>
              <w:bottom w:val="nil"/>
              <w:right w:val="nil"/>
            </w:tcBorders>
            <w:hideMark/>
          </w:tcPr>
          <w:p w14:paraId="151D24C8" w14:textId="2AAF9178" w:rsidR="004F0A43" w:rsidRPr="00B664C6" w:rsidRDefault="004F0A43" w:rsidP="004F0A43">
            <w:pPr>
              <w:keepNext/>
              <w:suppressAutoHyphens w:val="0"/>
              <w:spacing w:line="240" w:lineRule="auto"/>
              <w:rPr>
                <w:b/>
                <w:bCs/>
                <w:color w:val="000000"/>
                <w:spacing w:val="0"/>
                <w:w w:val="100"/>
                <w:kern w:val="0"/>
                <w:sz w:val="18"/>
                <w:szCs w:val="18"/>
                <w:lang w:val="en-US"/>
              </w:rPr>
            </w:pPr>
            <w:r w:rsidRPr="00B664C6">
              <w:rPr>
                <w:b/>
                <w:bCs/>
                <w:color w:val="000000"/>
                <w:spacing w:val="0"/>
                <w:w w:val="100"/>
                <w:kern w:val="0"/>
                <w:sz w:val="18"/>
                <w:szCs w:val="18"/>
                <w:lang w:val="en-US"/>
              </w:rPr>
              <w:t>Assets</w:t>
            </w:r>
            <w:bookmarkStart w:id="96" w:name="_Toc40281108"/>
            <w:bookmarkStart w:id="97" w:name="_Toc40281267"/>
            <w:bookmarkEnd w:id="96"/>
            <w:bookmarkEnd w:id="97"/>
          </w:p>
        </w:tc>
        <w:tc>
          <w:tcPr>
            <w:tcW w:w="1433" w:type="dxa"/>
            <w:tcBorders>
              <w:top w:val="single" w:sz="4" w:space="0" w:color="auto"/>
              <w:left w:val="nil"/>
              <w:bottom w:val="nil"/>
              <w:right w:val="nil"/>
            </w:tcBorders>
          </w:tcPr>
          <w:p w14:paraId="1A18D45E" w14:textId="5F862703" w:rsidR="004F0A43" w:rsidRPr="00B664C6" w:rsidRDefault="007C402B" w:rsidP="004F0A43">
            <w:pPr>
              <w:keepNext/>
              <w:suppressAutoHyphens w:val="0"/>
              <w:spacing w:line="240" w:lineRule="auto"/>
              <w:jc w:val="right"/>
              <w:rPr>
                <w:color w:val="000000"/>
                <w:spacing w:val="0"/>
                <w:w w:val="100"/>
                <w:kern w:val="0"/>
                <w:sz w:val="18"/>
                <w:szCs w:val="18"/>
                <w:lang w:val="en-US"/>
              </w:rPr>
            </w:pPr>
            <w:bookmarkStart w:id="98" w:name="_Toc40281109"/>
            <w:bookmarkStart w:id="99" w:name="_Toc40281268"/>
            <w:bookmarkEnd w:id="98"/>
            <w:bookmarkEnd w:id="99"/>
            <w:r w:rsidRPr="00B664C6">
              <w:rPr>
                <w:color w:val="000000"/>
                <w:spacing w:val="0"/>
                <w:w w:val="100"/>
                <w:kern w:val="0"/>
                <w:sz w:val="18"/>
                <w:szCs w:val="18"/>
                <w:lang w:val="en-US"/>
              </w:rPr>
              <w:t>14,2</w:t>
            </w:r>
            <w:r w:rsidR="008564D7" w:rsidRPr="00B664C6">
              <w:rPr>
                <w:color w:val="000000"/>
                <w:spacing w:val="0"/>
                <w:w w:val="100"/>
                <w:kern w:val="0"/>
                <w:sz w:val="18"/>
                <w:szCs w:val="18"/>
                <w:lang w:val="en-US"/>
              </w:rPr>
              <w:t>99</w:t>
            </w:r>
            <w:bookmarkStart w:id="100" w:name="_Toc40281110"/>
            <w:bookmarkStart w:id="101" w:name="_Toc40281269"/>
            <w:bookmarkEnd w:id="100"/>
            <w:bookmarkEnd w:id="101"/>
          </w:p>
        </w:tc>
        <w:tc>
          <w:tcPr>
            <w:tcW w:w="1434" w:type="dxa"/>
            <w:tcBorders>
              <w:top w:val="single" w:sz="4" w:space="0" w:color="auto"/>
              <w:left w:val="nil"/>
              <w:bottom w:val="nil"/>
              <w:right w:val="nil"/>
            </w:tcBorders>
          </w:tcPr>
          <w:p w14:paraId="4597C71B" w14:textId="27D59B6D" w:rsidR="004F0A43" w:rsidRPr="00B664C6" w:rsidRDefault="004F0A43" w:rsidP="004F0A43">
            <w:pPr>
              <w:keepNext/>
              <w:suppressAutoHyphens w:val="0"/>
              <w:spacing w:line="240" w:lineRule="auto"/>
              <w:jc w:val="right"/>
              <w:rPr>
                <w:color w:val="000000"/>
                <w:spacing w:val="0"/>
                <w:w w:val="100"/>
                <w:kern w:val="0"/>
                <w:sz w:val="18"/>
                <w:szCs w:val="18"/>
                <w:lang w:val="en-US"/>
              </w:rPr>
            </w:pPr>
            <w:bookmarkStart w:id="102" w:name="_Toc40281111"/>
            <w:bookmarkStart w:id="103" w:name="_Toc40281270"/>
            <w:bookmarkEnd w:id="102"/>
            <w:bookmarkEnd w:id="103"/>
            <w:r w:rsidRPr="00B664C6">
              <w:rPr>
                <w:color w:val="000000"/>
                <w:spacing w:val="0"/>
                <w:w w:val="100"/>
                <w:kern w:val="0"/>
                <w:sz w:val="18"/>
                <w:szCs w:val="18"/>
                <w:lang w:val="en-US"/>
              </w:rPr>
              <w:t>12,485</w:t>
            </w:r>
            <w:bookmarkStart w:id="104" w:name="_Toc40281112"/>
            <w:bookmarkStart w:id="105" w:name="_Toc40281271"/>
            <w:bookmarkEnd w:id="104"/>
            <w:bookmarkEnd w:id="105"/>
          </w:p>
        </w:tc>
        <w:tc>
          <w:tcPr>
            <w:tcW w:w="1434" w:type="dxa"/>
            <w:tcBorders>
              <w:top w:val="single" w:sz="4" w:space="0" w:color="auto"/>
              <w:left w:val="nil"/>
              <w:bottom w:val="nil"/>
              <w:right w:val="nil"/>
            </w:tcBorders>
            <w:noWrap/>
          </w:tcPr>
          <w:p w14:paraId="6ABE300C" w14:textId="50BB0650" w:rsidR="004F0A43" w:rsidRPr="00B664C6" w:rsidRDefault="00D96CE0" w:rsidP="004F0A43">
            <w:pPr>
              <w:keepNext/>
              <w:suppressAutoHyphens w:val="0"/>
              <w:spacing w:line="240" w:lineRule="auto"/>
              <w:jc w:val="right"/>
              <w:rPr>
                <w:color w:val="000000"/>
                <w:spacing w:val="0"/>
                <w:w w:val="100"/>
                <w:kern w:val="0"/>
                <w:sz w:val="18"/>
                <w:szCs w:val="18"/>
                <w:lang w:val="en-US"/>
              </w:rPr>
            </w:pPr>
            <w:r w:rsidRPr="00B664C6">
              <w:rPr>
                <w:color w:val="000000"/>
                <w:spacing w:val="0"/>
                <w:w w:val="100"/>
                <w:kern w:val="0"/>
                <w:sz w:val="18"/>
                <w:szCs w:val="18"/>
                <w:lang w:val="en-US"/>
              </w:rPr>
              <w:t>1,</w:t>
            </w:r>
            <w:r w:rsidR="008564D7" w:rsidRPr="00B664C6">
              <w:rPr>
                <w:color w:val="000000"/>
                <w:spacing w:val="0"/>
                <w:w w:val="100"/>
                <w:kern w:val="0"/>
                <w:sz w:val="18"/>
                <w:szCs w:val="18"/>
                <w:lang w:val="en-US"/>
              </w:rPr>
              <w:t>814</w:t>
            </w:r>
            <w:bookmarkStart w:id="106" w:name="_Toc40281113"/>
            <w:bookmarkStart w:id="107" w:name="_Toc40281272"/>
            <w:bookmarkEnd w:id="106"/>
            <w:bookmarkEnd w:id="107"/>
          </w:p>
        </w:tc>
        <w:tc>
          <w:tcPr>
            <w:tcW w:w="1435" w:type="dxa"/>
            <w:tcBorders>
              <w:top w:val="single" w:sz="4" w:space="0" w:color="auto"/>
              <w:left w:val="nil"/>
              <w:bottom w:val="nil"/>
              <w:right w:val="nil"/>
            </w:tcBorders>
            <w:noWrap/>
          </w:tcPr>
          <w:p w14:paraId="1D462303" w14:textId="15A8E7CA" w:rsidR="004F0A43" w:rsidRPr="00B664C6" w:rsidRDefault="00200591" w:rsidP="004F0A43">
            <w:pPr>
              <w:keepNext/>
              <w:suppressAutoHyphens w:val="0"/>
              <w:spacing w:line="240" w:lineRule="auto"/>
              <w:jc w:val="center"/>
              <w:rPr>
                <w:color w:val="000000"/>
                <w:spacing w:val="0"/>
                <w:w w:val="100"/>
                <w:kern w:val="0"/>
                <w:sz w:val="18"/>
                <w:szCs w:val="18"/>
                <w:lang w:val="en-US"/>
              </w:rPr>
            </w:pPr>
            <w:r w:rsidRPr="00B664C6">
              <w:rPr>
                <w:color w:val="000000"/>
                <w:spacing w:val="0"/>
                <w:w w:val="100"/>
                <w:kern w:val="0"/>
                <w:sz w:val="18"/>
                <w:szCs w:val="18"/>
                <w:lang w:val="en-US"/>
              </w:rPr>
              <w:t>1</w:t>
            </w:r>
            <w:r w:rsidR="008564D7" w:rsidRPr="00B664C6">
              <w:rPr>
                <w:color w:val="000000"/>
                <w:spacing w:val="0"/>
                <w:w w:val="100"/>
                <w:kern w:val="0"/>
                <w:sz w:val="18"/>
                <w:szCs w:val="18"/>
                <w:lang w:val="en-US"/>
              </w:rPr>
              <w:t>5</w:t>
            </w:r>
            <w:r w:rsidRPr="00B664C6">
              <w:rPr>
                <w:color w:val="000000"/>
                <w:spacing w:val="0"/>
                <w:w w:val="100"/>
                <w:kern w:val="0"/>
                <w:sz w:val="18"/>
                <w:szCs w:val="18"/>
                <w:lang w:val="en-US"/>
              </w:rPr>
              <w:t>%</w:t>
            </w:r>
            <w:bookmarkStart w:id="108" w:name="_Toc40281114"/>
            <w:bookmarkStart w:id="109" w:name="_Toc40281273"/>
            <w:bookmarkEnd w:id="108"/>
            <w:bookmarkEnd w:id="109"/>
          </w:p>
        </w:tc>
        <w:bookmarkStart w:id="110" w:name="_Toc40281115"/>
        <w:bookmarkStart w:id="111" w:name="_Toc40281274"/>
        <w:bookmarkEnd w:id="110"/>
        <w:bookmarkEnd w:id="111"/>
      </w:tr>
      <w:tr w:rsidR="004F0A43" w:rsidRPr="00B664C6" w14:paraId="49823E71" w14:textId="10B5EEC9" w:rsidTr="00955997">
        <w:trPr>
          <w:gridAfter w:val="1"/>
          <w:wAfter w:w="9" w:type="dxa"/>
          <w:trHeight w:val="206"/>
        </w:trPr>
        <w:tc>
          <w:tcPr>
            <w:tcW w:w="2963" w:type="dxa"/>
            <w:tcBorders>
              <w:top w:val="nil"/>
              <w:left w:val="nil"/>
              <w:bottom w:val="single" w:sz="4" w:space="0" w:color="auto"/>
              <w:right w:val="nil"/>
            </w:tcBorders>
            <w:hideMark/>
          </w:tcPr>
          <w:p w14:paraId="48555D38" w14:textId="68404511" w:rsidR="004F0A43" w:rsidRPr="00B664C6" w:rsidRDefault="004F0A43" w:rsidP="004F0A43">
            <w:pPr>
              <w:keepNext/>
              <w:suppressAutoHyphens w:val="0"/>
              <w:spacing w:line="240" w:lineRule="auto"/>
              <w:rPr>
                <w:b/>
                <w:bCs/>
                <w:color w:val="000000"/>
                <w:spacing w:val="0"/>
                <w:w w:val="100"/>
                <w:kern w:val="0"/>
                <w:sz w:val="18"/>
                <w:szCs w:val="18"/>
                <w:lang w:val="en-US"/>
              </w:rPr>
            </w:pPr>
            <w:r w:rsidRPr="00B664C6">
              <w:rPr>
                <w:b/>
                <w:bCs/>
                <w:color w:val="000000"/>
                <w:spacing w:val="0"/>
                <w:w w:val="100"/>
                <w:kern w:val="0"/>
                <w:sz w:val="18"/>
                <w:szCs w:val="18"/>
                <w:lang w:val="en-US"/>
              </w:rPr>
              <w:t>Liabilities</w:t>
            </w:r>
            <w:bookmarkStart w:id="112" w:name="_Toc40281116"/>
            <w:bookmarkStart w:id="113" w:name="_Toc40281275"/>
            <w:bookmarkEnd w:id="112"/>
            <w:bookmarkEnd w:id="113"/>
          </w:p>
        </w:tc>
        <w:tc>
          <w:tcPr>
            <w:tcW w:w="1433" w:type="dxa"/>
            <w:tcBorders>
              <w:top w:val="nil"/>
              <w:left w:val="nil"/>
              <w:bottom w:val="single" w:sz="4" w:space="0" w:color="auto"/>
              <w:right w:val="nil"/>
            </w:tcBorders>
          </w:tcPr>
          <w:p w14:paraId="0DE61546" w14:textId="3C2BE4AB" w:rsidR="004F0A43" w:rsidRPr="00B664C6" w:rsidRDefault="007C402B" w:rsidP="004F0A43">
            <w:pPr>
              <w:keepNext/>
              <w:suppressAutoHyphens w:val="0"/>
              <w:spacing w:line="240" w:lineRule="auto"/>
              <w:jc w:val="right"/>
              <w:rPr>
                <w:color w:val="000000"/>
                <w:spacing w:val="0"/>
                <w:w w:val="100"/>
                <w:kern w:val="0"/>
                <w:sz w:val="18"/>
                <w:szCs w:val="18"/>
                <w:lang w:val="en-US"/>
              </w:rPr>
            </w:pPr>
            <w:bookmarkStart w:id="114" w:name="_Toc40281117"/>
            <w:bookmarkStart w:id="115" w:name="_Toc40281276"/>
            <w:bookmarkEnd w:id="114"/>
            <w:bookmarkEnd w:id="115"/>
            <w:r w:rsidRPr="00B664C6">
              <w:rPr>
                <w:color w:val="000000"/>
                <w:spacing w:val="0"/>
                <w:w w:val="100"/>
                <w:kern w:val="0"/>
                <w:sz w:val="18"/>
                <w:szCs w:val="18"/>
                <w:lang w:val="en-US"/>
              </w:rPr>
              <w:t>3,029</w:t>
            </w:r>
            <w:bookmarkStart w:id="116" w:name="_Toc40281118"/>
            <w:bookmarkStart w:id="117" w:name="_Toc40281277"/>
            <w:bookmarkEnd w:id="116"/>
            <w:bookmarkEnd w:id="117"/>
          </w:p>
        </w:tc>
        <w:tc>
          <w:tcPr>
            <w:tcW w:w="1434" w:type="dxa"/>
            <w:tcBorders>
              <w:top w:val="nil"/>
              <w:left w:val="nil"/>
              <w:bottom w:val="single" w:sz="4" w:space="0" w:color="auto"/>
              <w:right w:val="nil"/>
            </w:tcBorders>
          </w:tcPr>
          <w:p w14:paraId="4ECACF6F" w14:textId="7AF05753" w:rsidR="004F0A43" w:rsidRPr="00B664C6" w:rsidRDefault="004F0A43" w:rsidP="004F0A43">
            <w:pPr>
              <w:keepNext/>
              <w:suppressAutoHyphens w:val="0"/>
              <w:spacing w:line="240" w:lineRule="auto"/>
              <w:jc w:val="right"/>
              <w:rPr>
                <w:color w:val="000000"/>
                <w:spacing w:val="0"/>
                <w:w w:val="100"/>
                <w:kern w:val="0"/>
                <w:sz w:val="18"/>
                <w:szCs w:val="18"/>
                <w:lang w:val="en-US"/>
              </w:rPr>
            </w:pPr>
            <w:bookmarkStart w:id="118" w:name="_Toc40281119"/>
            <w:bookmarkStart w:id="119" w:name="_Toc40281278"/>
            <w:bookmarkEnd w:id="118"/>
            <w:bookmarkEnd w:id="119"/>
            <w:r w:rsidRPr="00B664C6">
              <w:rPr>
                <w:color w:val="000000"/>
                <w:spacing w:val="0"/>
                <w:w w:val="100"/>
                <w:kern w:val="0"/>
                <w:sz w:val="18"/>
                <w:szCs w:val="18"/>
                <w:lang w:val="en-US"/>
              </w:rPr>
              <w:t>2,790</w:t>
            </w:r>
            <w:bookmarkStart w:id="120" w:name="_Toc40281120"/>
            <w:bookmarkStart w:id="121" w:name="_Toc40281279"/>
            <w:bookmarkEnd w:id="120"/>
            <w:bookmarkEnd w:id="121"/>
          </w:p>
        </w:tc>
        <w:tc>
          <w:tcPr>
            <w:tcW w:w="1434" w:type="dxa"/>
            <w:tcBorders>
              <w:top w:val="nil"/>
              <w:left w:val="nil"/>
              <w:bottom w:val="single" w:sz="4" w:space="0" w:color="auto"/>
              <w:right w:val="nil"/>
            </w:tcBorders>
            <w:noWrap/>
          </w:tcPr>
          <w:p w14:paraId="5584A738" w14:textId="7152F7DF" w:rsidR="004F0A43" w:rsidRPr="00B664C6" w:rsidRDefault="00D96CE0" w:rsidP="004F0A43">
            <w:pPr>
              <w:keepNext/>
              <w:suppressAutoHyphens w:val="0"/>
              <w:spacing w:line="240" w:lineRule="auto"/>
              <w:jc w:val="right"/>
              <w:rPr>
                <w:color w:val="000000"/>
                <w:spacing w:val="0"/>
                <w:w w:val="100"/>
                <w:kern w:val="0"/>
                <w:sz w:val="18"/>
                <w:szCs w:val="18"/>
                <w:lang w:val="en-US"/>
              </w:rPr>
            </w:pPr>
            <w:r w:rsidRPr="00B664C6">
              <w:rPr>
                <w:color w:val="000000"/>
                <w:spacing w:val="0"/>
                <w:w w:val="100"/>
                <w:kern w:val="0"/>
                <w:sz w:val="18"/>
                <w:szCs w:val="18"/>
                <w:lang w:val="en-US"/>
              </w:rPr>
              <w:t>239</w:t>
            </w:r>
            <w:bookmarkStart w:id="122" w:name="_Toc40281121"/>
            <w:bookmarkStart w:id="123" w:name="_Toc40281280"/>
            <w:bookmarkEnd w:id="122"/>
            <w:bookmarkEnd w:id="123"/>
          </w:p>
        </w:tc>
        <w:tc>
          <w:tcPr>
            <w:tcW w:w="1435" w:type="dxa"/>
            <w:tcBorders>
              <w:top w:val="nil"/>
              <w:left w:val="nil"/>
              <w:bottom w:val="single" w:sz="4" w:space="0" w:color="auto"/>
              <w:right w:val="nil"/>
            </w:tcBorders>
            <w:noWrap/>
          </w:tcPr>
          <w:p w14:paraId="5D0FFDA3" w14:textId="16FC156F" w:rsidR="004F0A43" w:rsidRPr="00B664C6" w:rsidRDefault="00200591" w:rsidP="004F0A43">
            <w:pPr>
              <w:keepNext/>
              <w:suppressAutoHyphens w:val="0"/>
              <w:spacing w:line="240" w:lineRule="auto"/>
              <w:jc w:val="center"/>
              <w:rPr>
                <w:color w:val="000000"/>
                <w:spacing w:val="0"/>
                <w:w w:val="100"/>
                <w:kern w:val="0"/>
                <w:sz w:val="18"/>
                <w:szCs w:val="18"/>
                <w:lang w:val="en-US"/>
              </w:rPr>
            </w:pPr>
            <w:r w:rsidRPr="00B664C6">
              <w:rPr>
                <w:color w:val="000000"/>
                <w:spacing w:val="0"/>
                <w:w w:val="100"/>
                <w:kern w:val="0"/>
                <w:sz w:val="18"/>
                <w:szCs w:val="18"/>
                <w:lang w:val="en-US"/>
              </w:rPr>
              <w:t>9%</w:t>
            </w:r>
            <w:bookmarkStart w:id="124" w:name="_Toc40281122"/>
            <w:bookmarkStart w:id="125" w:name="_Toc40281281"/>
            <w:bookmarkEnd w:id="124"/>
            <w:bookmarkEnd w:id="125"/>
          </w:p>
        </w:tc>
        <w:bookmarkStart w:id="126" w:name="_Toc40281123"/>
        <w:bookmarkStart w:id="127" w:name="_Toc40281282"/>
        <w:bookmarkEnd w:id="126"/>
        <w:bookmarkEnd w:id="127"/>
      </w:tr>
      <w:tr w:rsidR="004F0A43" w:rsidRPr="00B664C6" w14:paraId="0F6B3746" w14:textId="71C73DFC" w:rsidTr="00955997">
        <w:trPr>
          <w:gridAfter w:val="1"/>
          <w:wAfter w:w="9" w:type="dxa"/>
          <w:trHeight w:val="206"/>
        </w:trPr>
        <w:tc>
          <w:tcPr>
            <w:tcW w:w="2963" w:type="dxa"/>
            <w:tcBorders>
              <w:top w:val="single" w:sz="4" w:space="0" w:color="auto"/>
              <w:left w:val="nil"/>
              <w:bottom w:val="single" w:sz="4" w:space="0" w:color="auto"/>
              <w:right w:val="nil"/>
            </w:tcBorders>
            <w:hideMark/>
          </w:tcPr>
          <w:p w14:paraId="24A241EE" w14:textId="45CBABE8" w:rsidR="004F0A43" w:rsidRPr="00B664C6" w:rsidRDefault="004F0A43" w:rsidP="004F0A43">
            <w:pPr>
              <w:keepNext/>
              <w:suppressAutoHyphens w:val="0"/>
              <w:spacing w:line="240" w:lineRule="auto"/>
              <w:rPr>
                <w:b/>
                <w:bCs/>
                <w:color w:val="000000"/>
                <w:spacing w:val="0"/>
                <w:w w:val="100"/>
                <w:kern w:val="0"/>
                <w:sz w:val="18"/>
                <w:szCs w:val="18"/>
                <w:lang w:val="en-US"/>
              </w:rPr>
            </w:pPr>
            <w:r w:rsidRPr="00B664C6">
              <w:rPr>
                <w:b/>
                <w:bCs/>
                <w:color w:val="000000"/>
                <w:spacing w:val="0"/>
                <w:w w:val="100"/>
                <w:kern w:val="0"/>
                <w:sz w:val="18"/>
                <w:szCs w:val="18"/>
                <w:lang w:val="en-US"/>
              </w:rPr>
              <w:t>Net assets</w:t>
            </w:r>
            <w:bookmarkStart w:id="128" w:name="_Toc40281124"/>
            <w:bookmarkStart w:id="129" w:name="_Toc40281283"/>
            <w:bookmarkEnd w:id="128"/>
            <w:bookmarkEnd w:id="129"/>
          </w:p>
        </w:tc>
        <w:tc>
          <w:tcPr>
            <w:tcW w:w="1433" w:type="dxa"/>
            <w:tcBorders>
              <w:top w:val="single" w:sz="4" w:space="0" w:color="auto"/>
              <w:left w:val="nil"/>
              <w:bottom w:val="single" w:sz="4" w:space="0" w:color="auto"/>
              <w:right w:val="nil"/>
            </w:tcBorders>
          </w:tcPr>
          <w:p w14:paraId="7FC808DF" w14:textId="790E47B1" w:rsidR="004F0A43" w:rsidRPr="00B664C6" w:rsidRDefault="007C402B" w:rsidP="004F0A43">
            <w:pPr>
              <w:keepNext/>
              <w:suppressAutoHyphens w:val="0"/>
              <w:spacing w:line="240" w:lineRule="auto"/>
              <w:jc w:val="right"/>
              <w:rPr>
                <w:color w:val="000000"/>
                <w:spacing w:val="0"/>
                <w:w w:val="100"/>
                <w:kern w:val="0"/>
                <w:sz w:val="18"/>
                <w:szCs w:val="18"/>
                <w:lang w:val="en-US"/>
              </w:rPr>
            </w:pPr>
            <w:bookmarkStart w:id="130" w:name="_Toc40281125"/>
            <w:bookmarkStart w:id="131" w:name="_Toc40281284"/>
            <w:bookmarkEnd w:id="130"/>
            <w:bookmarkEnd w:id="131"/>
            <w:r w:rsidRPr="00B664C6">
              <w:rPr>
                <w:color w:val="000000"/>
                <w:spacing w:val="0"/>
                <w:w w:val="100"/>
                <w:kern w:val="0"/>
                <w:sz w:val="18"/>
                <w:szCs w:val="18"/>
                <w:lang w:val="en-US"/>
              </w:rPr>
              <w:t>11,</w:t>
            </w:r>
            <w:r w:rsidR="0092297E" w:rsidRPr="00B664C6">
              <w:rPr>
                <w:color w:val="000000"/>
                <w:spacing w:val="0"/>
                <w:w w:val="100"/>
                <w:kern w:val="0"/>
                <w:sz w:val="18"/>
                <w:szCs w:val="18"/>
                <w:lang w:val="en-US"/>
              </w:rPr>
              <w:t>270</w:t>
            </w:r>
            <w:bookmarkStart w:id="132" w:name="_Toc40281126"/>
            <w:bookmarkStart w:id="133" w:name="_Toc40281285"/>
            <w:bookmarkEnd w:id="132"/>
            <w:bookmarkEnd w:id="133"/>
          </w:p>
        </w:tc>
        <w:tc>
          <w:tcPr>
            <w:tcW w:w="1434" w:type="dxa"/>
            <w:tcBorders>
              <w:top w:val="single" w:sz="4" w:space="0" w:color="auto"/>
              <w:left w:val="nil"/>
              <w:bottom w:val="single" w:sz="4" w:space="0" w:color="auto"/>
              <w:right w:val="nil"/>
            </w:tcBorders>
          </w:tcPr>
          <w:p w14:paraId="380942CE" w14:textId="2274616C" w:rsidR="004F0A43" w:rsidRPr="00B664C6" w:rsidRDefault="004F0A43" w:rsidP="004F0A43">
            <w:pPr>
              <w:keepNext/>
              <w:suppressAutoHyphens w:val="0"/>
              <w:spacing w:line="240" w:lineRule="auto"/>
              <w:jc w:val="right"/>
              <w:rPr>
                <w:color w:val="000000"/>
                <w:spacing w:val="0"/>
                <w:w w:val="100"/>
                <w:kern w:val="0"/>
                <w:sz w:val="18"/>
                <w:szCs w:val="18"/>
                <w:lang w:val="en-US"/>
              </w:rPr>
            </w:pPr>
            <w:bookmarkStart w:id="134" w:name="_Toc40281127"/>
            <w:bookmarkStart w:id="135" w:name="_Toc40281286"/>
            <w:bookmarkEnd w:id="134"/>
            <w:bookmarkEnd w:id="135"/>
            <w:r w:rsidRPr="00B664C6">
              <w:rPr>
                <w:color w:val="000000"/>
                <w:spacing w:val="0"/>
                <w:w w:val="100"/>
                <w:kern w:val="0"/>
                <w:sz w:val="18"/>
                <w:szCs w:val="18"/>
                <w:lang w:val="en-US"/>
              </w:rPr>
              <w:t>9,695</w:t>
            </w:r>
            <w:bookmarkStart w:id="136" w:name="_Toc40281128"/>
            <w:bookmarkStart w:id="137" w:name="_Toc40281287"/>
            <w:bookmarkEnd w:id="136"/>
            <w:bookmarkEnd w:id="137"/>
          </w:p>
        </w:tc>
        <w:tc>
          <w:tcPr>
            <w:tcW w:w="1434" w:type="dxa"/>
            <w:tcBorders>
              <w:top w:val="single" w:sz="4" w:space="0" w:color="auto"/>
              <w:left w:val="nil"/>
              <w:bottom w:val="single" w:sz="4" w:space="0" w:color="auto"/>
              <w:right w:val="nil"/>
            </w:tcBorders>
            <w:noWrap/>
          </w:tcPr>
          <w:p w14:paraId="5654B2F9" w14:textId="792379D8" w:rsidR="004F0A43" w:rsidRPr="00B664C6" w:rsidRDefault="00D96CE0" w:rsidP="004F0A43">
            <w:pPr>
              <w:keepNext/>
              <w:suppressAutoHyphens w:val="0"/>
              <w:spacing w:line="240" w:lineRule="auto"/>
              <w:jc w:val="right"/>
              <w:rPr>
                <w:color w:val="000000"/>
                <w:spacing w:val="0"/>
                <w:w w:val="100"/>
                <w:kern w:val="0"/>
                <w:sz w:val="18"/>
                <w:szCs w:val="18"/>
                <w:lang w:val="en-US"/>
              </w:rPr>
            </w:pPr>
            <w:r w:rsidRPr="00B664C6">
              <w:rPr>
                <w:color w:val="000000"/>
                <w:spacing w:val="0"/>
                <w:w w:val="100"/>
                <w:kern w:val="0"/>
                <w:sz w:val="18"/>
                <w:szCs w:val="18"/>
                <w:lang w:val="en-US"/>
              </w:rPr>
              <w:t>1,5</w:t>
            </w:r>
            <w:bookmarkStart w:id="138" w:name="_Toc40281129"/>
            <w:bookmarkStart w:id="139" w:name="_Toc40281288"/>
            <w:bookmarkEnd w:id="138"/>
            <w:bookmarkEnd w:id="139"/>
            <w:r w:rsidR="0092297E" w:rsidRPr="00B664C6">
              <w:rPr>
                <w:color w:val="000000"/>
                <w:spacing w:val="0"/>
                <w:w w:val="100"/>
                <w:kern w:val="0"/>
                <w:sz w:val="18"/>
                <w:szCs w:val="18"/>
                <w:lang w:val="en-US"/>
              </w:rPr>
              <w:t>75</w:t>
            </w:r>
          </w:p>
        </w:tc>
        <w:tc>
          <w:tcPr>
            <w:tcW w:w="1435" w:type="dxa"/>
            <w:tcBorders>
              <w:top w:val="single" w:sz="4" w:space="0" w:color="auto"/>
              <w:left w:val="nil"/>
              <w:bottom w:val="single" w:sz="4" w:space="0" w:color="auto"/>
              <w:right w:val="nil"/>
            </w:tcBorders>
            <w:noWrap/>
          </w:tcPr>
          <w:p w14:paraId="0A62E801" w14:textId="187F8027" w:rsidR="004F0A43" w:rsidRPr="00B664C6" w:rsidRDefault="00200591" w:rsidP="004F0A43">
            <w:pPr>
              <w:keepNext/>
              <w:suppressAutoHyphens w:val="0"/>
              <w:spacing w:line="240" w:lineRule="auto"/>
              <w:jc w:val="center"/>
              <w:rPr>
                <w:color w:val="000000"/>
                <w:spacing w:val="0"/>
                <w:w w:val="100"/>
                <w:kern w:val="0"/>
                <w:sz w:val="18"/>
                <w:szCs w:val="18"/>
                <w:lang w:val="en-US"/>
              </w:rPr>
            </w:pPr>
            <w:r w:rsidRPr="00B664C6">
              <w:rPr>
                <w:color w:val="000000"/>
                <w:spacing w:val="0"/>
                <w:w w:val="100"/>
                <w:kern w:val="0"/>
                <w:sz w:val="18"/>
                <w:szCs w:val="18"/>
                <w:lang w:val="en-US"/>
              </w:rPr>
              <w:t>16%</w:t>
            </w:r>
            <w:bookmarkStart w:id="140" w:name="_Toc40281130"/>
            <w:bookmarkStart w:id="141" w:name="_Toc40281289"/>
            <w:bookmarkEnd w:id="140"/>
            <w:bookmarkEnd w:id="141"/>
          </w:p>
        </w:tc>
        <w:bookmarkStart w:id="142" w:name="_Toc40281131"/>
        <w:bookmarkStart w:id="143" w:name="_Toc40281290"/>
        <w:bookmarkEnd w:id="142"/>
        <w:bookmarkEnd w:id="143"/>
      </w:tr>
      <w:tr w:rsidR="004F0A43" w:rsidRPr="00B664C6" w14:paraId="6810EEF9" w14:textId="7FCD916D" w:rsidTr="00955997">
        <w:trPr>
          <w:gridAfter w:val="1"/>
          <w:wAfter w:w="9" w:type="dxa"/>
          <w:trHeight w:val="206"/>
        </w:trPr>
        <w:tc>
          <w:tcPr>
            <w:tcW w:w="2963" w:type="dxa"/>
            <w:tcBorders>
              <w:top w:val="single" w:sz="4" w:space="0" w:color="auto"/>
              <w:left w:val="nil"/>
              <w:bottom w:val="nil"/>
              <w:right w:val="nil"/>
            </w:tcBorders>
            <w:hideMark/>
          </w:tcPr>
          <w:p w14:paraId="5174E6F1" w14:textId="0ABACCDB" w:rsidR="004F0A43" w:rsidRPr="00B664C6" w:rsidRDefault="004F0A43" w:rsidP="004F0A43">
            <w:pPr>
              <w:keepNext/>
              <w:suppressAutoHyphens w:val="0"/>
              <w:spacing w:line="240" w:lineRule="auto"/>
              <w:rPr>
                <w:b/>
                <w:bCs/>
                <w:color w:val="000000"/>
                <w:spacing w:val="0"/>
                <w:w w:val="100"/>
                <w:kern w:val="0"/>
                <w:sz w:val="18"/>
                <w:szCs w:val="18"/>
                <w:u w:val="single"/>
                <w:lang w:val="en-US"/>
              </w:rPr>
            </w:pPr>
            <w:bookmarkStart w:id="144" w:name="_Toc40281132"/>
            <w:bookmarkStart w:id="145" w:name="_Toc40281291"/>
            <w:bookmarkStart w:id="146" w:name="_Toc40281133"/>
            <w:bookmarkStart w:id="147" w:name="_Toc40281292"/>
            <w:bookmarkStart w:id="148" w:name="_Toc40281134"/>
            <w:bookmarkStart w:id="149" w:name="_Toc40281293"/>
            <w:bookmarkStart w:id="150" w:name="_Toc40281135"/>
            <w:bookmarkStart w:id="151" w:name="_Toc40281294"/>
            <w:bookmarkStart w:id="152" w:name="_Toc40281136"/>
            <w:bookmarkStart w:id="153" w:name="_Toc40281295"/>
            <w:bookmarkStart w:id="154" w:name="_Toc40281137"/>
            <w:bookmarkStart w:id="155" w:name="_Toc40281296"/>
            <w:bookmarkStart w:id="156" w:name="_Toc40281138"/>
            <w:bookmarkStart w:id="157" w:name="_Toc40281297"/>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B664C6">
              <w:rPr>
                <w:b/>
                <w:bCs/>
                <w:color w:val="000000"/>
                <w:spacing w:val="0"/>
                <w:w w:val="100"/>
                <w:kern w:val="0"/>
                <w:sz w:val="18"/>
                <w:szCs w:val="18"/>
                <w:u w:val="single"/>
                <w:lang w:val="en-US"/>
              </w:rPr>
              <w:t>Composed of:</w:t>
            </w:r>
            <w:bookmarkStart w:id="158" w:name="_Toc40281140"/>
            <w:bookmarkStart w:id="159" w:name="_Toc40281299"/>
            <w:bookmarkEnd w:id="158"/>
            <w:bookmarkEnd w:id="159"/>
          </w:p>
        </w:tc>
        <w:tc>
          <w:tcPr>
            <w:tcW w:w="1433" w:type="dxa"/>
            <w:tcBorders>
              <w:top w:val="single" w:sz="4" w:space="0" w:color="auto"/>
              <w:left w:val="nil"/>
              <w:bottom w:val="nil"/>
              <w:right w:val="nil"/>
            </w:tcBorders>
          </w:tcPr>
          <w:p w14:paraId="0CCC7F06" w14:textId="31902B73" w:rsidR="004F0A43" w:rsidRPr="00B664C6" w:rsidRDefault="004F0A43" w:rsidP="004F0A43">
            <w:pPr>
              <w:keepNext/>
              <w:suppressAutoHyphens w:val="0"/>
              <w:spacing w:line="240" w:lineRule="auto"/>
              <w:rPr>
                <w:b/>
                <w:bCs/>
                <w:color w:val="000000"/>
                <w:spacing w:val="0"/>
                <w:w w:val="100"/>
                <w:kern w:val="0"/>
                <w:sz w:val="18"/>
                <w:szCs w:val="18"/>
                <w:u w:val="single"/>
                <w:lang w:val="en-US"/>
              </w:rPr>
            </w:pPr>
            <w:bookmarkStart w:id="160" w:name="_Toc40281141"/>
            <w:bookmarkStart w:id="161" w:name="_Toc40281300"/>
            <w:bookmarkStart w:id="162" w:name="_Toc40281142"/>
            <w:bookmarkStart w:id="163" w:name="_Toc40281301"/>
            <w:bookmarkEnd w:id="160"/>
            <w:bookmarkEnd w:id="161"/>
            <w:bookmarkEnd w:id="162"/>
            <w:bookmarkEnd w:id="163"/>
          </w:p>
        </w:tc>
        <w:tc>
          <w:tcPr>
            <w:tcW w:w="1434" w:type="dxa"/>
            <w:tcBorders>
              <w:top w:val="single" w:sz="4" w:space="0" w:color="auto"/>
              <w:left w:val="nil"/>
              <w:bottom w:val="nil"/>
              <w:right w:val="nil"/>
            </w:tcBorders>
          </w:tcPr>
          <w:p w14:paraId="1C31C9FF" w14:textId="6D39C27C" w:rsidR="004F0A43" w:rsidRPr="00B664C6" w:rsidRDefault="004F0A43" w:rsidP="004F0A43">
            <w:pPr>
              <w:keepNext/>
              <w:suppressAutoHyphens w:val="0"/>
              <w:spacing w:line="240" w:lineRule="auto"/>
              <w:jc w:val="right"/>
              <w:rPr>
                <w:spacing w:val="0"/>
                <w:w w:val="100"/>
                <w:kern w:val="0"/>
                <w:lang w:val="en-US"/>
              </w:rPr>
            </w:pPr>
            <w:bookmarkStart w:id="164" w:name="_Toc40281143"/>
            <w:bookmarkStart w:id="165" w:name="_Toc40281302"/>
            <w:bookmarkStart w:id="166" w:name="_Toc40281144"/>
            <w:bookmarkStart w:id="167" w:name="_Toc40281303"/>
            <w:bookmarkEnd w:id="164"/>
            <w:bookmarkEnd w:id="165"/>
            <w:bookmarkEnd w:id="166"/>
            <w:bookmarkEnd w:id="167"/>
          </w:p>
        </w:tc>
        <w:tc>
          <w:tcPr>
            <w:tcW w:w="1434" w:type="dxa"/>
            <w:tcBorders>
              <w:top w:val="single" w:sz="4" w:space="0" w:color="auto"/>
              <w:left w:val="nil"/>
              <w:bottom w:val="nil"/>
              <w:right w:val="nil"/>
            </w:tcBorders>
            <w:noWrap/>
          </w:tcPr>
          <w:p w14:paraId="3D1EF3AF" w14:textId="781ED688" w:rsidR="004F0A43" w:rsidRPr="00B664C6" w:rsidRDefault="004F0A43" w:rsidP="004F0A43">
            <w:pPr>
              <w:keepNext/>
              <w:suppressAutoHyphens w:val="0"/>
              <w:spacing w:line="240" w:lineRule="auto"/>
              <w:jc w:val="right"/>
              <w:rPr>
                <w:spacing w:val="0"/>
                <w:w w:val="100"/>
                <w:kern w:val="0"/>
                <w:lang w:val="en-US"/>
              </w:rPr>
            </w:pPr>
            <w:bookmarkStart w:id="168" w:name="_Toc40281145"/>
            <w:bookmarkStart w:id="169" w:name="_Toc40281304"/>
            <w:bookmarkEnd w:id="168"/>
            <w:bookmarkEnd w:id="169"/>
          </w:p>
        </w:tc>
        <w:tc>
          <w:tcPr>
            <w:tcW w:w="1435" w:type="dxa"/>
            <w:tcBorders>
              <w:top w:val="single" w:sz="4" w:space="0" w:color="auto"/>
              <w:left w:val="nil"/>
              <w:bottom w:val="nil"/>
              <w:right w:val="nil"/>
            </w:tcBorders>
            <w:noWrap/>
          </w:tcPr>
          <w:p w14:paraId="67775551" w14:textId="7F9E87D2" w:rsidR="004F0A43" w:rsidRPr="00B664C6" w:rsidRDefault="004F0A43" w:rsidP="004F0A43">
            <w:pPr>
              <w:keepNext/>
              <w:suppressAutoHyphens w:val="0"/>
              <w:spacing w:line="240" w:lineRule="auto"/>
              <w:jc w:val="center"/>
              <w:rPr>
                <w:spacing w:val="0"/>
                <w:w w:val="100"/>
                <w:kern w:val="0"/>
                <w:lang w:val="en-US"/>
              </w:rPr>
            </w:pPr>
            <w:bookmarkStart w:id="170" w:name="_Toc40281146"/>
            <w:bookmarkStart w:id="171" w:name="_Toc40281305"/>
            <w:bookmarkEnd w:id="170"/>
            <w:bookmarkEnd w:id="171"/>
          </w:p>
        </w:tc>
        <w:bookmarkStart w:id="172" w:name="_Toc40281147"/>
        <w:bookmarkStart w:id="173" w:name="_Toc40281306"/>
        <w:bookmarkEnd w:id="172"/>
        <w:bookmarkEnd w:id="173"/>
      </w:tr>
      <w:tr w:rsidR="004F0A43" w:rsidRPr="00B664C6" w14:paraId="6A775F67" w14:textId="1FC28E5F" w:rsidTr="00955997">
        <w:trPr>
          <w:gridAfter w:val="1"/>
          <w:wAfter w:w="9" w:type="dxa"/>
          <w:trHeight w:val="280"/>
        </w:trPr>
        <w:tc>
          <w:tcPr>
            <w:tcW w:w="2963" w:type="dxa"/>
            <w:tcBorders>
              <w:top w:val="nil"/>
              <w:left w:val="nil"/>
              <w:bottom w:val="nil"/>
              <w:right w:val="nil"/>
            </w:tcBorders>
            <w:noWrap/>
            <w:hideMark/>
          </w:tcPr>
          <w:p w14:paraId="6CACAB88" w14:textId="7CF64BB6" w:rsidR="004F0A43" w:rsidRPr="00B664C6" w:rsidRDefault="004F0A43" w:rsidP="004F0A43">
            <w:pPr>
              <w:keepNext/>
              <w:suppressAutoHyphens w:val="0"/>
              <w:spacing w:line="240" w:lineRule="auto"/>
              <w:rPr>
                <w:b/>
                <w:bCs/>
                <w:color w:val="000000"/>
                <w:spacing w:val="0"/>
                <w:w w:val="100"/>
                <w:kern w:val="0"/>
                <w:sz w:val="18"/>
                <w:szCs w:val="18"/>
                <w:lang w:val="en-US"/>
              </w:rPr>
            </w:pPr>
            <w:r w:rsidRPr="00B664C6">
              <w:rPr>
                <w:b/>
                <w:bCs/>
                <w:color w:val="000000"/>
                <w:spacing w:val="0"/>
                <w:w w:val="100"/>
                <w:kern w:val="0"/>
                <w:sz w:val="18"/>
                <w:szCs w:val="18"/>
                <w:lang w:val="en-US"/>
              </w:rPr>
              <w:t>Accumulated balance</w:t>
            </w:r>
            <w:bookmarkStart w:id="174" w:name="_Toc40281148"/>
            <w:bookmarkStart w:id="175" w:name="_Toc40281307"/>
            <w:bookmarkEnd w:id="174"/>
            <w:bookmarkEnd w:id="175"/>
          </w:p>
        </w:tc>
        <w:tc>
          <w:tcPr>
            <w:tcW w:w="1433" w:type="dxa"/>
            <w:tcBorders>
              <w:top w:val="nil"/>
              <w:left w:val="nil"/>
              <w:bottom w:val="nil"/>
              <w:right w:val="nil"/>
            </w:tcBorders>
          </w:tcPr>
          <w:p w14:paraId="373D81E2" w14:textId="0E613C4A" w:rsidR="004F0A43" w:rsidRPr="00B664C6" w:rsidRDefault="007C402B" w:rsidP="004F0A43">
            <w:pPr>
              <w:keepNext/>
              <w:suppressAutoHyphens w:val="0"/>
              <w:spacing w:line="240" w:lineRule="auto"/>
              <w:jc w:val="right"/>
              <w:rPr>
                <w:color w:val="000000"/>
                <w:spacing w:val="0"/>
                <w:w w:val="100"/>
                <w:kern w:val="0"/>
                <w:sz w:val="18"/>
                <w:szCs w:val="18"/>
                <w:lang w:val="en-US"/>
              </w:rPr>
            </w:pPr>
            <w:bookmarkStart w:id="176" w:name="_Toc40281149"/>
            <w:bookmarkStart w:id="177" w:name="_Toc40281308"/>
            <w:bookmarkEnd w:id="176"/>
            <w:bookmarkEnd w:id="177"/>
            <w:r w:rsidRPr="00B664C6">
              <w:rPr>
                <w:color w:val="000000"/>
                <w:spacing w:val="0"/>
                <w:w w:val="100"/>
                <w:kern w:val="0"/>
                <w:sz w:val="18"/>
                <w:szCs w:val="18"/>
                <w:lang w:val="en-US"/>
              </w:rPr>
              <w:t>10,</w:t>
            </w:r>
            <w:bookmarkStart w:id="178" w:name="_Toc40281150"/>
            <w:bookmarkStart w:id="179" w:name="_Toc40281309"/>
            <w:bookmarkEnd w:id="178"/>
            <w:bookmarkEnd w:id="179"/>
            <w:r w:rsidR="00054A6B" w:rsidRPr="00B664C6">
              <w:rPr>
                <w:color w:val="000000"/>
                <w:spacing w:val="0"/>
                <w:w w:val="100"/>
                <w:kern w:val="0"/>
                <w:sz w:val="18"/>
                <w:szCs w:val="18"/>
                <w:lang w:val="en-US"/>
              </w:rPr>
              <w:t>968</w:t>
            </w:r>
          </w:p>
        </w:tc>
        <w:tc>
          <w:tcPr>
            <w:tcW w:w="1434" w:type="dxa"/>
            <w:tcBorders>
              <w:top w:val="nil"/>
              <w:left w:val="nil"/>
              <w:bottom w:val="nil"/>
              <w:right w:val="nil"/>
            </w:tcBorders>
          </w:tcPr>
          <w:p w14:paraId="4DAC9025" w14:textId="0E5093EE" w:rsidR="004F0A43" w:rsidRPr="00B664C6" w:rsidRDefault="004F0A43" w:rsidP="004F0A43">
            <w:pPr>
              <w:keepNext/>
              <w:suppressAutoHyphens w:val="0"/>
              <w:spacing w:line="240" w:lineRule="auto"/>
              <w:jc w:val="right"/>
              <w:rPr>
                <w:color w:val="000000"/>
                <w:spacing w:val="0"/>
                <w:w w:val="100"/>
                <w:kern w:val="0"/>
                <w:sz w:val="18"/>
                <w:szCs w:val="18"/>
                <w:lang w:val="en-US"/>
              </w:rPr>
            </w:pPr>
            <w:bookmarkStart w:id="180" w:name="_Toc40281151"/>
            <w:bookmarkStart w:id="181" w:name="_Toc40281310"/>
            <w:bookmarkEnd w:id="180"/>
            <w:bookmarkEnd w:id="181"/>
            <w:r w:rsidRPr="00B664C6">
              <w:rPr>
                <w:color w:val="000000"/>
                <w:spacing w:val="0"/>
                <w:w w:val="100"/>
                <w:kern w:val="0"/>
                <w:sz w:val="18"/>
                <w:szCs w:val="18"/>
                <w:lang w:val="en-US"/>
              </w:rPr>
              <w:t>9,409</w:t>
            </w:r>
            <w:bookmarkStart w:id="182" w:name="_Toc40281152"/>
            <w:bookmarkStart w:id="183" w:name="_Toc40281311"/>
            <w:bookmarkEnd w:id="182"/>
            <w:bookmarkEnd w:id="183"/>
          </w:p>
        </w:tc>
        <w:tc>
          <w:tcPr>
            <w:tcW w:w="1434" w:type="dxa"/>
            <w:tcBorders>
              <w:top w:val="nil"/>
              <w:left w:val="nil"/>
              <w:bottom w:val="nil"/>
              <w:right w:val="nil"/>
            </w:tcBorders>
            <w:noWrap/>
          </w:tcPr>
          <w:p w14:paraId="7022BB7F" w14:textId="1F7DB101" w:rsidR="004F0A43" w:rsidRPr="00B664C6" w:rsidRDefault="00D96CE0" w:rsidP="004F0A43">
            <w:pPr>
              <w:keepNext/>
              <w:suppressAutoHyphens w:val="0"/>
              <w:spacing w:line="240" w:lineRule="auto"/>
              <w:jc w:val="right"/>
              <w:rPr>
                <w:color w:val="000000"/>
                <w:spacing w:val="0"/>
                <w:w w:val="100"/>
                <w:kern w:val="0"/>
                <w:sz w:val="18"/>
                <w:szCs w:val="18"/>
                <w:lang w:val="en-US"/>
              </w:rPr>
            </w:pPr>
            <w:r w:rsidRPr="00B664C6">
              <w:rPr>
                <w:color w:val="000000"/>
                <w:spacing w:val="0"/>
                <w:w w:val="100"/>
                <w:kern w:val="0"/>
                <w:sz w:val="18"/>
                <w:szCs w:val="18"/>
                <w:lang w:val="en-US"/>
              </w:rPr>
              <w:t>1,</w:t>
            </w:r>
            <w:bookmarkStart w:id="184" w:name="_Toc40281153"/>
            <w:bookmarkStart w:id="185" w:name="_Toc40281312"/>
            <w:bookmarkEnd w:id="184"/>
            <w:bookmarkEnd w:id="185"/>
            <w:r w:rsidR="002E1DC7" w:rsidRPr="00B664C6">
              <w:rPr>
                <w:color w:val="000000"/>
                <w:spacing w:val="0"/>
                <w:w w:val="100"/>
                <w:kern w:val="0"/>
                <w:sz w:val="18"/>
                <w:szCs w:val="18"/>
                <w:lang w:val="en-US"/>
              </w:rPr>
              <w:t>559</w:t>
            </w:r>
          </w:p>
        </w:tc>
        <w:tc>
          <w:tcPr>
            <w:tcW w:w="1435" w:type="dxa"/>
            <w:tcBorders>
              <w:top w:val="nil"/>
              <w:left w:val="nil"/>
              <w:bottom w:val="nil"/>
              <w:right w:val="nil"/>
            </w:tcBorders>
            <w:noWrap/>
          </w:tcPr>
          <w:p w14:paraId="7F7FF217" w14:textId="70449FE8" w:rsidR="004F0A43" w:rsidRPr="00B664C6" w:rsidRDefault="00200591" w:rsidP="004F0A43">
            <w:pPr>
              <w:keepNext/>
              <w:suppressAutoHyphens w:val="0"/>
              <w:spacing w:line="240" w:lineRule="auto"/>
              <w:jc w:val="center"/>
              <w:rPr>
                <w:color w:val="000000"/>
                <w:spacing w:val="0"/>
                <w:w w:val="100"/>
                <w:kern w:val="0"/>
                <w:sz w:val="18"/>
                <w:szCs w:val="18"/>
                <w:lang w:val="en-US"/>
              </w:rPr>
            </w:pPr>
            <w:r w:rsidRPr="00B664C6">
              <w:rPr>
                <w:color w:val="000000"/>
                <w:spacing w:val="0"/>
                <w:w w:val="100"/>
                <w:kern w:val="0"/>
                <w:sz w:val="18"/>
                <w:szCs w:val="18"/>
                <w:lang w:val="en-US"/>
              </w:rPr>
              <w:t>1</w:t>
            </w:r>
            <w:r w:rsidR="002E1DC7" w:rsidRPr="00B664C6">
              <w:rPr>
                <w:color w:val="000000"/>
                <w:spacing w:val="0"/>
                <w:w w:val="100"/>
                <w:kern w:val="0"/>
                <w:sz w:val="18"/>
                <w:szCs w:val="18"/>
                <w:lang w:val="en-US"/>
              </w:rPr>
              <w:t>7</w:t>
            </w:r>
            <w:r w:rsidRPr="00B664C6">
              <w:rPr>
                <w:color w:val="000000"/>
                <w:spacing w:val="0"/>
                <w:w w:val="100"/>
                <w:kern w:val="0"/>
                <w:sz w:val="18"/>
                <w:szCs w:val="18"/>
                <w:lang w:val="en-US"/>
              </w:rPr>
              <w:t>%</w:t>
            </w:r>
            <w:bookmarkStart w:id="186" w:name="_Toc40281154"/>
            <w:bookmarkStart w:id="187" w:name="_Toc40281313"/>
            <w:bookmarkEnd w:id="186"/>
            <w:bookmarkEnd w:id="187"/>
          </w:p>
        </w:tc>
        <w:bookmarkStart w:id="188" w:name="_Toc40281155"/>
        <w:bookmarkStart w:id="189" w:name="_Toc40281314"/>
        <w:bookmarkEnd w:id="188"/>
        <w:bookmarkEnd w:id="189"/>
      </w:tr>
      <w:tr w:rsidR="004F0A43" w:rsidRPr="00B664C6" w14:paraId="0C8A5443" w14:textId="226001B5" w:rsidTr="003C31AA">
        <w:trPr>
          <w:gridAfter w:val="1"/>
          <w:wAfter w:w="9" w:type="dxa"/>
          <w:trHeight w:val="37"/>
        </w:trPr>
        <w:tc>
          <w:tcPr>
            <w:tcW w:w="2963" w:type="dxa"/>
            <w:tcBorders>
              <w:top w:val="nil"/>
              <w:left w:val="nil"/>
              <w:bottom w:val="single" w:sz="4" w:space="0" w:color="auto"/>
              <w:right w:val="nil"/>
            </w:tcBorders>
            <w:hideMark/>
          </w:tcPr>
          <w:p w14:paraId="0093E6C9" w14:textId="72168431" w:rsidR="004F0A43" w:rsidRPr="00B664C6" w:rsidRDefault="004F0A43" w:rsidP="004F0A43">
            <w:pPr>
              <w:keepNext/>
              <w:suppressAutoHyphens w:val="0"/>
              <w:spacing w:line="240" w:lineRule="auto"/>
              <w:rPr>
                <w:b/>
                <w:bCs/>
                <w:color w:val="000000"/>
                <w:spacing w:val="0"/>
                <w:w w:val="100"/>
                <w:kern w:val="0"/>
                <w:sz w:val="18"/>
                <w:szCs w:val="18"/>
                <w:lang w:val="en-US"/>
              </w:rPr>
            </w:pPr>
            <w:r w:rsidRPr="00B664C6">
              <w:rPr>
                <w:b/>
                <w:bCs/>
                <w:color w:val="000000"/>
                <w:spacing w:val="0"/>
                <w:w w:val="100"/>
                <w:kern w:val="0"/>
                <w:sz w:val="18"/>
                <w:szCs w:val="18"/>
                <w:lang w:val="en-US"/>
              </w:rPr>
              <w:t>Reserves</w:t>
            </w:r>
            <w:bookmarkStart w:id="190" w:name="_Toc40281156"/>
            <w:bookmarkStart w:id="191" w:name="_Toc40281315"/>
            <w:bookmarkEnd w:id="190"/>
            <w:bookmarkEnd w:id="191"/>
            <w:r w:rsidR="006F67F1" w:rsidRPr="001A2316">
              <w:rPr>
                <w:rStyle w:val="FootnoteReference"/>
                <w:b/>
                <w:bCs/>
                <w:color w:val="auto"/>
                <w:sz w:val="18"/>
                <w:szCs w:val="18"/>
                <w:lang w:val="en-US"/>
              </w:rPr>
              <w:footnoteReference w:id="2"/>
            </w:r>
          </w:p>
        </w:tc>
        <w:tc>
          <w:tcPr>
            <w:tcW w:w="1433" w:type="dxa"/>
            <w:tcBorders>
              <w:top w:val="nil"/>
              <w:left w:val="nil"/>
              <w:bottom w:val="single" w:sz="4" w:space="0" w:color="auto"/>
              <w:right w:val="nil"/>
            </w:tcBorders>
          </w:tcPr>
          <w:p w14:paraId="450963DE" w14:textId="3F21749E" w:rsidR="004F0A43" w:rsidRPr="00B664C6" w:rsidRDefault="007C402B" w:rsidP="004F0A43">
            <w:pPr>
              <w:keepNext/>
              <w:suppressAutoHyphens w:val="0"/>
              <w:spacing w:line="240" w:lineRule="auto"/>
              <w:jc w:val="right"/>
              <w:rPr>
                <w:color w:val="000000"/>
                <w:spacing w:val="0"/>
                <w:w w:val="100"/>
                <w:kern w:val="0"/>
                <w:sz w:val="18"/>
                <w:szCs w:val="18"/>
                <w:lang w:val="en-US"/>
              </w:rPr>
            </w:pPr>
            <w:bookmarkStart w:id="192" w:name="_Toc40281157"/>
            <w:bookmarkStart w:id="193" w:name="_Toc40281316"/>
            <w:bookmarkEnd w:id="192"/>
            <w:bookmarkEnd w:id="193"/>
            <w:r w:rsidRPr="00B664C6">
              <w:rPr>
                <w:color w:val="000000"/>
                <w:spacing w:val="0"/>
                <w:w w:val="100"/>
                <w:kern w:val="0"/>
                <w:sz w:val="18"/>
                <w:szCs w:val="18"/>
                <w:lang w:val="en-US"/>
              </w:rPr>
              <w:t>302</w:t>
            </w:r>
            <w:bookmarkStart w:id="194" w:name="_Toc40281158"/>
            <w:bookmarkStart w:id="195" w:name="_Toc40281317"/>
            <w:bookmarkEnd w:id="194"/>
            <w:bookmarkEnd w:id="195"/>
          </w:p>
        </w:tc>
        <w:tc>
          <w:tcPr>
            <w:tcW w:w="1434" w:type="dxa"/>
            <w:tcBorders>
              <w:top w:val="nil"/>
              <w:left w:val="nil"/>
              <w:bottom w:val="single" w:sz="4" w:space="0" w:color="auto"/>
              <w:right w:val="nil"/>
            </w:tcBorders>
          </w:tcPr>
          <w:p w14:paraId="144913FE" w14:textId="0183B7E8" w:rsidR="004F0A43" w:rsidRPr="00B664C6" w:rsidRDefault="004F0A43" w:rsidP="004F0A43">
            <w:pPr>
              <w:keepNext/>
              <w:suppressAutoHyphens w:val="0"/>
              <w:spacing w:line="240" w:lineRule="auto"/>
              <w:jc w:val="right"/>
              <w:rPr>
                <w:color w:val="000000"/>
                <w:spacing w:val="0"/>
                <w:w w:val="100"/>
                <w:kern w:val="0"/>
                <w:sz w:val="18"/>
                <w:szCs w:val="18"/>
                <w:lang w:val="en-US"/>
              </w:rPr>
            </w:pPr>
            <w:bookmarkStart w:id="196" w:name="_Toc40281159"/>
            <w:bookmarkStart w:id="197" w:name="_Toc40281318"/>
            <w:bookmarkEnd w:id="196"/>
            <w:bookmarkEnd w:id="197"/>
            <w:r w:rsidRPr="00B664C6">
              <w:rPr>
                <w:color w:val="000000"/>
                <w:spacing w:val="0"/>
                <w:w w:val="100"/>
                <w:kern w:val="0"/>
                <w:sz w:val="18"/>
                <w:szCs w:val="18"/>
                <w:lang w:val="en-US"/>
              </w:rPr>
              <w:t>286</w:t>
            </w:r>
            <w:bookmarkStart w:id="198" w:name="_Toc40281160"/>
            <w:bookmarkStart w:id="199" w:name="_Toc40281319"/>
            <w:bookmarkEnd w:id="198"/>
            <w:bookmarkEnd w:id="199"/>
          </w:p>
        </w:tc>
        <w:tc>
          <w:tcPr>
            <w:tcW w:w="1434" w:type="dxa"/>
            <w:tcBorders>
              <w:top w:val="nil"/>
              <w:left w:val="nil"/>
              <w:bottom w:val="single" w:sz="4" w:space="0" w:color="auto"/>
              <w:right w:val="nil"/>
            </w:tcBorders>
            <w:noWrap/>
          </w:tcPr>
          <w:p w14:paraId="5290BC22" w14:textId="3532DEFA" w:rsidR="004F0A43" w:rsidRPr="00B664C6" w:rsidRDefault="00D96CE0" w:rsidP="004F0A43">
            <w:pPr>
              <w:keepNext/>
              <w:suppressAutoHyphens w:val="0"/>
              <w:spacing w:line="240" w:lineRule="auto"/>
              <w:jc w:val="right"/>
              <w:rPr>
                <w:color w:val="000000"/>
                <w:spacing w:val="0"/>
                <w:w w:val="100"/>
                <w:kern w:val="0"/>
                <w:sz w:val="18"/>
                <w:szCs w:val="18"/>
                <w:lang w:val="en-US"/>
              </w:rPr>
            </w:pPr>
            <w:r w:rsidRPr="00B664C6">
              <w:rPr>
                <w:color w:val="000000"/>
                <w:spacing w:val="0"/>
                <w:w w:val="100"/>
                <w:kern w:val="0"/>
                <w:sz w:val="18"/>
                <w:szCs w:val="18"/>
                <w:lang w:val="en-US"/>
              </w:rPr>
              <w:t>16</w:t>
            </w:r>
            <w:bookmarkStart w:id="200" w:name="_Toc40281161"/>
            <w:bookmarkStart w:id="201" w:name="_Toc40281320"/>
            <w:bookmarkEnd w:id="200"/>
            <w:bookmarkEnd w:id="201"/>
          </w:p>
        </w:tc>
        <w:tc>
          <w:tcPr>
            <w:tcW w:w="1435" w:type="dxa"/>
            <w:tcBorders>
              <w:top w:val="nil"/>
              <w:left w:val="nil"/>
              <w:bottom w:val="single" w:sz="4" w:space="0" w:color="auto"/>
              <w:right w:val="nil"/>
            </w:tcBorders>
            <w:noWrap/>
          </w:tcPr>
          <w:p w14:paraId="158E3B6C" w14:textId="76C0101E" w:rsidR="004F0A43" w:rsidRPr="00B664C6" w:rsidRDefault="00200591" w:rsidP="004F0A43">
            <w:pPr>
              <w:keepNext/>
              <w:suppressAutoHyphens w:val="0"/>
              <w:spacing w:line="240" w:lineRule="auto"/>
              <w:jc w:val="center"/>
              <w:rPr>
                <w:color w:val="000000"/>
                <w:spacing w:val="0"/>
                <w:w w:val="100"/>
                <w:kern w:val="0"/>
                <w:sz w:val="18"/>
                <w:szCs w:val="18"/>
                <w:lang w:val="en-US"/>
              </w:rPr>
            </w:pPr>
            <w:r w:rsidRPr="00B664C6">
              <w:rPr>
                <w:color w:val="000000"/>
                <w:spacing w:val="0"/>
                <w:w w:val="100"/>
                <w:kern w:val="0"/>
                <w:sz w:val="18"/>
                <w:szCs w:val="18"/>
                <w:lang w:val="en-US"/>
              </w:rPr>
              <w:t>6%</w:t>
            </w:r>
            <w:bookmarkStart w:id="202" w:name="_Toc40281162"/>
            <w:bookmarkStart w:id="203" w:name="_Toc40281321"/>
            <w:bookmarkEnd w:id="202"/>
            <w:bookmarkEnd w:id="203"/>
          </w:p>
        </w:tc>
        <w:bookmarkStart w:id="204" w:name="_Toc40281163"/>
        <w:bookmarkStart w:id="205" w:name="_Toc40281322"/>
        <w:bookmarkEnd w:id="204"/>
        <w:bookmarkEnd w:id="205"/>
      </w:tr>
      <w:tr w:rsidR="004F0A43" w:rsidRPr="00B664C6" w14:paraId="78981BEB" w14:textId="7B89049D" w:rsidTr="00955997">
        <w:trPr>
          <w:gridAfter w:val="1"/>
          <w:wAfter w:w="9" w:type="dxa"/>
          <w:trHeight w:val="206"/>
        </w:trPr>
        <w:tc>
          <w:tcPr>
            <w:tcW w:w="2963" w:type="dxa"/>
            <w:tcBorders>
              <w:top w:val="single" w:sz="4" w:space="0" w:color="auto"/>
              <w:left w:val="nil"/>
              <w:bottom w:val="nil"/>
              <w:right w:val="nil"/>
            </w:tcBorders>
            <w:noWrap/>
            <w:hideMark/>
          </w:tcPr>
          <w:p w14:paraId="31CF4065" w14:textId="02475338" w:rsidR="004F0A43" w:rsidRPr="00B664C6" w:rsidRDefault="004F0A43" w:rsidP="004F0A43">
            <w:pPr>
              <w:keepNext/>
              <w:suppressAutoHyphens w:val="0"/>
              <w:spacing w:line="240" w:lineRule="auto"/>
              <w:rPr>
                <w:color w:val="000000"/>
                <w:spacing w:val="0"/>
                <w:w w:val="100"/>
                <w:kern w:val="0"/>
                <w:sz w:val="18"/>
                <w:szCs w:val="18"/>
                <w:lang w:val="en-US"/>
              </w:rPr>
            </w:pPr>
            <w:r w:rsidRPr="00B664C6">
              <w:rPr>
                <w:color w:val="000000"/>
                <w:spacing w:val="0"/>
                <w:w w:val="100"/>
                <w:kern w:val="0"/>
                <w:sz w:val="18"/>
                <w:szCs w:val="18"/>
                <w:lang w:val="en-US"/>
              </w:rPr>
              <w:t> </w:t>
            </w:r>
            <w:bookmarkStart w:id="206" w:name="_Toc40281164"/>
            <w:bookmarkStart w:id="207" w:name="_Toc40281323"/>
            <w:bookmarkEnd w:id="206"/>
            <w:bookmarkEnd w:id="207"/>
          </w:p>
        </w:tc>
        <w:tc>
          <w:tcPr>
            <w:tcW w:w="1433" w:type="dxa"/>
            <w:tcBorders>
              <w:top w:val="single" w:sz="4" w:space="0" w:color="auto"/>
              <w:left w:val="nil"/>
              <w:bottom w:val="nil"/>
              <w:right w:val="nil"/>
            </w:tcBorders>
          </w:tcPr>
          <w:p w14:paraId="76E6230D" w14:textId="73E6A371" w:rsidR="004F0A43" w:rsidRPr="00B664C6" w:rsidRDefault="007C402B" w:rsidP="004F0A43">
            <w:pPr>
              <w:keepNext/>
              <w:suppressAutoHyphens w:val="0"/>
              <w:spacing w:line="240" w:lineRule="auto"/>
              <w:jc w:val="right"/>
              <w:rPr>
                <w:color w:val="000000"/>
                <w:spacing w:val="0"/>
                <w:w w:val="100"/>
                <w:kern w:val="0"/>
                <w:sz w:val="18"/>
                <w:szCs w:val="18"/>
                <w:lang w:val="en-US"/>
              </w:rPr>
            </w:pPr>
            <w:bookmarkStart w:id="208" w:name="_Toc40281165"/>
            <w:bookmarkStart w:id="209" w:name="_Toc40281324"/>
            <w:bookmarkEnd w:id="208"/>
            <w:bookmarkEnd w:id="209"/>
            <w:r w:rsidRPr="00B664C6">
              <w:rPr>
                <w:color w:val="000000"/>
                <w:spacing w:val="0"/>
                <w:w w:val="100"/>
                <w:kern w:val="0"/>
                <w:sz w:val="18"/>
                <w:szCs w:val="18"/>
                <w:lang w:val="en-US"/>
              </w:rPr>
              <w:t>11,</w:t>
            </w:r>
            <w:bookmarkStart w:id="210" w:name="_Toc40281166"/>
            <w:bookmarkStart w:id="211" w:name="_Toc40281325"/>
            <w:bookmarkEnd w:id="210"/>
            <w:bookmarkEnd w:id="211"/>
            <w:r w:rsidR="002E1DC7" w:rsidRPr="00B664C6">
              <w:rPr>
                <w:color w:val="000000"/>
                <w:spacing w:val="0"/>
                <w:w w:val="100"/>
                <w:kern w:val="0"/>
                <w:sz w:val="18"/>
                <w:szCs w:val="18"/>
                <w:lang w:val="en-US"/>
              </w:rPr>
              <w:t>270</w:t>
            </w:r>
          </w:p>
        </w:tc>
        <w:tc>
          <w:tcPr>
            <w:tcW w:w="1434" w:type="dxa"/>
            <w:tcBorders>
              <w:top w:val="single" w:sz="4" w:space="0" w:color="auto"/>
              <w:left w:val="nil"/>
              <w:bottom w:val="nil"/>
              <w:right w:val="nil"/>
            </w:tcBorders>
          </w:tcPr>
          <w:p w14:paraId="75DBAB0C" w14:textId="7FDFE143" w:rsidR="004F0A43" w:rsidRPr="00B664C6" w:rsidRDefault="004F0A43" w:rsidP="004F0A43">
            <w:pPr>
              <w:keepNext/>
              <w:suppressAutoHyphens w:val="0"/>
              <w:spacing w:line="240" w:lineRule="auto"/>
              <w:jc w:val="right"/>
              <w:rPr>
                <w:color w:val="000000"/>
                <w:spacing w:val="0"/>
                <w:w w:val="100"/>
                <w:kern w:val="0"/>
                <w:sz w:val="18"/>
                <w:szCs w:val="18"/>
                <w:lang w:val="en-US"/>
              </w:rPr>
            </w:pPr>
            <w:bookmarkStart w:id="212" w:name="_Toc40281167"/>
            <w:bookmarkStart w:id="213" w:name="_Toc40281326"/>
            <w:bookmarkEnd w:id="212"/>
            <w:bookmarkEnd w:id="213"/>
            <w:r w:rsidRPr="00B664C6">
              <w:rPr>
                <w:color w:val="000000"/>
                <w:spacing w:val="0"/>
                <w:w w:val="100"/>
                <w:kern w:val="0"/>
                <w:sz w:val="18"/>
                <w:szCs w:val="18"/>
                <w:lang w:val="en-US"/>
              </w:rPr>
              <w:t>9,695</w:t>
            </w:r>
            <w:bookmarkStart w:id="214" w:name="_Toc40281168"/>
            <w:bookmarkStart w:id="215" w:name="_Toc40281327"/>
            <w:bookmarkEnd w:id="214"/>
            <w:bookmarkEnd w:id="215"/>
          </w:p>
        </w:tc>
        <w:tc>
          <w:tcPr>
            <w:tcW w:w="1434" w:type="dxa"/>
            <w:tcBorders>
              <w:top w:val="single" w:sz="4" w:space="0" w:color="auto"/>
              <w:left w:val="nil"/>
              <w:bottom w:val="nil"/>
              <w:right w:val="nil"/>
            </w:tcBorders>
            <w:noWrap/>
          </w:tcPr>
          <w:p w14:paraId="073DD8FC" w14:textId="1E5DFC56" w:rsidR="004F0A43" w:rsidRPr="00B664C6" w:rsidRDefault="00D96CE0" w:rsidP="004F0A43">
            <w:pPr>
              <w:keepNext/>
              <w:suppressAutoHyphens w:val="0"/>
              <w:spacing w:line="240" w:lineRule="auto"/>
              <w:jc w:val="right"/>
              <w:rPr>
                <w:color w:val="000000"/>
                <w:spacing w:val="0"/>
                <w:w w:val="100"/>
                <w:kern w:val="0"/>
                <w:sz w:val="18"/>
                <w:szCs w:val="18"/>
                <w:lang w:val="en-US"/>
              </w:rPr>
            </w:pPr>
            <w:r w:rsidRPr="00B664C6">
              <w:rPr>
                <w:color w:val="000000"/>
                <w:sz w:val="18"/>
                <w:szCs w:val="18"/>
              </w:rPr>
              <w:t>1,5</w:t>
            </w:r>
            <w:bookmarkStart w:id="216" w:name="_Toc40281169"/>
            <w:bookmarkStart w:id="217" w:name="_Toc40281328"/>
            <w:bookmarkEnd w:id="216"/>
            <w:bookmarkEnd w:id="217"/>
            <w:r w:rsidR="002E1DC7" w:rsidRPr="00B664C6">
              <w:rPr>
                <w:color w:val="000000"/>
                <w:sz w:val="18"/>
                <w:szCs w:val="18"/>
              </w:rPr>
              <w:t>75</w:t>
            </w:r>
          </w:p>
        </w:tc>
        <w:tc>
          <w:tcPr>
            <w:tcW w:w="1435" w:type="dxa"/>
            <w:tcBorders>
              <w:top w:val="single" w:sz="4" w:space="0" w:color="auto"/>
              <w:left w:val="nil"/>
              <w:bottom w:val="nil"/>
              <w:right w:val="nil"/>
            </w:tcBorders>
            <w:noWrap/>
          </w:tcPr>
          <w:p w14:paraId="6AB9E521" w14:textId="765F53C0" w:rsidR="004F0A43" w:rsidRPr="00B664C6" w:rsidRDefault="00200591" w:rsidP="004F0A43">
            <w:pPr>
              <w:keepNext/>
              <w:suppressAutoHyphens w:val="0"/>
              <w:spacing w:line="240" w:lineRule="auto"/>
              <w:jc w:val="center"/>
              <w:rPr>
                <w:color w:val="000000"/>
                <w:spacing w:val="0"/>
                <w:w w:val="100"/>
                <w:kern w:val="0"/>
                <w:sz w:val="18"/>
                <w:szCs w:val="18"/>
                <w:lang w:val="en-US"/>
              </w:rPr>
            </w:pPr>
            <w:r w:rsidRPr="00B664C6">
              <w:rPr>
                <w:color w:val="000000"/>
                <w:spacing w:val="0"/>
                <w:w w:val="100"/>
                <w:kern w:val="0"/>
                <w:sz w:val="18"/>
                <w:szCs w:val="18"/>
                <w:lang w:val="en-US"/>
              </w:rPr>
              <w:t>16%</w:t>
            </w:r>
            <w:bookmarkStart w:id="218" w:name="_Toc40281170"/>
            <w:bookmarkStart w:id="219" w:name="_Toc40281329"/>
            <w:bookmarkEnd w:id="218"/>
            <w:bookmarkEnd w:id="219"/>
          </w:p>
        </w:tc>
        <w:bookmarkStart w:id="220" w:name="_Toc40281171"/>
        <w:bookmarkStart w:id="221" w:name="_Toc40281330"/>
        <w:bookmarkEnd w:id="220"/>
        <w:bookmarkEnd w:id="221"/>
      </w:tr>
      <w:tr w:rsidR="0083277E" w:rsidRPr="00B664C6" w14:paraId="56BB2EE9" w14:textId="0C0E4B44" w:rsidTr="00A87E6F">
        <w:trPr>
          <w:trHeight w:val="226"/>
        </w:trPr>
        <w:tc>
          <w:tcPr>
            <w:tcW w:w="8708" w:type="dxa"/>
            <w:gridSpan w:val="6"/>
            <w:tcBorders>
              <w:top w:val="nil"/>
              <w:left w:val="nil"/>
              <w:bottom w:val="nil"/>
              <w:right w:val="nil"/>
            </w:tcBorders>
          </w:tcPr>
          <w:p w14:paraId="00DDC42A" w14:textId="6E75AE77" w:rsidR="0083277E" w:rsidRPr="00B664C6" w:rsidRDefault="0083277E" w:rsidP="009741B1">
            <w:pPr>
              <w:keepNext/>
              <w:suppressAutoHyphens w:val="0"/>
              <w:spacing w:line="240" w:lineRule="auto"/>
              <w:rPr>
                <w:spacing w:val="0"/>
                <w:w w:val="100"/>
                <w:kern w:val="0"/>
                <w:sz w:val="18"/>
                <w:szCs w:val="18"/>
                <w:lang w:val="en-US"/>
              </w:rPr>
            </w:pPr>
            <w:bookmarkStart w:id="222" w:name="_Toc40281172"/>
            <w:bookmarkStart w:id="223" w:name="_Toc40281331"/>
            <w:bookmarkStart w:id="224" w:name="_Toc40281180"/>
            <w:bookmarkStart w:id="225" w:name="_Toc40281339"/>
            <w:bookmarkStart w:id="226" w:name="_Toc40281181"/>
            <w:bookmarkStart w:id="227" w:name="_Toc40281340"/>
            <w:bookmarkEnd w:id="222"/>
            <w:bookmarkEnd w:id="223"/>
            <w:bookmarkEnd w:id="224"/>
            <w:bookmarkEnd w:id="225"/>
            <w:bookmarkEnd w:id="226"/>
            <w:bookmarkEnd w:id="227"/>
            <w:r w:rsidRPr="00B664C6">
              <w:rPr>
                <w:b/>
                <w:bCs/>
                <w:spacing w:val="0"/>
                <w:w w:val="100"/>
                <w:kern w:val="0"/>
                <w:vertAlign w:val="superscript"/>
                <w:lang w:val="en-US"/>
              </w:rPr>
              <w:t>a</w:t>
            </w:r>
            <w:r w:rsidRPr="00B664C6">
              <w:rPr>
                <w:spacing w:val="0"/>
                <w:w w:val="100"/>
                <w:kern w:val="0"/>
                <w:sz w:val="18"/>
                <w:szCs w:val="18"/>
                <w:lang w:val="en-US"/>
              </w:rPr>
              <w:t xml:space="preserve"> </w:t>
            </w:r>
            <w:r w:rsidRPr="00B664C6">
              <w:rPr>
                <w:spacing w:val="0"/>
                <w:w w:val="100"/>
                <w:kern w:val="0"/>
                <w:sz w:val="16"/>
                <w:szCs w:val="16"/>
                <w:lang w:val="en-US"/>
              </w:rPr>
              <w:t>Revenue and expense amounts are after elimination of $256 million in 20</w:t>
            </w:r>
            <w:r w:rsidR="00200591" w:rsidRPr="00B664C6">
              <w:rPr>
                <w:spacing w:val="0"/>
                <w:w w:val="100"/>
                <w:kern w:val="0"/>
                <w:sz w:val="16"/>
                <w:szCs w:val="16"/>
                <w:lang w:val="en-US"/>
              </w:rPr>
              <w:t xml:space="preserve">20 </w:t>
            </w:r>
            <w:r w:rsidRPr="00B664C6">
              <w:rPr>
                <w:spacing w:val="0"/>
                <w:w w:val="100"/>
                <w:kern w:val="0"/>
                <w:sz w:val="16"/>
                <w:szCs w:val="16"/>
                <w:lang w:val="en-US"/>
              </w:rPr>
              <w:t>and $25</w:t>
            </w:r>
            <w:r w:rsidR="00200591" w:rsidRPr="00B664C6">
              <w:rPr>
                <w:spacing w:val="0"/>
                <w:w w:val="100"/>
                <w:kern w:val="0"/>
                <w:sz w:val="16"/>
                <w:szCs w:val="16"/>
                <w:lang w:val="en-US"/>
              </w:rPr>
              <w:t>6</w:t>
            </w:r>
            <w:r w:rsidRPr="00B664C6">
              <w:rPr>
                <w:spacing w:val="0"/>
                <w:w w:val="100"/>
                <w:kern w:val="0"/>
                <w:sz w:val="16"/>
                <w:szCs w:val="16"/>
                <w:lang w:val="en-US"/>
              </w:rPr>
              <w:t xml:space="preserve"> million in 201</w:t>
            </w:r>
            <w:r w:rsidR="00200591" w:rsidRPr="00B664C6">
              <w:rPr>
                <w:spacing w:val="0"/>
                <w:w w:val="100"/>
                <w:kern w:val="0"/>
                <w:sz w:val="16"/>
                <w:szCs w:val="16"/>
                <w:lang w:val="en-US"/>
              </w:rPr>
              <w:t>9</w:t>
            </w:r>
            <w:r w:rsidRPr="00B664C6">
              <w:rPr>
                <w:spacing w:val="0"/>
                <w:w w:val="100"/>
                <w:kern w:val="0"/>
                <w:sz w:val="16"/>
                <w:szCs w:val="16"/>
                <w:lang w:val="en-US"/>
              </w:rPr>
              <w:t>.</w:t>
            </w:r>
            <w:bookmarkStart w:id="228" w:name="_Toc40281182"/>
            <w:bookmarkStart w:id="229" w:name="_Toc40281341"/>
            <w:bookmarkEnd w:id="228"/>
            <w:bookmarkEnd w:id="229"/>
          </w:p>
        </w:tc>
        <w:bookmarkStart w:id="230" w:name="_Toc40281183"/>
        <w:bookmarkStart w:id="231" w:name="_Toc40281342"/>
        <w:bookmarkEnd w:id="230"/>
        <w:bookmarkEnd w:id="231"/>
      </w:tr>
      <w:tr w:rsidR="0083277E" w:rsidRPr="00B664C6" w14:paraId="31812186" w14:textId="3F4E26F4" w:rsidTr="00A87E6F">
        <w:trPr>
          <w:trHeight w:val="293"/>
        </w:trPr>
        <w:tc>
          <w:tcPr>
            <w:tcW w:w="8708" w:type="dxa"/>
            <w:gridSpan w:val="6"/>
            <w:tcBorders>
              <w:top w:val="nil"/>
              <w:left w:val="nil"/>
              <w:bottom w:val="nil"/>
              <w:right w:val="nil"/>
            </w:tcBorders>
          </w:tcPr>
          <w:p w14:paraId="66038E90" w14:textId="0A0F7F58" w:rsidR="0083277E" w:rsidRPr="00B664C6" w:rsidRDefault="0083277E" w:rsidP="009741B1">
            <w:pPr>
              <w:keepNext/>
              <w:suppressAutoHyphens w:val="0"/>
              <w:spacing w:line="240" w:lineRule="auto"/>
              <w:rPr>
                <w:spacing w:val="0"/>
                <w:w w:val="100"/>
                <w:kern w:val="0"/>
                <w:sz w:val="16"/>
                <w:szCs w:val="16"/>
                <w:lang w:val="en-US"/>
              </w:rPr>
            </w:pPr>
            <w:bookmarkStart w:id="232" w:name="_Toc40281184"/>
            <w:bookmarkStart w:id="233" w:name="_Toc40281343"/>
            <w:bookmarkStart w:id="234" w:name="_Toc40281185"/>
            <w:bookmarkStart w:id="235" w:name="_Toc40281344"/>
            <w:bookmarkEnd w:id="232"/>
            <w:bookmarkEnd w:id="233"/>
            <w:bookmarkEnd w:id="234"/>
            <w:bookmarkEnd w:id="235"/>
            <w:r w:rsidRPr="00B664C6">
              <w:rPr>
                <w:spacing w:val="0"/>
                <w:w w:val="100"/>
                <w:kern w:val="0"/>
                <w:sz w:val="16"/>
                <w:szCs w:val="16"/>
                <w:lang w:val="en-US"/>
              </w:rPr>
              <w:t>Before elimination:   Total revenue - $</w:t>
            </w:r>
            <w:r w:rsidR="00200591" w:rsidRPr="00B664C6">
              <w:rPr>
                <w:spacing w:val="0"/>
                <w:w w:val="100"/>
                <w:kern w:val="0"/>
                <w:sz w:val="16"/>
                <w:szCs w:val="16"/>
                <w:lang w:val="en-US"/>
              </w:rPr>
              <w:t>6,8</w:t>
            </w:r>
            <w:r w:rsidR="002E1DC7" w:rsidRPr="00B664C6">
              <w:rPr>
                <w:spacing w:val="0"/>
                <w:w w:val="100"/>
                <w:kern w:val="0"/>
                <w:sz w:val="16"/>
                <w:szCs w:val="16"/>
                <w:lang w:val="en-US"/>
              </w:rPr>
              <w:t>74</w:t>
            </w:r>
            <w:r w:rsidRPr="00B664C6">
              <w:rPr>
                <w:spacing w:val="0"/>
                <w:w w:val="100"/>
                <w:kern w:val="0"/>
                <w:sz w:val="16"/>
                <w:szCs w:val="16"/>
                <w:lang w:val="en-US"/>
              </w:rPr>
              <w:t xml:space="preserve"> million in 20</w:t>
            </w:r>
            <w:r w:rsidR="005833DC" w:rsidRPr="00B664C6">
              <w:rPr>
                <w:spacing w:val="0"/>
                <w:w w:val="100"/>
                <w:kern w:val="0"/>
                <w:sz w:val="16"/>
                <w:szCs w:val="16"/>
                <w:lang w:val="en-US"/>
              </w:rPr>
              <w:t>20</w:t>
            </w:r>
            <w:r w:rsidRPr="00B664C6">
              <w:rPr>
                <w:spacing w:val="0"/>
                <w:w w:val="100"/>
                <w:kern w:val="0"/>
                <w:sz w:val="16"/>
                <w:szCs w:val="16"/>
                <w:lang w:val="en-US"/>
              </w:rPr>
              <w:t>; $</w:t>
            </w:r>
            <w:r w:rsidR="005833DC" w:rsidRPr="00B664C6">
              <w:rPr>
                <w:spacing w:val="0"/>
                <w:w w:val="100"/>
                <w:kern w:val="0"/>
                <w:sz w:val="16"/>
                <w:szCs w:val="16"/>
                <w:lang w:val="en-US"/>
              </w:rPr>
              <w:t>5,085</w:t>
            </w:r>
            <w:r w:rsidRPr="00B664C6">
              <w:rPr>
                <w:spacing w:val="0"/>
                <w:w w:val="100"/>
                <w:kern w:val="0"/>
                <w:sz w:val="16"/>
                <w:szCs w:val="16"/>
                <w:lang w:val="en-US"/>
              </w:rPr>
              <w:t xml:space="preserve"> million in 20</w:t>
            </w:r>
            <w:r w:rsidR="005833DC" w:rsidRPr="00B664C6">
              <w:rPr>
                <w:spacing w:val="0"/>
                <w:w w:val="100"/>
                <w:kern w:val="0"/>
                <w:sz w:val="16"/>
                <w:szCs w:val="16"/>
                <w:lang w:val="en-US"/>
              </w:rPr>
              <w:t>19</w:t>
            </w:r>
            <w:r w:rsidRPr="00B664C6">
              <w:rPr>
                <w:spacing w:val="0"/>
                <w:w w:val="100"/>
                <w:kern w:val="0"/>
                <w:sz w:val="16"/>
                <w:szCs w:val="16"/>
                <w:lang w:val="en-US"/>
              </w:rPr>
              <w:t>;</w:t>
            </w:r>
            <w:r w:rsidRPr="00B664C6">
              <w:rPr>
                <w:spacing w:val="0"/>
                <w:w w:val="100"/>
                <w:kern w:val="0"/>
                <w:sz w:val="16"/>
                <w:szCs w:val="16"/>
                <w:lang w:val="en-US"/>
              </w:rPr>
              <w:br/>
              <w:t xml:space="preserve">                                  Total expense - $5,</w:t>
            </w:r>
            <w:r w:rsidR="005833DC" w:rsidRPr="00B664C6">
              <w:rPr>
                <w:spacing w:val="0"/>
                <w:w w:val="100"/>
                <w:kern w:val="0"/>
                <w:sz w:val="16"/>
                <w:szCs w:val="16"/>
                <w:lang w:val="en-US"/>
              </w:rPr>
              <w:t>307</w:t>
            </w:r>
            <w:r w:rsidRPr="00B664C6">
              <w:rPr>
                <w:spacing w:val="0"/>
                <w:w w:val="100"/>
                <w:kern w:val="0"/>
                <w:sz w:val="16"/>
                <w:szCs w:val="16"/>
                <w:lang w:val="en-US"/>
              </w:rPr>
              <w:t xml:space="preserve"> million in 20</w:t>
            </w:r>
            <w:r w:rsidR="005833DC" w:rsidRPr="00B664C6">
              <w:rPr>
                <w:spacing w:val="0"/>
                <w:w w:val="100"/>
                <w:kern w:val="0"/>
                <w:sz w:val="16"/>
                <w:szCs w:val="16"/>
                <w:lang w:val="en-US"/>
              </w:rPr>
              <w:t>20</w:t>
            </w:r>
            <w:r w:rsidRPr="00B664C6">
              <w:rPr>
                <w:spacing w:val="0"/>
                <w:w w:val="100"/>
                <w:kern w:val="0"/>
                <w:sz w:val="16"/>
                <w:szCs w:val="16"/>
                <w:lang w:val="en-US"/>
              </w:rPr>
              <w:t>; $</w:t>
            </w:r>
            <w:r w:rsidR="005833DC" w:rsidRPr="00B664C6">
              <w:rPr>
                <w:spacing w:val="0"/>
                <w:w w:val="100"/>
                <w:kern w:val="0"/>
                <w:sz w:val="16"/>
                <w:szCs w:val="16"/>
                <w:lang w:val="en-US"/>
              </w:rPr>
              <w:t>5,180</w:t>
            </w:r>
            <w:r w:rsidRPr="00B664C6">
              <w:rPr>
                <w:spacing w:val="0"/>
                <w:w w:val="100"/>
                <w:kern w:val="0"/>
                <w:sz w:val="16"/>
                <w:szCs w:val="16"/>
                <w:lang w:val="en-US"/>
              </w:rPr>
              <w:t xml:space="preserve"> million in </w:t>
            </w:r>
            <w:r w:rsidR="00381AB7" w:rsidRPr="00B664C6">
              <w:rPr>
                <w:spacing w:val="0"/>
                <w:w w:val="100"/>
                <w:kern w:val="0"/>
                <w:sz w:val="16"/>
                <w:szCs w:val="16"/>
                <w:lang w:val="en-US"/>
              </w:rPr>
              <w:t>2019;</w:t>
            </w:r>
            <w:r w:rsidRPr="00B664C6">
              <w:rPr>
                <w:spacing w:val="0"/>
                <w:w w:val="100"/>
                <w:kern w:val="0"/>
                <w:sz w:val="16"/>
                <w:szCs w:val="16"/>
                <w:lang w:val="en-US"/>
              </w:rPr>
              <w:t xml:space="preserve"> </w:t>
            </w:r>
            <w:bookmarkStart w:id="236" w:name="_Toc40281186"/>
            <w:bookmarkStart w:id="237" w:name="_Toc40281345"/>
            <w:bookmarkEnd w:id="236"/>
            <w:bookmarkEnd w:id="237"/>
          </w:p>
        </w:tc>
        <w:bookmarkStart w:id="238" w:name="_Toc40281187"/>
        <w:bookmarkStart w:id="239" w:name="_Toc40281346"/>
        <w:bookmarkEnd w:id="238"/>
        <w:bookmarkEnd w:id="239"/>
      </w:tr>
      <w:tr w:rsidR="003C31AA" w:rsidRPr="00B664C6" w14:paraId="64F02A2C" w14:textId="77777777" w:rsidTr="00A87E6F">
        <w:trPr>
          <w:trHeight w:val="293"/>
        </w:trPr>
        <w:tc>
          <w:tcPr>
            <w:tcW w:w="8708" w:type="dxa"/>
            <w:gridSpan w:val="6"/>
            <w:tcBorders>
              <w:top w:val="nil"/>
              <w:left w:val="nil"/>
              <w:bottom w:val="nil"/>
              <w:right w:val="nil"/>
            </w:tcBorders>
          </w:tcPr>
          <w:p w14:paraId="01C1052C" w14:textId="77777777" w:rsidR="003C31AA" w:rsidRPr="00B664C6" w:rsidRDefault="003C31AA" w:rsidP="009741B1">
            <w:pPr>
              <w:keepNext/>
              <w:suppressAutoHyphens w:val="0"/>
              <w:spacing w:line="240" w:lineRule="auto"/>
              <w:rPr>
                <w:spacing w:val="0"/>
                <w:w w:val="100"/>
                <w:kern w:val="0"/>
                <w:sz w:val="16"/>
                <w:szCs w:val="16"/>
                <w:lang w:val="en-US"/>
              </w:rPr>
            </w:pPr>
          </w:p>
        </w:tc>
      </w:tr>
    </w:tbl>
    <w:p w14:paraId="1F266041" w14:textId="77777777" w:rsidR="003C31AA" w:rsidRDefault="003C31AA" w:rsidP="003C31AA">
      <w:pPr>
        <w:pStyle w:val="H1"/>
        <w:tabs>
          <w:tab w:val="clear" w:pos="1022"/>
          <w:tab w:val="clear" w:pos="1742"/>
          <w:tab w:val="right" w:pos="1440"/>
          <w:tab w:val="left" w:pos="1800"/>
        </w:tabs>
        <w:spacing w:before="240" w:after="240" w:line="240" w:lineRule="auto"/>
        <w:ind w:right="0"/>
        <w:outlineLvl w:val="1"/>
      </w:pPr>
      <w:bookmarkStart w:id="240" w:name="_Toc40281188"/>
      <w:bookmarkStart w:id="241" w:name="_Toc40281347"/>
      <w:bookmarkStart w:id="242" w:name="_Toc75466832"/>
      <w:bookmarkEnd w:id="240"/>
      <w:bookmarkEnd w:id="241"/>
    </w:p>
    <w:p w14:paraId="24068387" w14:textId="024B55C7" w:rsidR="005156D7" w:rsidRPr="00B664C6" w:rsidRDefault="00354CF1" w:rsidP="009E5F63">
      <w:pPr>
        <w:pStyle w:val="H1"/>
        <w:numPr>
          <w:ilvl w:val="1"/>
          <w:numId w:val="6"/>
        </w:numPr>
        <w:tabs>
          <w:tab w:val="clear" w:pos="1022"/>
          <w:tab w:val="clear" w:pos="1742"/>
          <w:tab w:val="right" w:pos="1440"/>
          <w:tab w:val="left" w:pos="1800"/>
        </w:tabs>
        <w:spacing w:before="240" w:after="240" w:line="240" w:lineRule="auto"/>
        <w:ind w:left="1152" w:right="0"/>
        <w:outlineLvl w:val="1"/>
      </w:pPr>
      <w:r w:rsidRPr="00B664C6">
        <w:t>R</w:t>
      </w:r>
      <w:r w:rsidR="005156D7" w:rsidRPr="00B664C6">
        <w:t>evenue</w:t>
      </w:r>
      <w:bookmarkEnd w:id="242"/>
    </w:p>
    <w:p w14:paraId="32B9FD63" w14:textId="4FBC7955" w:rsidR="0008355C" w:rsidRPr="00B664C6" w:rsidRDefault="001376AA" w:rsidP="00AF3FD4">
      <w:pPr>
        <w:pStyle w:val="ListParagraph"/>
        <w:numPr>
          <w:ilvl w:val="0"/>
          <w:numId w:val="5"/>
        </w:numPr>
        <w:spacing w:before="240" w:after="240" w:line="240" w:lineRule="auto"/>
        <w:ind w:right="1267"/>
        <w:contextualSpacing w:val="0"/>
        <w:jc w:val="both"/>
      </w:pPr>
      <w:bookmarkStart w:id="243" w:name="_Hlk882987"/>
      <w:r w:rsidRPr="00B664C6">
        <w:t>Total revenue</w:t>
      </w:r>
      <w:r w:rsidR="002311E9" w:rsidRPr="00B664C6">
        <w:t xml:space="preserve"> (including contributions, investment revenue, exchange revenues, etc.) in 20</w:t>
      </w:r>
      <w:r w:rsidR="00B42824" w:rsidRPr="00B664C6">
        <w:t>20</w:t>
      </w:r>
      <w:r w:rsidR="002311E9" w:rsidRPr="00B664C6">
        <w:t xml:space="preserve"> was </w:t>
      </w:r>
      <w:r w:rsidR="002344BA" w:rsidRPr="00B664C6">
        <w:t>$</w:t>
      </w:r>
      <w:r w:rsidR="00B42824" w:rsidRPr="00B664C6">
        <w:t>6.</w:t>
      </w:r>
      <w:r w:rsidR="006B45AF" w:rsidRPr="00B664C6">
        <w:t>6</w:t>
      </w:r>
      <w:r w:rsidR="00E50C72" w:rsidRPr="00B664C6">
        <w:t xml:space="preserve"> </w:t>
      </w:r>
      <w:r w:rsidR="002344BA" w:rsidRPr="00B664C6">
        <w:t xml:space="preserve">billion, </w:t>
      </w:r>
      <w:r w:rsidR="006D1A48" w:rsidRPr="00B664C6">
        <w:t>a</w:t>
      </w:r>
      <w:r w:rsidR="00B42824" w:rsidRPr="00B664C6">
        <w:t>n increase</w:t>
      </w:r>
      <w:r w:rsidR="006D1A48" w:rsidRPr="00B664C6">
        <w:t xml:space="preserve"> of $</w:t>
      </w:r>
      <w:r w:rsidR="00F976AF" w:rsidRPr="00B664C6">
        <w:t>1</w:t>
      </w:r>
      <w:r w:rsidR="006B45AF" w:rsidRPr="00B664C6">
        <w:t>.8</w:t>
      </w:r>
      <w:r w:rsidR="00F976AF" w:rsidRPr="00B664C6">
        <w:t xml:space="preserve"> </w:t>
      </w:r>
      <w:r w:rsidR="006B45AF" w:rsidRPr="00B664C6">
        <w:t>b</w:t>
      </w:r>
      <w:r w:rsidR="006D1A48" w:rsidRPr="00B664C6">
        <w:t xml:space="preserve">illion or </w:t>
      </w:r>
      <w:r w:rsidR="00F976AF" w:rsidRPr="00B664C6">
        <w:t>3</w:t>
      </w:r>
      <w:r w:rsidR="006B45AF" w:rsidRPr="00B664C6">
        <w:t>7</w:t>
      </w:r>
      <w:r w:rsidR="006D1A48" w:rsidRPr="00B664C6">
        <w:t xml:space="preserve"> per cent over </w:t>
      </w:r>
      <w:r w:rsidR="00F976AF" w:rsidRPr="00B664C6">
        <w:t>2019</w:t>
      </w:r>
      <w:r w:rsidR="006D1A48" w:rsidRPr="00B664C6">
        <w:t xml:space="preserve"> revenue of $</w:t>
      </w:r>
      <w:r w:rsidR="00F976AF" w:rsidRPr="00B664C6">
        <w:t>4.8</w:t>
      </w:r>
      <w:r w:rsidR="006D1A48" w:rsidRPr="00B664C6">
        <w:t xml:space="preserve"> billion</w:t>
      </w:r>
      <w:r w:rsidRPr="00B664C6">
        <w:t>.</w:t>
      </w:r>
    </w:p>
    <w:p w14:paraId="3740481C" w14:textId="7AAD9E24" w:rsidR="00D60ACA" w:rsidRPr="00B664C6" w:rsidRDefault="00D60ACA" w:rsidP="000578BE">
      <w:pPr>
        <w:pStyle w:val="H4"/>
        <w:tabs>
          <w:tab w:val="clear" w:pos="1742"/>
          <w:tab w:val="left" w:pos="1440"/>
          <w:tab w:val="left" w:pos="1620"/>
        </w:tabs>
        <w:spacing w:before="240" w:after="240" w:line="240" w:lineRule="auto"/>
        <w:ind w:left="983" w:firstLine="0"/>
        <w:outlineLvl w:val="2"/>
      </w:pPr>
      <w:bookmarkStart w:id="244" w:name="_Toc40281190"/>
      <w:bookmarkStart w:id="245" w:name="_Toc40281349"/>
      <w:bookmarkStart w:id="246" w:name="_Toc44499876"/>
      <w:bookmarkStart w:id="247" w:name="_Toc44603224"/>
      <w:bookmarkStart w:id="248" w:name="_Toc44606537"/>
      <w:bookmarkStart w:id="249" w:name="_Toc45297423"/>
      <w:bookmarkStart w:id="250" w:name="_Toc46221131"/>
      <w:bookmarkStart w:id="251" w:name="_Toc46399196"/>
      <w:bookmarkStart w:id="252" w:name="_Toc75466833"/>
      <w:r w:rsidRPr="00B664C6">
        <w:t xml:space="preserve">Voluntary </w:t>
      </w:r>
      <w:r w:rsidRPr="00B664C6" w:rsidDel="00FA1EE2">
        <w:t>C</w:t>
      </w:r>
      <w:r w:rsidRPr="00B664C6">
        <w:t>ontributions</w:t>
      </w:r>
      <w:bookmarkEnd w:id="244"/>
      <w:bookmarkEnd w:id="245"/>
      <w:bookmarkEnd w:id="246"/>
      <w:bookmarkEnd w:id="247"/>
      <w:bookmarkEnd w:id="248"/>
      <w:bookmarkEnd w:id="249"/>
      <w:bookmarkEnd w:id="250"/>
      <w:bookmarkEnd w:id="251"/>
      <w:bookmarkEnd w:id="252"/>
    </w:p>
    <w:p w14:paraId="172E8C51" w14:textId="296E3E05" w:rsidR="00D049F7" w:rsidRPr="00B664C6" w:rsidRDefault="00D049F7" w:rsidP="00AF3FD4">
      <w:pPr>
        <w:pStyle w:val="ListParagraph"/>
        <w:numPr>
          <w:ilvl w:val="0"/>
          <w:numId w:val="5"/>
        </w:numPr>
        <w:spacing w:before="240" w:after="240" w:line="240" w:lineRule="auto"/>
        <w:ind w:right="1267"/>
        <w:contextualSpacing w:val="0"/>
        <w:jc w:val="both"/>
      </w:pPr>
      <w:r w:rsidRPr="00B664C6">
        <w:t xml:space="preserve">Voluntary Contributions </w:t>
      </w:r>
      <w:r w:rsidR="001768E5" w:rsidRPr="00B664C6">
        <w:t xml:space="preserve">reported in the financial statements in </w:t>
      </w:r>
      <w:r w:rsidR="0083290C" w:rsidRPr="00B664C6">
        <w:t>2020</w:t>
      </w:r>
      <w:r w:rsidR="0003402B" w:rsidRPr="00B664C6">
        <w:t xml:space="preserve"> </w:t>
      </w:r>
      <w:r w:rsidR="001448B4" w:rsidRPr="00B664C6">
        <w:t>totalled</w:t>
      </w:r>
      <w:r w:rsidR="00BE6087" w:rsidRPr="00B664C6">
        <w:t xml:space="preserve"> </w:t>
      </w:r>
      <w:r w:rsidRPr="00B664C6">
        <w:t>$</w:t>
      </w:r>
      <w:r w:rsidR="009B112A" w:rsidRPr="00B664C6">
        <w:t>6.</w:t>
      </w:r>
      <w:r w:rsidR="006B45AF" w:rsidRPr="00B664C6">
        <w:t>3</w:t>
      </w:r>
      <w:r w:rsidR="003E2063" w:rsidRPr="00B664C6">
        <w:t xml:space="preserve"> billion</w:t>
      </w:r>
      <w:r w:rsidRPr="00B664C6">
        <w:t>, a</w:t>
      </w:r>
      <w:r w:rsidR="00AC25A2" w:rsidRPr="00B664C6">
        <w:t>n increase</w:t>
      </w:r>
      <w:r w:rsidRPr="00B664C6">
        <w:t xml:space="preserve"> of $</w:t>
      </w:r>
      <w:r w:rsidR="00AC25A2" w:rsidRPr="00B664C6">
        <w:t>1</w:t>
      </w:r>
      <w:r w:rsidR="006B45AF" w:rsidRPr="00B664C6">
        <w:t>.8</w:t>
      </w:r>
      <w:r w:rsidRPr="00B664C6">
        <w:t> </w:t>
      </w:r>
      <w:r w:rsidR="006B45AF" w:rsidRPr="00B664C6">
        <w:t>b</w:t>
      </w:r>
      <w:r w:rsidRPr="00B664C6">
        <w:t>illion (</w:t>
      </w:r>
      <w:r w:rsidR="006B45AF" w:rsidRPr="00B664C6">
        <w:t>40</w:t>
      </w:r>
      <w:r w:rsidRPr="00B664C6">
        <w:t xml:space="preserve"> per cent) from the </w:t>
      </w:r>
      <w:r w:rsidR="00863256" w:rsidRPr="00B664C6">
        <w:t>2019</w:t>
      </w:r>
      <w:r w:rsidRPr="00B664C6">
        <w:t xml:space="preserve"> amount of $</w:t>
      </w:r>
      <w:r w:rsidR="00863256" w:rsidRPr="00B664C6">
        <w:t>4.5</w:t>
      </w:r>
      <w:r w:rsidR="003E2063" w:rsidRPr="00B664C6">
        <w:t xml:space="preserve"> billion</w:t>
      </w:r>
      <w:r w:rsidRPr="00B664C6">
        <w:t xml:space="preserve">. </w:t>
      </w:r>
      <w:r w:rsidR="00AD2AA7" w:rsidRPr="00B664C6">
        <w:t>Of the $</w:t>
      </w:r>
      <w:r w:rsidR="009B112A" w:rsidRPr="00B664C6">
        <w:t>6.</w:t>
      </w:r>
      <w:r w:rsidR="006B45AF" w:rsidRPr="00B664C6">
        <w:t>3</w:t>
      </w:r>
      <w:r w:rsidR="00AD2AA7" w:rsidRPr="00B664C6">
        <w:t xml:space="preserve"> billion, $</w:t>
      </w:r>
      <w:r w:rsidR="00EB1526" w:rsidRPr="00B664C6">
        <w:t>551</w:t>
      </w:r>
      <w:r w:rsidR="00AD2AA7" w:rsidRPr="00B664C6">
        <w:t xml:space="preserve"> million were contributions to regular (core) resources and $</w:t>
      </w:r>
      <w:r w:rsidR="0018041E" w:rsidRPr="00B664C6">
        <w:t>5.7</w:t>
      </w:r>
      <w:r w:rsidR="00AD2AA7" w:rsidRPr="00B664C6">
        <w:t xml:space="preserve"> billion were contributions to other (non-core) resources. </w:t>
      </w:r>
      <w:r w:rsidR="00E833D2" w:rsidRPr="00B664C6">
        <w:t xml:space="preserve">This increase was driven by multi-year agreements with several key donors, including the Global Fund to Fight AIDS, Tuberculosis and Malaria ($1.0 billion increase), European Union ($0.4 billion increase), </w:t>
      </w:r>
      <w:r w:rsidR="008B66E7" w:rsidRPr="00B664C6">
        <w:t xml:space="preserve">Green Climate Fund and Global Environment Facility ($0.2 billion increase each), and </w:t>
      </w:r>
      <w:r w:rsidR="00E833D2" w:rsidRPr="00B664C6">
        <w:t xml:space="preserve">Germany and Sweden ($0.1 billion increase each), as compared to </w:t>
      </w:r>
      <w:r w:rsidR="00615E33" w:rsidRPr="00B664C6">
        <w:t>2019 when</w:t>
      </w:r>
      <w:r w:rsidR="00EB2EF6" w:rsidRPr="00B664C6">
        <w:t xml:space="preserve"> fewer new multi-year regular resource agreements were signed</w:t>
      </w:r>
      <w:r w:rsidR="00615E33" w:rsidRPr="00B664C6">
        <w:t>.</w:t>
      </w:r>
      <w:r w:rsidR="008F4A4C" w:rsidRPr="00B664C6">
        <w:t xml:space="preserve">  </w:t>
      </w:r>
    </w:p>
    <w:p w14:paraId="2B648C82" w14:textId="392C37C3" w:rsidR="00E63925" w:rsidRPr="00B664C6" w:rsidRDefault="00CC3280" w:rsidP="00AF3FD4">
      <w:pPr>
        <w:pStyle w:val="ListParagraph"/>
        <w:numPr>
          <w:ilvl w:val="0"/>
          <w:numId w:val="5"/>
        </w:numPr>
        <w:spacing w:before="240" w:after="240" w:line="240" w:lineRule="auto"/>
        <w:ind w:right="1267"/>
        <w:contextualSpacing w:val="0"/>
        <w:jc w:val="both"/>
      </w:pPr>
      <w:r w:rsidRPr="00B664C6">
        <w:t>Voluntary Contributions</w:t>
      </w:r>
      <w:r w:rsidR="00C02CEB" w:rsidRPr="00B664C6">
        <w:t xml:space="preserve"> </w:t>
      </w:r>
      <w:r w:rsidR="00E63925" w:rsidRPr="00B664C6">
        <w:t>represent 9</w:t>
      </w:r>
      <w:r w:rsidR="00D929AE" w:rsidRPr="00B664C6">
        <w:t>5</w:t>
      </w:r>
      <w:r w:rsidR="00E63925" w:rsidRPr="00B664C6">
        <w:t xml:space="preserve"> per cent </w:t>
      </w:r>
      <w:r w:rsidR="00C02CEB" w:rsidRPr="00B664C6">
        <w:t>(201</w:t>
      </w:r>
      <w:r w:rsidR="00D929AE" w:rsidRPr="00B664C6">
        <w:t>9</w:t>
      </w:r>
      <w:r w:rsidR="00812EED" w:rsidRPr="00B664C6">
        <w:t>: 9</w:t>
      </w:r>
      <w:r w:rsidR="008131AD" w:rsidRPr="00B664C6">
        <w:t>3</w:t>
      </w:r>
      <w:r w:rsidR="00812EED" w:rsidRPr="00B664C6">
        <w:t xml:space="preserve"> per cent</w:t>
      </w:r>
      <w:r w:rsidR="00C02CEB" w:rsidRPr="00B664C6">
        <w:t xml:space="preserve">) </w:t>
      </w:r>
      <w:r w:rsidR="00E63925" w:rsidRPr="00B664C6">
        <w:t xml:space="preserve">of the total revenue, with the remaining </w:t>
      </w:r>
      <w:r w:rsidR="006A4DC8" w:rsidRPr="00B664C6">
        <w:t>5</w:t>
      </w:r>
      <w:r w:rsidR="00E63925" w:rsidRPr="00B664C6">
        <w:t xml:space="preserve"> per cent largely consisting of other revenue and investment revenue, as set out in table 2a below. </w:t>
      </w:r>
    </w:p>
    <w:p w14:paraId="2224BB02" w14:textId="1ED99623" w:rsidR="001319A0" w:rsidRPr="00B664C6" w:rsidRDefault="00A86695" w:rsidP="00AF3FD4">
      <w:pPr>
        <w:pStyle w:val="ListParagraph"/>
        <w:numPr>
          <w:ilvl w:val="0"/>
          <w:numId w:val="5"/>
        </w:numPr>
        <w:spacing w:before="240" w:after="240" w:line="240" w:lineRule="auto"/>
        <w:ind w:right="1267"/>
        <w:contextualSpacing w:val="0"/>
        <w:jc w:val="both"/>
      </w:pPr>
      <w:r>
        <w:lastRenderedPageBreak/>
        <w:t xml:space="preserve">Based on the </w:t>
      </w:r>
      <w:r w:rsidR="007066F4">
        <w:t xml:space="preserve">UNDP’s </w:t>
      </w:r>
      <w:r w:rsidR="004445AE">
        <w:t>accounting policy</w:t>
      </w:r>
      <w:r w:rsidR="00B664C6">
        <w:t xml:space="preserve"> on</w:t>
      </w:r>
      <w:r w:rsidR="00DF69E9">
        <w:t xml:space="preserve"> IP</w:t>
      </w:r>
      <w:r w:rsidR="00B664C6">
        <w:t>S</w:t>
      </w:r>
      <w:r w:rsidR="00DF69E9">
        <w:t>AS 23</w:t>
      </w:r>
      <w:r w:rsidR="004445AE">
        <w:t xml:space="preserve"> for recognizing revenue from voluntary contributions</w:t>
      </w:r>
      <w:r w:rsidR="007066F4">
        <w:t xml:space="preserve"> effective in 2019</w:t>
      </w:r>
      <w:r w:rsidR="00DF3D2F">
        <w:t xml:space="preserve">, </w:t>
      </w:r>
      <w:r w:rsidR="007066F4">
        <w:t xml:space="preserve">UNDP </w:t>
      </w:r>
      <w:r w:rsidR="00415E55">
        <w:t xml:space="preserve">records </w:t>
      </w:r>
      <w:r w:rsidR="004445AE">
        <w:t xml:space="preserve">the full value of the contributions agreements signed (including multi-year agreements) </w:t>
      </w:r>
      <w:r w:rsidR="00DF3D2F">
        <w:t xml:space="preserve">being </w:t>
      </w:r>
      <w:r w:rsidR="004445AE">
        <w:t xml:space="preserve">recognized as revenue in the year an agreement is signed. </w:t>
      </w:r>
      <w:r w:rsidR="00425AD3">
        <w:t>U</w:t>
      </w:r>
      <w:r w:rsidR="001F53EC">
        <w:t xml:space="preserve">nder UNDP’s Financial Regulations and Rules, UNDP is only permitted to spend up to the amount of cash received; hence, in the following section of this document, where applicable, ‘Annual </w:t>
      </w:r>
      <w:r w:rsidR="00152D26">
        <w:t>c</w:t>
      </w:r>
      <w:r w:rsidR="001F53EC">
        <w:t>ontributions’ are presented to align with the past revenue recognition policies for contributions (i.e., cash received in a reporting year, plus receivables due in a reporting year)</w:t>
      </w:r>
      <w:r w:rsidR="00FE3CCF">
        <w:t>.</w:t>
      </w:r>
      <w:r w:rsidR="00566F90">
        <w:t xml:space="preserve"> </w:t>
      </w:r>
      <w:r w:rsidR="001319A0">
        <w:t xml:space="preserve"> </w:t>
      </w:r>
    </w:p>
    <w:p w14:paraId="79813A37" w14:textId="192D9C87" w:rsidR="007A2090" w:rsidRPr="00B664C6" w:rsidRDefault="00893F8C" w:rsidP="003F5F37">
      <w:pPr>
        <w:pStyle w:val="SingleTxt"/>
        <w:keepNext/>
        <w:tabs>
          <w:tab w:val="clear" w:pos="1742"/>
          <w:tab w:val="left" w:pos="1530"/>
        </w:tabs>
        <w:spacing w:after="0"/>
        <w:jc w:val="center"/>
        <w:rPr>
          <w:b/>
        </w:rPr>
      </w:pPr>
      <w:r w:rsidRPr="00B664C6">
        <w:rPr>
          <w:b/>
        </w:rPr>
        <w:t>Table 2</w:t>
      </w:r>
      <w:r w:rsidR="00FA1E51" w:rsidRPr="00B664C6">
        <w:rPr>
          <w:b/>
        </w:rPr>
        <w:t>a</w:t>
      </w:r>
      <w:r w:rsidRPr="00B664C6">
        <w:rPr>
          <w:b/>
        </w:rPr>
        <w:t>. UNDP revenue, 20</w:t>
      </w:r>
      <w:r w:rsidR="00412597" w:rsidRPr="00B664C6">
        <w:rPr>
          <w:b/>
        </w:rPr>
        <w:t>20</w:t>
      </w:r>
    </w:p>
    <w:p w14:paraId="77BFC019" w14:textId="10081E09" w:rsidR="00893F8C" w:rsidRPr="00B664C6" w:rsidRDefault="00893F8C" w:rsidP="003F5F37">
      <w:pPr>
        <w:pStyle w:val="SingleTxt"/>
        <w:keepNext/>
        <w:tabs>
          <w:tab w:val="clear" w:pos="1742"/>
          <w:tab w:val="left" w:pos="1530"/>
        </w:tabs>
        <w:spacing w:after="0"/>
        <w:jc w:val="center"/>
        <w:rPr>
          <w:i/>
        </w:rPr>
      </w:pPr>
      <w:r w:rsidRPr="00B664C6">
        <w:rPr>
          <w:i/>
        </w:rPr>
        <w:t xml:space="preserve">(in millions of </w:t>
      </w:r>
      <w:r w:rsidR="007A2090" w:rsidRPr="00B664C6">
        <w:rPr>
          <w:i/>
        </w:rPr>
        <w:t xml:space="preserve">United States </w:t>
      </w:r>
      <w:r w:rsidRPr="00B664C6">
        <w:rPr>
          <w:i/>
        </w:rPr>
        <w:t>dollars)</w:t>
      </w:r>
    </w:p>
    <w:p w14:paraId="6DA34F48" w14:textId="1B8ABC87" w:rsidR="007A2090" w:rsidRPr="00B664C6" w:rsidRDefault="007A2090" w:rsidP="003F5F37">
      <w:pPr>
        <w:pStyle w:val="SingleTxt"/>
        <w:keepNext/>
        <w:tabs>
          <w:tab w:val="clear" w:pos="1742"/>
          <w:tab w:val="left" w:pos="1530"/>
        </w:tabs>
        <w:spacing w:after="0"/>
        <w:rPr>
          <w:i/>
        </w:rPr>
      </w:pPr>
    </w:p>
    <w:tbl>
      <w:tblPr>
        <w:tblW w:w="8116" w:type="dxa"/>
        <w:tblInd w:w="1231" w:type="dxa"/>
        <w:tblLayout w:type="fixed"/>
        <w:tblCellMar>
          <w:left w:w="115" w:type="dxa"/>
          <w:right w:w="115" w:type="dxa"/>
        </w:tblCellMar>
        <w:tblLook w:val="04A0" w:firstRow="1" w:lastRow="0" w:firstColumn="1" w:lastColumn="0" w:noHBand="0" w:noVBand="1"/>
      </w:tblPr>
      <w:tblGrid>
        <w:gridCol w:w="3995"/>
        <w:gridCol w:w="997"/>
        <w:gridCol w:w="997"/>
        <w:gridCol w:w="1081"/>
        <w:gridCol w:w="1046"/>
      </w:tblGrid>
      <w:tr w:rsidR="00573341" w:rsidRPr="00B664C6" w14:paraId="6922DF0B" w14:textId="77777777" w:rsidTr="39D02343">
        <w:trPr>
          <w:trHeight w:val="568"/>
        </w:trPr>
        <w:tc>
          <w:tcPr>
            <w:tcW w:w="3995" w:type="dxa"/>
            <w:tcBorders>
              <w:top w:val="single" w:sz="4" w:space="0" w:color="000000" w:themeColor="text1"/>
              <w:left w:val="single" w:sz="4" w:space="0" w:color="000000" w:themeColor="text1"/>
              <w:bottom w:val="single" w:sz="4" w:space="0" w:color="auto"/>
              <w:right w:val="single" w:sz="4" w:space="0" w:color="auto"/>
            </w:tcBorders>
            <w:shd w:val="clear" w:color="auto" w:fill="auto"/>
            <w:vAlign w:val="center"/>
            <w:hideMark/>
          </w:tcPr>
          <w:p w14:paraId="12397F83" w14:textId="77777777" w:rsidR="00573341" w:rsidRPr="00B664C6" w:rsidRDefault="00573341" w:rsidP="003F5F37">
            <w:pPr>
              <w:keepNext/>
              <w:suppressAutoHyphens w:val="0"/>
              <w:spacing w:line="240" w:lineRule="auto"/>
              <w:rPr>
                <w:rFonts w:eastAsia="Times New Roman"/>
                <w:b/>
                <w:iCs/>
                <w:color w:val="000000"/>
                <w:spacing w:val="0"/>
                <w:w w:val="100"/>
                <w:kern w:val="0"/>
                <w:sz w:val="16"/>
                <w:szCs w:val="16"/>
              </w:rPr>
            </w:pPr>
            <w:r w:rsidRPr="00B664C6">
              <w:rPr>
                <w:rFonts w:eastAsia="Times New Roman"/>
                <w:b/>
                <w:iCs/>
                <w:color w:val="000000"/>
                <w:spacing w:val="0"/>
                <w:w w:val="100"/>
                <w:kern w:val="0"/>
                <w:sz w:val="16"/>
                <w:szCs w:val="16"/>
              </w:rPr>
              <w:t>Resources</w:t>
            </w:r>
          </w:p>
        </w:tc>
        <w:tc>
          <w:tcPr>
            <w:tcW w:w="997" w:type="dxa"/>
            <w:tcBorders>
              <w:top w:val="single" w:sz="4" w:space="0" w:color="auto"/>
              <w:left w:val="single" w:sz="4" w:space="0" w:color="auto"/>
              <w:bottom w:val="single" w:sz="4" w:space="0" w:color="auto"/>
              <w:right w:val="single" w:sz="4" w:space="0" w:color="auto"/>
            </w:tcBorders>
            <w:vAlign w:val="center"/>
          </w:tcPr>
          <w:p w14:paraId="062C7F9C" w14:textId="05DAA4A3" w:rsidR="00573341" w:rsidRPr="00B664C6" w:rsidRDefault="00573341" w:rsidP="00BC6A48">
            <w:pPr>
              <w:keepNext/>
              <w:suppressAutoHyphens w:val="0"/>
              <w:spacing w:line="240" w:lineRule="auto"/>
              <w:jc w:val="center"/>
              <w:rPr>
                <w:rFonts w:eastAsia="Times New Roman"/>
                <w:b/>
                <w:color w:val="000000"/>
                <w:spacing w:val="0"/>
                <w:w w:val="100"/>
                <w:kern w:val="0"/>
                <w:sz w:val="16"/>
                <w:szCs w:val="16"/>
              </w:rPr>
            </w:pPr>
            <w:r w:rsidRPr="00B664C6">
              <w:rPr>
                <w:rFonts w:eastAsia="Times New Roman"/>
                <w:b/>
                <w:color w:val="000000"/>
                <w:spacing w:val="0"/>
                <w:w w:val="100"/>
                <w:kern w:val="0"/>
                <w:sz w:val="16"/>
                <w:szCs w:val="16"/>
              </w:rPr>
              <w:t>20</w:t>
            </w:r>
            <w:r w:rsidR="00CB3F5F" w:rsidRPr="00B664C6">
              <w:rPr>
                <w:rFonts w:eastAsia="Times New Roman"/>
                <w:b/>
                <w:color w:val="000000"/>
                <w:spacing w:val="0"/>
                <w:w w:val="100"/>
                <w:kern w:val="0"/>
                <w:sz w:val="16"/>
                <w:szCs w:val="16"/>
              </w:rPr>
              <w:t>20</w:t>
            </w:r>
          </w:p>
        </w:tc>
        <w:tc>
          <w:tcPr>
            <w:tcW w:w="997" w:type="dxa"/>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42DD84F4" w14:textId="2FEAC088" w:rsidR="00573341" w:rsidRPr="00B664C6" w:rsidRDefault="00573341" w:rsidP="00CC147A">
            <w:pPr>
              <w:keepNext/>
              <w:suppressAutoHyphens w:val="0"/>
              <w:spacing w:line="240" w:lineRule="auto"/>
              <w:jc w:val="center"/>
              <w:rPr>
                <w:rFonts w:eastAsia="Times New Roman"/>
                <w:b/>
                <w:color w:val="000000"/>
                <w:spacing w:val="0"/>
                <w:w w:val="100"/>
                <w:kern w:val="0"/>
                <w:sz w:val="16"/>
                <w:szCs w:val="16"/>
              </w:rPr>
            </w:pPr>
            <w:r w:rsidRPr="00B664C6">
              <w:rPr>
                <w:rFonts w:eastAsia="Times New Roman"/>
                <w:b/>
                <w:color w:val="000000"/>
                <w:spacing w:val="0"/>
                <w:w w:val="100"/>
                <w:kern w:val="0"/>
                <w:sz w:val="16"/>
                <w:szCs w:val="16"/>
              </w:rPr>
              <w:t>20</w:t>
            </w:r>
            <w:r w:rsidR="00CB3F5F" w:rsidRPr="00B664C6">
              <w:rPr>
                <w:rFonts w:eastAsia="Times New Roman"/>
                <w:b/>
                <w:color w:val="000000"/>
                <w:spacing w:val="0"/>
                <w:w w:val="100"/>
                <w:kern w:val="0"/>
                <w:sz w:val="16"/>
                <w:szCs w:val="16"/>
              </w:rPr>
              <w:t>1</w:t>
            </w:r>
            <w:r w:rsidR="00CC147A" w:rsidRPr="00B664C6">
              <w:rPr>
                <w:rFonts w:eastAsia="Times New Roman"/>
                <w:b/>
                <w:color w:val="000000"/>
                <w:spacing w:val="0"/>
                <w:w w:val="100"/>
                <w:kern w:val="0"/>
                <w:sz w:val="16"/>
                <w:szCs w:val="16"/>
              </w:rPr>
              <w:t>9</w:t>
            </w:r>
          </w:p>
        </w:tc>
        <w:tc>
          <w:tcPr>
            <w:tcW w:w="1081" w:type="dxa"/>
            <w:tcBorders>
              <w:top w:val="single" w:sz="4" w:space="0" w:color="auto"/>
              <w:left w:val="nil"/>
              <w:bottom w:val="single" w:sz="4" w:space="0" w:color="auto"/>
              <w:right w:val="single" w:sz="4" w:space="0" w:color="000000" w:themeColor="text1"/>
            </w:tcBorders>
            <w:shd w:val="clear" w:color="auto" w:fill="auto"/>
            <w:vAlign w:val="center"/>
            <w:hideMark/>
          </w:tcPr>
          <w:p w14:paraId="585A846A" w14:textId="3BAA47EF" w:rsidR="00573341" w:rsidRPr="00B664C6" w:rsidRDefault="00573341" w:rsidP="000A6045">
            <w:pPr>
              <w:keepNext/>
              <w:suppressAutoHyphens w:val="0"/>
              <w:spacing w:line="240" w:lineRule="auto"/>
              <w:jc w:val="center"/>
              <w:rPr>
                <w:rFonts w:eastAsia="Times New Roman"/>
                <w:b/>
                <w:iCs/>
                <w:color w:val="000000"/>
                <w:spacing w:val="0"/>
                <w:w w:val="100"/>
                <w:kern w:val="0"/>
                <w:sz w:val="16"/>
                <w:szCs w:val="16"/>
              </w:rPr>
            </w:pPr>
            <w:r w:rsidRPr="00B664C6">
              <w:rPr>
                <w:rFonts w:eastAsia="Times New Roman"/>
                <w:b/>
                <w:iCs/>
                <w:color w:val="000000"/>
                <w:spacing w:val="0"/>
                <w:w w:val="100"/>
                <w:kern w:val="0"/>
                <w:sz w:val="16"/>
                <w:szCs w:val="16"/>
              </w:rPr>
              <w:t>Increase/ (</w:t>
            </w:r>
            <w:r w:rsidR="00CD3F51">
              <w:rPr>
                <w:rFonts w:eastAsia="Times New Roman"/>
                <w:b/>
                <w:iCs/>
                <w:color w:val="000000"/>
                <w:spacing w:val="0"/>
                <w:w w:val="100"/>
                <w:kern w:val="0"/>
                <w:sz w:val="16"/>
                <w:szCs w:val="16"/>
              </w:rPr>
              <w:t>D</w:t>
            </w:r>
            <w:r w:rsidRPr="00B664C6">
              <w:rPr>
                <w:rFonts w:eastAsia="Times New Roman"/>
                <w:b/>
                <w:iCs/>
                <w:color w:val="000000"/>
                <w:spacing w:val="0"/>
                <w:w w:val="100"/>
                <w:kern w:val="0"/>
                <w:sz w:val="16"/>
                <w:szCs w:val="16"/>
              </w:rPr>
              <w:t>ecrease)</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2396BECF" w14:textId="15C10DEB" w:rsidR="00573341" w:rsidRPr="00B664C6" w:rsidRDefault="00573341" w:rsidP="00BC6A48">
            <w:pPr>
              <w:keepNext/>
              <w:suppressAutoHyphens w:val="0"/>
              <w:spacing w:line="240" w:lineRule="auto"/>
              <w:jc w:val="center"/>
              <w:rPr>
                <w:rFonts w:eastAsia="Times New Roman"/>
                <w:b/>
                <w:iCs/>
                <w:color w:val="000000"/>
                <w:spacing w:val="0"/>
                <w:w w:val="100"/>
                <w:kern w:val="0"/>
                <w:sz w:val="16"/>
                <w:szCs w:val="16"/>
              </w:rPr>
            </w:pPr>
            <w:r w:rsidRPr="00B664C6">
              <w:rPr>
                <w:rFonts w:eastAsia="Times New Roman"/>
                <w:b/>
                <w:iCs/>
                <w:color w:val="000000"/>
                <w:spacing w:val="0"/>
                <w:w w:val="100"/>
                <w:kern w:val="0"/>
                <w:sz w:val="16"/>
                <w:szCs w:val="16"/>
              </w:rPr>
              <w:t>Percentage change</w:t>
            </w:r>
          </w:p>
        </w:tc>
      </w:tr>
      <w:tr w:rsidR="00573341" w:rsidRPr="00B664C6" w14:paraId="4D55CA11" w14:textId="77777777" w:rsidTr="39D02343">
        <w:trPr>
          <w:trHeight w:val="317"/>
        </w:trPr>
        <w:tc>
          <w:tcPr>
            <w:tcW w:w="3995" w:type="dxa"/>
            <w:tcBorders>
              <w:top w:val="nil"/>
              <w:left w:val="single" w:sz="4" w:space="0" w:color="000000" w:themeColor="text1"/>
              <w:bottom w:val="nil"/>
              <w:right w:val="single" w:sz="4" w:space="0" w:color="auto"/>
            </w:tcBorders>
            <w:shd w:val="clear" w:color="auto" w:fill="auto"/>
            <w:vAlign w:val="center"/>
            <w:hideMark/>
          </w:tcPr>
          <w:p w14:paraId="79D38CA6" w14:textId="77777777" w:rsidR="00573341" w:rsidRPr="00B664C6" w:rsidRDefault="00573341" w:rsidP="002239CC">
            <w:pPr>
              <w:keepNext/>
              <w:suppressAutoHyphens w:val="0"/>
              <w:spacing w:before="10" w:after="10" w:line="240" w:lineRule="auto"/>
              <w:rPr>
                <w:rFonts w:eastAsia="Times New Roman"/>
                <w:b/>
                <w:bCs/>
                <w:color w:val="000000"/>
                <w:spacing w:val="0"/>
                <w:w w:val="100"/>
                <w:kern w:val="0"/>
                <w:sz w:val="16"/>
                <w:szCs w:val="16"/>
              </w:rPr>
            </w:pPr>
            <w:r w:rsidRPr="00B664C6">
              <w:rPr>
                <w:rFonts w:eastAsia="Times New Roman"/>
                <w:b/>
                <w:bCs/>
                <w:color w:val="000000"/>
                <w:spacing w:val="0"/>
                <w:w w:val="100"/>
                <w:kern w:val="0"/>
                <w:sz w:val="16"/>
                <w:szCs w:val="16"/>
              </w:rPr>
              <w:t>REVENUE</w:t>
            </w:r>
          </w:p>
        </w:tc>
        <w:tc>
          <w:tcPr>
            <w:tcW w:w="997" w:type="dxa"/>
            <w:tcBorders>
              <w:top w:val="nil"/>
              <w:left w:val="single" w:sz="4" w:space="0" w:color="auto"/>
              <w:bottom w:val="nil"/>
              <w:right w:val="single" w:sz="4" w:space="0" w:color="auto"/>
            </w:tcBorders>
          </w:tcPr>
          <w:p w14:paraId="6D40F1D9" w14:textId="77777777" w:rsidR="00573341" w:rsidRPr="00B664C6" w:rsidRDefault="00573341" w:rsidP="002239CC">
            <w:pPr>
              <w:keepNext/>
              <w:suppressAutoHyphens w:val="0"/>
              <w:spacing w:before="10" w:after="10" w:line="240" w:lineRule="auto"/>
              <w:jc w:val="center"/>
              <w:rPr>
                <w:rFonts w:ascii="Calibri" w:eastAsia="Times New Roman" w:hAnsi="Calibri" w:cs="Calibri"/>
                <w:color w:val="000000"/>
                <w:spacing w:val="0"/>
                <w:w w:val="100"/>
                <w:kern w:val="0"/>
                <w:sz w:val="22"/>
                <w:szCs w:val="22"/>
              </w:rPr>
            </w:pPr>
          </w:p>
        </w:tc>
        <w:tc>
          <w:tcPr>
            <w:tcW w:w="997" w:type="dxa"/>
            <w:tcBorders>
              <w:top w:val="nil"/>
              <w:left w:val="single" w:sz="4" w:space="0" w:color="auto"/>
              <w:bottom w:val="nil"/>
              <w:right w:val="single" w:sz="4" w:space="0" w:color="000000" w:themeColor="text1"/>
            </w:tcBorders>
            <w:shd w:val="clear" w:color="auto" w:fill="auto"/>
            <w:noWrap/>
            <w:vAlign w:val="center"/>
            <w:hideMark/>
          </w:tcPr>
          <w:p w14:paraId="43C7AC79" w14:textId="1F599DC3" w:rsidR="00573341" w:rsidRPr="00B664C6" w:rsidRDefault="00573341" w:rsidP="002239CC">
            <w:pPr>
              <w:keepNext/>
              <w:suppressAutoHyphens w:val="0"/>
              <w:spacing w:before="10" w:after="10" w:line="240" w:lineRule="auto"/>
              <w:jc w:val="center"/>
              <w:rPr>
                <w:rFonts w:ascii="Calibri" w:eastAsia="Times New Roman" w:hAnsi="Calibri" w:cs="Calibri"/>
                <w:color w:val="000000"/>
                <w:spacing w:val="0"/>
                <w:w w:val="100"/>
                <w:kern w:val="0"/>
                <w:sz w:val="22"/>
                <w:szCs w:val="22"/>
              </w:rPr>
            </w:pPr>
          </w:p>
        </w:tc>
        <w:tc>
          <w:tcPr>
            <w:tcW w:w="1081" w:type="dxa"/>
            <w:tcBorders>
              <w:top w:val="nil"/>
              <w:left w:val="nil"/>
              <w:bottom w:val="nil"/>
              <w:right w:val="single" w:sz="4" w:space="0" w:color="000000" w:themeColor="text1"/>
            </w:tcBorders>
            <w:shd w:val="clear" w:color="auto" w:fill="auto"/>
            <w:noWrap/>
            <w:vAlign w:val="bottom"/>
            <w:hideMark/>
          </w:tcPr>
          <w:p w14:paraId="03F7E438" w14:textId="4C05FFF4" w:rsidR="00573341" w:rsidRPr="00B664C6" w:rsidRDefault="00573341" w:rsidP="002239CC">
            <w:pPr>
              <w:keepNext/>
              <w:suppressAutoHyphens w:val="0"/>
              <w:spacing w:before="10" w:after="10" w:line="240" w:lineRule="auto"/>
              <w:jc w:val="center"/>
              <w:rPr>
                <w:rFonts w:eastAsia="Times New Roman"/>
                <w:color w:val="000000"/>
                <w:spacing w:val="0"/>
                <w:w w:val="100"/>
                <w:kern w:val="0"/>
                <w:sz w:val="14"/>
                <w:szCs w:val="14"/>
              </w:rPr>
            </w:pPr>
          </w:p>
        </w:tc>
        <w:tc>
          <w:tcPr>
            <w:tcW w:w="1046" w:type="dxa"/>
            <w:tcBorders>
              <w:top w:val="nil"/>
              <w:left w:val="nil"/>
              <w:bottom w:val="nil"/>
              <w:right w:val="single" w:sz="4" w:space="0" w:color="auto"/>
            </w:tcBorders>
            <w:shd w:val="clear" w:color="auto" w:fill="auto"/>
            <w:noWrap/>
            <w:vAlign w:val="bottom"/>
            <w:hideMark/>
          </w:tcPr>
          <w:p w14:paraId="57FAD8A3" w14:textId="1D3923BC" w:rsidR="00573341" w:rsidRPr="00B664C6" w:rsidRDefault="00573341" w:rsidP="002239CC">
            <w:pPr>
              <w:keepNext/>
              <w:suppressAutoHyphens w:val="0"/>
              <w:spacing w:before="10" w:after="10" w:line="240" w:lineRule="auto"/>
              <w:jc w:val="center"/>
              <w:rPr>
                <w:rFonts w:eastAsia="Times New Roman"/>
                <w:color w:val="000000"/>
                <w:spacing w:val="0"/>
                <w:w w:val="100"/>
                <w:kern w:val="0"/>
                <w:sz w:val="14"/>
                <w:szCs w:val="14"/>
              </w:rPr>
            </w:pPr>
          </w:p>
        </w:tc>
      </w:tr>
      <w:tr w:rsidR="00573341" w:rsidRPr="00B664C6" w14:paraId="7DA98FC7" w14:textId="77777777" w:rsidTr="39D02343">
        <w:trPr>
          <w:trHeight w:val="179"/>
        </w:trPr>
        <w:tc>
          <w:tcPr>
            <w:tcW w:w="3995" w:type="dxa"/>
            <w:tcBorders>
              <w:top w:val="nil"/>
              <w:left w:val="single" w:sz="4" w:space="0" w:color="000000" w:themeColor="text1"/>
              <w:bottom w:val="nil"/>
              <w:right w:val="single" w:sz="4" w:space="0" w:color="auto"/>
            </w:tcBorders>
            <w:shd w:val="clear" w:color="auto" w:fill="auto"/>
            <w:vAlign w:val="center"/>
            <w:hideMark/>
          </w:tcPr>
          <w:p w14:paraId="6F35DABF" w14:textId="650E4260" w:rsidR="00573341" w:rsidRPr="00B664C6" w:rsidRDefault="005C1117" w:rsidP="002239CC">
            <w:pPr>
              <w:keepNext/>
              <w:suppressAutoHyphens w:val="0"/>
              <w:spacing w:before="10" w:after="10" w:line="240" w:lineRule="auto"/>
              <w:rPr>
                <w:rFonts w:eastAsia="Times New Roman"/>
                <w:color w:val="000000"/>
                <w:spacing w:val="0"/>
                <w:w w:val="100"/>
                <w:kern w:val="0"/>
                <w:sz w:val="16"/>
                <w:szCs w:val="16"/>
              </w:rPr>
            </w:pPr>
            <w:r w:rsidRPr="00B664C6">
              <w:rPr>
                <w:rFonts w:eastAsia="Times New Roman"/>
                <w:color w:val="000000"/>
                <w:spacing w:val="0"/>
                <w:w w:val="100"/>
                <w:kern w:val="0"/>
                <w:sz w:val="16"/>
                <w:szCs w:val="16"/>
              </w:rPr>
              <w:t xml:space="preserve">Voluntary </w:t>
            </w:r>
            <w:r w:rsidR="00774F05" w:rsidRPr="00B664C6">
              <w:rPr>
                <w:rFonts w:eastAsia="Times New Roman"/>
                <w:color w:val="000000"/>
                <w:spacing w:val="0"/>
                <w:w w:val="100"/>
                <w:kern w:val="0"/>
                <w:sz w:val="16"/>
                <w:szCs w:val="16"/>
              </w:rPr>
              <w:t>c</w:t>
            </w:r>
            <w:r w:rsidR="00573341" w:rsidRPr="00B664C6">
              <w:rPr>
                <w:rFonts w:eastAsia="Times New Roman"/>
                <w:color w:val="000000"/>
                <w:spacing w:val="0"/>
                <w:w w:val="100"/>
                <w:kern w:val="0"/>
                <w:sz w:val="16"/>
                <w:szCs w:val="16"/>
              </w:rPr>
              <w:t>ontributions</w:t>
            </w:r>
          </w:p>
        </w:tc>
        <w:tc>
          <w:tcPr>
            <w:tcW w:w="997" w:type="dxa"/>
            <w:tcBorders>
              <w:top w:val="nil"/>
              <w:left w:val="single" w:sz="4" w:space="0" w:color="auto"/>
              <w:bottom w:val="nil"/>
              <w:right w:val="single" w:sz="4" w:space="0" w:color="auto"/>
            </w:tcBorders>
          </w:tcPr>
          <w:p w14:paraId="79BCC230" w14:textId="77777777" w:rsidR="00573341" w:rsidRPr="00B664C6" w:rsidRDefault="00573341" w:rsidP="002239CC">
            <w:pPr>
              <w:keepNext/>
              <w:suppressAutoHyphens w:val="0"/>
              <w:spacing w:before="10" w:after="10" w:line="240" w:lineRule="auto"/>
              <w:jc w:val="center"/>
              <w:rPr>
                <w:rFonts w:eastAsia="Times New Roman"/>
                <w:color w:val="000000"/>
                <w:spacing w:val="0"/>
                <w:w w:val="100"/>
                <w:kern w:val="0"/>
                <w:sz w:val="16"/>
                <w:szCs w:val="16"/>
              </w:rPr>
            </w:pPr>
          </w:p>
        </w:tc>
        <w:tc>
          <w:tcPr>
            <w:tcW w:w="997" w:type="dxa"/>
            <w:tcBorders>
              <w:top w:val="nil"/>
              <w:left w:val="single" w:sz="4" w:space="0" w:color="auto"/>
              <w:bottom w:val="nil"/>
              <w:right w:val="single" w:sz="4" w:space="0" w:color="000000" w:themeColor="text1"/>
            </w:tcBorders>
            <w:shd w:val="clear" w:color="auto" w:fill="auto"/>
            <w:noWrap/>
            <w:vAlign w:val="center"/>
          </w:tcPr>
          <w:p w14:paraId="0015B2CC" w14:textId="70020CCB" w:rsidR="00573341" w:rsidRPr="00B664C6" w:rsidRDefault="00573341" w:rsidP="002239CC">
            <w:pPr>
              <w:keepNext/>
              <w:suppressAutoHyphens w:val="0"/>
              <w:spacing w:before="10" w:after="10" w:line="240" w:lineRule="auto"/>
              <w:jc w:val="center"/>
              <w:rPr>
                <w:rFonts w:eastAsia="Times New Roman"/>
                <w:color w:val="000000"/>
                <w:spacing w:val="0"/>
                <w:w w:val="100"/>
                <w:kern w:val="0"/>
                <w:sz w:val="16"/>
                <w:szCs w:val="16"/>
              </w:rPr>
            </w:pPr>
          </w:p>
        </w:tc>
        <w:tc>
          <w:tcPr>
            <w:tcW w:w="1081" w:type="dxa"/>
            <w:tcBorders>
              <w:top w:val="nil"/>
              <w:left w:val="nil"/>
              <w:bottom w:val="nil"/>
              <w:right w:val="single" w:sz="4" w:space="0" w:color="000000" w:themeColor="text1"/>
            </w:tcBorders>
            <w:shd w:val="clear" w:color="auto" w:fill="auto"/>
            <w:noWrap/>
            <w:vAlign w:val="bottom"/>
          </w:tcPr>
          <w:p w14:paraId="4A4F965F" w14:textId="19B1C481" w:rsidR="00573341" w:rsidRPr="00B664C6" w:rsidRDefault="00573341" w:rsidP="002239CC">
            <w:pPr>
              <w:keepNext/>
              <w:suppressAutoHyphens w:val="0"/>
              <w:spacing w:before="10" w:after="10" w:line="240" w:lineRule="auto"/>
              <w:jc w:val="center"/>
              <w:rPr>
                <w:rFonts w:eastAsia="Times New Roman"/>
                <w:color w:val="000000"/>
                <w:spacing w:val="0"/>
                <w:w w:val="100"/>
                <w:kern w:val="0"/>
                <w:sz w:val="16"/>
                <w:szCs w:val="16"/>
              </w:rPr>
            </w:pPr>
          </w:p>
        </w:tc>
        <w:tc>
          <w:tcPr>
            <w:tcW w:w="1046" w:type="dxa"/>
            <w:tcBorders>
              <w:top w:val="nil"/>
              <w:left w:val="nil"/>
              <w:bottom w:val="nil"/>
              <w:right w:val="single" w:sz="4" w:space="0" w:color="auto"/>
            </w:tcBorders>
            <w:shd w:val="clear" w:color="auto" w:fill="auto"/>
            <w:noWrap/>
            <w:vAlign w:val="bottom"/>
          </w:tcPr>
          <w:p w14:paraId="6A4895D9" w14:textId="53CC4CF9" w:rsidR="00573341" w:rsidRPr="00B664C6" w:rsidRDefault="00573341" w:rsidP="002239CC">
            <w:pPr>
              <w:keepNext/>
              <w:suppressAutoHyphens w:val="0"/>
              <w:spacing w:before="10" w:after="10" w:line="240" w:lineRule="auto"/>
              <w:jc w:val="center"/>
              <w:rPr>
                <w:rFonts w:eastAsia="Times New Roman"/>
                <w:color w:val="000000"/>
                <w:spacing w:val="0"/>
                <w:w w:val="100"/>
                <w:kern w:val="0"/>
                <w:sz w:val="16"/>
                <w:szCs w:val="16"/>
              </w:rPr>
            </w:pPr>
          </w:p>
        </w:tc>
      </w:tr>
      <w:tr w:rsidR="00834A83" w:rsidRPr="00B664C6" w14:paraId="0D46271B" w14:textId="77777777" w:rsidTr="39D02343">
        <w:trPr>
          <w:trHeight w:val="179"/>
        </w:trPr>
        <w:tc>
          <w:tcPr>
            <w:tcW w:w="3995" w:type="dxa"/>
            <w:tcBorders>
              <w:top w:val="nil"/>
              <w:left w:val="single" w:sz="4" w:space="0" w:color="000000" w:themeColor="text1"/>
              <w:bottom w:val="nil"/>
              <w:right w:val="single" w:sz="4" w:space="0" w:color="auto"/>
            </w:tcBorders>
            <w:shd w:val="clear" w:color="auto" w:fill="auto"/>
            <w:vAlign w:val="bottom"/>
          </w:tcPr>
          <w:p w14:paraId="0C672128" w14:textId="6F1551FC" w:rsidR="00834A83" w:rsidRPr="00B664C6" w:rsidRDefault="00834A83" w:rsidP="00834A83">
            <w:pPr>
              <w:keepNext/>
              <w:suppressAutoHyphens w:val="0"/>
              <w:spacing w:before="10" w:after="10" w:line="240" w:lineRule="auto"/>
              <w:rPr>
                <w:rFonts w:eastAsia="Times New Roman"/>
                <w:color w:val="000000"/>
                <w:spacing w:val="0"/>
                <w:w w:val="100"/>
                <w:kern w:val="0"/>
                <w:sz w:val="16"/>
                <w:szCs w:val="16"/>
              </w:rPr>
            </w:pPr>
            <w:r w:rsidRPr="00B664C6">
              <w:rPr>
                <w:rFonts w:eastAsia="Times New Roman"/>
                <w:color w:val="000000"/>
                <w:spacing w:val="0"/>
                <w:w w:val="100"/>
                <w:kern w:val="0"/>
                <w:sz w:val="16"/>
                <w:szCs w:val="16"/>
              </w:rPr>
              <w:t xml:space="preserve">   Annual </w:t>
            </w:r>
            <w:r w:rsidR="00774F05" w:rsidRPr="00B664C6">
              <w:rPr>
                <w:rFonts w:eastAsia="Times New Roman"/>
                <w:color w:val="000000"/>
                <w:spacing w:val="0"/>
                <w:w w:val="100"/>
                <w:kern w:val="0"/>
                <w:sz w:val="16"/>
                <w:szCs w:val="16"/>
              </w:rPr>
              <w:t>c</w:t>
            </w:r>
            <w:r w:rsidRPr="00B664C6">
              <w:rPr>
                <w:rFonts w:eastAsia="Times New Roman"/>
                <w:color w:val="000000"/>
                <w:spacing w:val="0"/>
                <w:w w:val="100"/>
                <w:kern w:val="0"/>
                <w:sz w:val="16"/>
                <w:szCs w:val="16"/>
              </w:rPr>
              <w:t>ontributions</w:t>
            </w:r>
          </w:p>
        </w:tc>
        <w:tc>
          <w:tcPr>
            <w:tcW w:w="997" w:type="dxa"/>
            <w:tcBorders>
              <w:top w:val="nil"/>
              <w:left w:val="single" w:sz="4" w:space="0" w:color="auto"/>
              <w:bottom w:val="nil"/>
              <w:right w:val="single" w:sz="4" w:space="0" w:color="auto"/>
            </w:tcBorders>
          </w:tcPr>
          <w:p w14:paraId="6B6FBB98" w14:textId="76072D70" w:rsidR="00834A83" w:rsidRPr="00B664C6" w:rsidRDefault="003A0CDC" w:rsidP="00834A83">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5,56</w:t>
            </w:r>
            <w:r w:rsidR="001277C8" w:rsidRPr="00B664C6">
              <w:rPr>
                <w:rFonts w:eastAsia="Times New Roman"/>
                <w:color w:val="000000"/>
                <w:spacing w:val="0"/>
                <w:w w:val="100"/>
                <w:kern w:val="0"/>
                <w:sz w:val="16"/>
                <w:szCs w:val="16"/>
              </w:rPr>
              <w:t>3</w:t>
            </w:r>
          </w:p>
        </w:tc>
        <w:tc>
          <w:tcPr>
            <w:tcW w:w="997" w:type="dxa"/>
            <w:tcBorders>
              <w:top w:val="nil"/>
              <w:left w:val="single" w:sz="4" w:space="0" w:color="auto"/>
              <w:bottom w:val="nil"/>
              <w:right w:val="single" w:sz="4" w:space="0" w:color="000000" w:themeColor="text1"/>
            </w:tcBorders>
            <w:shd w:val="clear" w:color="auto" w:fill="auto"/>
            <w:noWrap/>
          </w:tcPr>
          <w:p w14:paraId="387C9BAC" w14:textId="34887A9E" w:rsidR="00834A83" w:rsidRPr="00B664C6" w:rsidRDefault="00834A83" w:rsidP="00834A83">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4,796</w:t>
            </w:r>
          </w:p>
        </w:tc>
        <w:tc>
          <w:tcPr>
            <w:tcW w:w="1081" w:type="dxa"/>
            <w:tcBorders>
              <w:top w:val="nil"/>
              <w:left w:val="nil"/>
              <w:bottom w:val="nil"/>
              <w:right w:val="single" w:sz="4" w:space="0" w:color="000000" w:themeColor="text1"/>
            </w:tcBorders>
            <w:shd w:val="clear" w:color="auto" w:fill="auto"/>
            <w:noWrap/>
            <w:vAlign w:val="bottom"/>
          </w:tcPr>
          <w:p w14:paraId="1F6CED3A" w14:textId="7D0B8346" w:rsidR="00834A83" w:rsidRPr="00B664C6" w:rsidRDefault="002C0EF4" w:rsidP="00834A83">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76</w:t>
            </w:r>
            <w:r w:rsidR="001277C8" w:rsidRPr="00B664C6">
              <w:rPr>
                <w:rFonts w:eastAsia="Times New Roman"/>
                <w:color w:val="000000"/>
                <w:spacing w:val="0"/>
                <w:w w:val="100"/>
                <w:kern w:val="0"/>
                <w:sz w:val="16"/>
                <w:szCs w:val="16"/>
              </w:rPr>
              <w:t>7</w:t>
            </w:r>
          </w:p>
        </w:tc>
        <w:tc>
          <w:tcPr>
            <w:tcW w:w="1046" w:type="dxa"/>
            <w:tcBorders>
              <w:top w:val="nil"/>
              <w:left w:val="nil"/>
              <w:bottom w:val="nil"/>
              <w:right w:val="single" w:sz="4" w:space="0" w:color="auto"/>
            </w:tcBorders>
            <w:shd w:val="clear" w:color="auto" w:fill="auto"/>
            <w:noWrap/>
            <w:vAlign w:val="bottom"/>
          </w:tcPr>
          <w:p w14:paraId="30D59872" w14:textId="6A7FBD38" w:rsidR="00834A83" w:rsidRPr="00B664C6" w:rsidRDefault="00227B91" w:rsidP="00834A83">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16%</w:t>
            </w:r>
          </w:p>
        </w:tc>
      </w:tr>
      <w:tr w:rsidR="00834A83" w:rsidRPr="00B664C6" w14:paraId="6FE5DA75" w14:textId="77777777" w:rsidTr="39D02343">
        <w:trPr>
          <w:trHeight w:val="179"/>
        </w:trPr>
        <w:tc>
          <w:tcPr>
            <w:tcW w:w="3995" w:type="dxa"/>
            <w:tcBorders>
              <w:top w:val="nil"/>
              <w:left w:val="single" w:sz="4" w:space="0" w:color="000000" w:themeColor="text1"/>
              <w:bottom w:val="nil"/>
              <w:right w:val="single" w:sz="4" w:space="0" w:color="auto"/>
            </w:tcBorders>
            <w:shd w:val="clear" w:color="auto" w:fill="auto"/>
            <w:vAlign w:val="bottom"/>
          </w:tcPr>
          <w:p w14:paraId="099C27FC" w14:textId="71B30EB8" w:rsidR="00834A83" w:rsidRPr="00B664C6" w:rsidRDefault="00834A83" w:rsidP="00834A83">
            <w:pPr>
              <w:keepNext/>
              <w:suppressAutoHyphens w:val="0"/>
              <w:spacing w:before="10" w:after="10" w:line="240" w:lineRule="auto"/>
              <w:rPr>
                <w:rFonts w:eastAsia="Times New Roman"/>
                <w:color w:val="000000"/>
                <w:spacing w:val="0"/>
                <w:w w:val="100"/>
                <w:kern w:val="0"/>
                <w:sz w:val="16"/>
                <w:szCs w:val="16"/>
              </w:rPr>
            </w:pPr>
            <w:r w:rsidRPr="00B664C6">
              <w:rPr>
                <w:rFonts w:eastAsia="Times New Roman"/>
                <w:color w:val="000000"/>
                <w:spacing w:val="0"/>
                <w:w w:val="100"/>
                <w:kern w:val="0"/>
                <w:sz w:val="16"/>
                <w:szCs w:val="16"/>
              </w:rPr>
              <w:t xml:space="preserve">   Net </w:t>
            </w:r>
            <w:r w:rsidR="00774F05" w:rsidRPr="00B664C6">
              <w:rPr>
                <w:rFonts w:eastAsia="Times New Roman"/>
                <w:color w:val="000000"/>
                <w:spacing w:val="0"/>
                <w:w w:val="100"/>
                <w:kern w:val="0"/>
                <w:sz w:val="16"/>
                <w:szCs w:val="16"/>
              </w:rPr>
              <w:t>m</w:t>
            </w:r>
            <w:r w:rsidRPr="00B664C6">
              <w:rPr>
                <w:rFonts w:eastAsia="Times New Roman"/>
                <w:color w:val="000000"/>
                <w:spacing w:val="0"/>
                <w:w w:val="100"/>
                <w:kern w:val="0"/>
                <w:sz w:val="16"/>
                <w:szCs w:val="16"/>
              </w:rPr>
              <w:t xml:space="preserve">ovement of </w:t>
            </w:r>
            <w:r w:rsidR="00774F05" w:rsidRPr="00B664C6">
              <w:rPr>
                <w:rFonts w:eastAsia="Times New Roman"/>
                <w:color w:val="000000"/>
                <w:spacing w:val="0"/>
                <w:w w:val="100"/>
                <w:kern w:val="0"/>
                <w:sz w:val="16"/>
                <w:szCs w:val="16"/>
              </w:rPr>
              <w:t>f</w:t>
            </w:r>
            <w:r w:rsidRPr="00B664C6">
              <w:rPr>
                <w:rFonts w:eastAsia="Times New Roman"/>
                <w:color w:val="000000"/>
                <w:spacing w:val="0"/>
                <w:w w:val="100"/>
                <w:kern w:val="0"/>
                <w:sz w:val="16"/>
                <w:szCs w:val="16"/>
              </w:rPr>
              <w:t xml:space="preserve">uture </w:t>
            </w:r>
            <w:r w:rsidR="00774F05" w:rsidRPr="00B664C6">
              <w:rPr>
                <w:rFonts w:eastAsia="Times New Roman"/>
                <w:color w:val="000000"/>
                <w:spacing w:val="0"/>
                <w:w w:val="100"/>
                <w:kern w:val="0"/>
                <w:sz w:val="16"/>
                <w:szCs w:val="16"/>
              </w:rPr>
              <w:t>d</w:t>
            </w:r>
            <w:r w:rsidRPr="00B664C6">
              <w:rPr>
                <w:rFonts w:eastAsia="Times New Roman"/>
                <w:color w:val="000000"/>
                <w:spacing w:val="0"/>
                <w:w w:val="100"/>
                <w:kern w:val="0"/>
                <w:sz w:val="16"/>
                <w:szCs w:val="16"/>
              </w:rPr>
              <w:t xml:space="preserve">ue </w:t>
            </w:r>
            <w:r w:rsidR="00774F05" w:rsidRPr="00B664C6">
              <w:rPr>
                <w:rFonts w:eastAsia="Times New Roman"/>
                <w:color w:val="000000"/>
                <w:spacing w:val="0"/>
                <w:w w:val="100"/>
                <w:kern w:val="0"/>
                <w:sz w:val="16"/>
                <w:szCs w:val="16"/>
              </w:rPr>
              <w:t>c</w:t>
            </w:r>
            <w:r w:rsidRPr="00B664C6">
              <w:rPr>
                <w:rFonts w:eastAsia="Times New Roman"/>
                <w:color w:val="000000"/>
                <w:spacing w:val="0"/>
                <w:w w:val="100"/>
                <w:kern w:val="0"/>
                <w:sz w:val="16"/>
                <w:szCs w:val="16"/>
              </w:rPr>
              <w:t>ontributions</w:t>
            </w:r>
            <w:r w:rsidR="003A0CDC" w:rsidRPr="00B664C6">
              <w:rPr>
                <w:rStyle w:val="FootnoteReference"/>
                <w:rFonts w:eastAsia="Times New Roman"/>
                <w:sz w:val="16"/>
                <w:szCs w:val="16"/>
              </w:rPr>
              <w:footnoteReference w:id="3"/>
            </w:r>
          </w:p>
        </w:tc>
        <w:tc>
          <w:tcPr>
            <w:tcW w:w="997" w:type="dxa"/>
            <w:tcBorders>
              <w:top w:val="nil"/>
              <w:left w:val="single" w:sz="4" w:space="0" w:color="auto"/>
              <w:bottom w:val="nil"/>
              <w:right w:val="single" w:sz="4" w:space="0" w:color="auto"/>
            </w:tcBorders>
          </w:tcPr>
          <w:p w14:paraId="46B6973C" w14:textId="36A7C523" w:rsidR="00834A83" w:rsidRPr="00B664C6" w:rsidRDefault="001277C8" w:rsidP="00834A83">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725</w:t>
            </w:r>
          </w:p>
        </w:tc>
        <w:tc>
          <w:tcPr>
            <w:tcW w:w="997" w:type="dxa"/>
            <w:tcBorders>
              <w:top w:val="nil"/>
              <w:left w:val="single" w:sz="4" w:space="0" w:color="auto"/>
              <w:bottom w:val="nil"/>
              <w:right w:val="single" w:sz="4" w:space="0" w:color="000000" w:themeColor="text1"/>
            </w:tcBorders>
            <w:shd w:val="clear" w:color="auto" w:fill="auto"/>
            <w:noWrap/>
          </w:tcPr>
          <w:p w14:paraId="65D4A479" w14:textId="5BE8E78A" w:rsidR="00834A83" w:rsidRPr="00B664C6" w:rsidRDefault="003A0CDC" w:rsidP="00834A83">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(304)</w:t>
            </w:r>
          </w:p>
        </w:tc>
        <w:tc>
          <w:tcPr>
            <w:tcW w:w="1081" w:type="dxa"/>
            <w:tcBorders>
              <w:top w:val="nil"/>
              <w:left w:val="nil"/>
              <w:bottom w:val="nil"/>
              <w:right w:val="single" w:sz="4" w:space="0" w:color="000000" w:themeColor="text1"/>
            </w:tcBorders>
            <w:shd w:val="clear" w:color="auto" w:fill="auto"/>
            <w:noWrap/>
            <w:vAlign w:val="bottom"/>
          </w:tcPr>
          <w:p w14:paraId="29B6A155" w14:textId="4AAAA2D3" w:rsidR="00834A83" w:rsidRPr="00B664C6" w:rsidRDefault="001277C8" w:rsidP="00834A83">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1029</w:t>
            </w:r>
          </w:p>
        </w:tc>
        <w:tc>
          <w:tcPr>
            <w:tcW w:w="1046" w:type="dxa"/>
            <w:tcBorders>
              <w:top w:val="nil"/>
              <w:left w:val="nil"/>
              <w:bottom w:val="nil"/>
              <w:right w:val="single" w:sz="4" w:space="0" w:color="auto"/>
            </w:tcBorders>
            <w:shd w:val="clear" w:color="auto" w:fill="auto"/>
            <w:noWrap/>
            <w:vAlign w:val="bottom"/>
          </w:tcPr>
          <w:p w14:paraId="5E57F884" w14:textId="743C5C34" w:rsidR="00834A83" w:rsidRPr="00B664C6" w:rsidRDefault="00227B91" w:rsidP="00834A83">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w:t>
            </w:r>
          </w:p>
        </w:tc>
      </w:tr>
      <w:tr w:rsidR="00834A83" w:rsidRPr="00B664C6" w14:paraId="75D2C8D2" w14:textId="77777777" w:rsidTr="39D02343">
        <w:trPr>
          <w:trHeight w:val="179"/>
        </w:trPr>
        <w:tc>
          <w:tcPr>
            <w:tcW w:w="3995" w:type="dxa"/>
            <w:tcBorders>
              <w:top w:val="nil"/>
              <w:left w:val="single" w:sz="4" w:space="0" w:color="000000" w:themeColor="text1"/>
              <w:bottom w:val="nil"/>
              <w:right w:val="single" w:sz="4" w:space="0" w:color="auto"/>
            </w:tcBorders>
            <w:shd w:val="clear" w:color="auto" w:fill="auto"/>
            <w:vAlign w:val="bottom"/>
            <w:hideMark/>
          </w:tcPr>
          <w:p w14:paraId="6CFDBF59" w14:textId="678FC2D8" w:rsidR="00834A83" w:rsidRPr="00B664C6" w:rsidRDefault="00834A83" w:rsidP="00834A83">
            <w:pPr>
              <w:keepNext/>
              <w:suppressAutoHyphens w:val="0"/>
              <w:spacing w:before="10" w:after="10" w:line="240" w:lineRule="auto"/>
              <w:rPr>
                <w:rFonts w:eastAsia="Times New Roman"/>
                <w:color w:val="000000"/>
                <w:spacing w:val="0"/>
                <w:w w:val="100"/>
                <w:kern w:val="0"/>
                <w:sz w:val="16"/>
                <w:szCs w:val="16"/>
              </w:rPr>
            </w:pPr>
            <w:r w:rsidRPr="00B664C6">
              <w:rPr>
                <w:rFonts w:eastAsia="Times New Roman"/>
                <w:color w:val="000000"/>
                <w:spacing w:val="0"/>
                <w:w w:val="100"/>
                <w:kern w:val="0"/>
                <w:sz w:val="16"/>
                <w:szCs w:val="16"/>
              </w:rPr>
              <w:t xml:space="preserve">   Subtotal: </w:t>
            </w:r>
            <w:r w:rsidR="00774F05" w:rsidRPr="00B664C6">
              <w:rPr>
                <w:rFonts w:eastAsia="Times New Roman"/>
                <w:color w:val="000000"/>
                <w:spacing w:val="0"/>
                <w:w w:val="100"/>
                <w:kern w:val="0"/>
                <w:sz w:val="16"/>
                <w:szCs w:val="16"/>
              </w:rPr>
              <w:t>v</w:t>
            </w:r>
            <w:r w:rsidRPr="00B664C6">
              <w:rPr>
                <w:rFonts w:eastAsia="Times New Roman"/>
                <w:color w:val="000000"/>
                <w:spacing w:val="0"/>
                <w:w w:val="100"/>
                <w:kern w:val="0"/>
                <w:sz w:val="16"/>
                <w:szCs w:val="16"/>
              </w:rPr>
              <w:t xml:space="preserve">oluntary </w:t>
            </w:r>
            <w:r w:rsidR="00774F05" w:rsidRPr="00B664C6">
              <w:rPr>
                <w:rFonts w:eastAsia="Times New Roman"/>
                <w:color w:val="000000"/>
                <w:spacing w:val="0"/>
                <w:w w:val="100"/>
                <w:kern w:val="0"/>
                <w:sz w:val="16"/>
                <w:szCs w:val="16"/>
              </w:rPr>
              <w:t>c</w:t>
            </w:r>
            <w:r w:rsidRPr="00B664C6">
              <w:rPr>
                <w:rFonts w:eastAsia="Times New Roman"/>
                <w:color w:val="000000"/>
                <w:spacing w:val="0"/>
                <w:w w:val="100"/>
                <w:kern w:val="0"/>
                <w:sz w:val="16"/>
                <w:szCs w:val="16"/>
              </w:rPr>
              <w:t>ontributions</w:t>
            </w:r>
          </w:p>
        </w:tc>
        <w:tc>
          <w:tcPr>
            <w:tcW w:w="997" w:type="dxa"/>
            <w:tcBorders>
              <w:top w:val="nil"/>
              <w:left w:val="single" w:sz="4" w:space="0" w:color="auto"/>
              <w:bottom w:val="nil"/>
              <w:right w:val="single" w:sz="4" w:space="0" w:color="auto"/>
            </w:tcBorders>
          </w:tcPr>
          <w:p w14:paraId="4B39D865" w14:textId="38BF01ED" w:rsidR="00834A83" w:rsidRPr="00B664C6" w:rsidRDefault="003A0CDC" w:rsidP="00834A83">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6,2</w:t>
            </w:r>
            <w:r w:rsidR="001277C8" w:rsidRPr="00B664C6">
              <w:rPr>
                <w:rFonts w:eastAsia="Times New Roman"/>
                <w:color w:val="000000"/>
                <w:spacing w:val="0"/>
                <w:w w:val="100"/>
                <w:kern w:val="0"/>
                <w:sz w:val="16"/>
                <w:szCs w:val="16"/>
              </w:rPr>
              <w:t>88</w:t>
            </w:r>
          </w:p>
        </w:tc>
        <w:tc>
          <w:tcPr>
            <w:tcW w:w="997" w:type="dxa"/>
            <w:tcBorders>
              <w:top w:val="nil"/>
              <w:left w:val="single" w:sz="4" w:space="0" w:color="auto"/>
              <w:bottom w:val="nil"/>
              <w:right w:val="single" w:sz="4" w:space="0" w:color="000000" w:themeColor="text1"/>
            </w:tcBorders>
            <w:shd w:val="clear" w:color="auto" w:fill="auto"/>
            <w:noWrap/>
          </w:tcPr>
          <w:p w14:paraId="5DA2B57D" w14:textId="1A647FD1" w:rsidR="00834A83" w:rsidRPr="00B664C6" w:rsidRDefault="00834A83" w:rsidP="00834A83">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4,492</w:t>
            </w:r>
          </w:p>
        </w:tc>
        <w:tc>
          <w:tcPr>
            <w:tcW w:w="1081" w:type="dxa"/>
            <w:tcBorders>
              <w:top w:val="nil"/>
              <w:left w:val="nil"/>
              <w:bottom w:val="nil"/>
              <w:right w:val="single" w:sz="4" w:space="0" w:color="000000" w:themeColor="text1"/>
            </w:tcBorders>
            <w:shd w:val="clear" w:color="auto" w:fill="auto"/>
            <w:noWrap/>
            <w:vAlign w:val="bottom"/>
          </w:tcPr>
          <w:p w14:paraId="54F1E837" w14:textId="088C5225" w:rsidR="00834A83" w:rsidRPr="00B664C6" w:rsidRDefault="002C0EF4" w:rsidP="00834A83">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1,7</w:t>
            </w:r>
            <w:r w:rsidR="001277C8" w:rsidRPr="00B664C6">
              <w:rPr>
                <w:rFonts w:eastAsia="Times New Roman"/>
                <w:color w:val="000000"/>
                <w:spacing w:val="0"/>
                <w:w w:val="100"/>
                <w:kern w:val="0"/>
                <w:sz w:val="16"/>
                <w:szCs w:val="16"/>
              </w:rPr>
              <w:t>96</w:t>
            </w:r>
          </w:p>
        </w:tc>
        <w:tc>
          <w:tcPr>
            <w:tcW w:w="1046" w:type="dxa"/>
            <w:tcBorders>
              <w:top w:val="nil"/>
              <w:left w:val="nil"/>
              <w:bottom w:val="nil"/>
              <w:right w:val="single" w:sz="4" w:space="0" w:color="auto"/>
            </w:tcBorders>
            <w:shd w:val="clear" w:color="auto" w:fill="auto"/>
            <w:noWrap/>
            <w:vAlign w:val="bottom"/>
          </w:tcPr>
          <w:p w14:paraId="5F666237" w14:textId="0E840FDF" w:rsidR="00834A83" w:rsidRPr="00B664C6" w:rsidRDefault="001277C8" w:rsidP="00834A83">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40</w:t>
            </w:r>
            <w:r w:rsidR="00227B91" w:rsidRPr="00B664C6">
              <w:rPr>
                <w:rFonts w:eastAsia="Times New Roman"/>
                <w:color w:val="000000"/>
                <w:spacing w:val="0"/>
                <w:w w:val="100"/>
                <w:kern w:val="0"/>
                <w:sz w:val="16"/>
                <w:szCs w:val="16"/>
              </w:rPr>
              <w:t>%</w:t>
            </w:r>
          </w:p>
        </w:tc>
      </w:tr>
      <w:tr w:rsidR="0067369D" w:rsidRPr="00B664C6" w14:paraId="387E4C8B" w14:textId="77777777" w:rsidTr="39D02343">
        <w:trPr>
          <w:trHeight w:val="179"/>
        </w:trPr>
        <w:tc>
          <w:tcPr>
            <w:tcW w:w="3995" w:type="dxa"/>
            <w:tcBorders>
              <w:top w:val="nil"/>
              <w:left w:val="single" w:sz="4" w:space="0" w:color="000000" w:themeColor="text1"/>
              <w:bottom w:val="nil"/>
              <w:right w:val="single" w:sz="4" w:space="0" w:color="auto"/>
            </w:tcBorders>
            <w:shd w:val="clear" w:color="auto" w:fill="auto"/>
            <w:vAlign w:val="center"/>
            <w:hideMark/>
          </w:tcPr>
          <w:p w14:paraId="326F0F42" w14:textId="51F98231" w:rsidR="0067369D" w:rsidRPr="00B664C6" w:rsidRDefault="0067369D" w:rsidP="0067369D">
            <w:pPr>
              <w:keepNext/>
              <w:suppressAutoHyphens w:val="0"/>
              <w:spacing w:before="10" w:after="10" w:line="240" w:lineRule="auto"/>
              <w:rPr>
                <w:rFonts w:eastAsia="Times New Roman"/>
                <w:color w:val="000000"/>
                <w:spacing w:val="0"/>
                <w:w w:val="100"/>
                <w:kern w:val="0"/>
                <w:sz w:val="16"/>
                <w:szCs w:val="16"/>
              </w:rPr>
            </w:pPr>
            <w:r w:rsidRPr="00B664C6">
              <w:rPr>
                <w:rFonts w:eastAsia="Times New Roman"/>
                <w:color w:val="000000"/>
                <w:spacing w:val="0"/>
                <w:w w:val="100"/>
                <w:kern w:val="0"/>
                <w:sz w:val="16"/>
                <w:szCs w:val="16"/>
              </w:rPr>
              <w:t>GLOC</w:t>
            </w:r>
          </w:p>
        </w:tc>
        <w:tc>
          <w:tcPr>
            <w:tcW w:w="997" w:type="dxa"/>
            <w:tcBorders>
              <w:top w:val="nil"/>
              <w:left w:val="single" w:sz="4" w:space="0" w:color="auto"/>
              <w:bottom w:val="nil"/>
              <w:right w:val="single" w:sz="4" w:space="0" w:color="auto"/>
            </w:tcBorders>
          </w:tcPr>
          <w:p w14:paraId="197C9CFD" w14:textId="03C510AF" w:rsidR="0067369D" w:rsidRPr="00B664C6" w:rsidRDefault="0067369D" w:rsidP="0067369D">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19</w:t>
            </w:r>
          </w:p>
        </w:tc>
        <w:tc>
          <w:tcPr>
            <w:tcW w:w="997" w:type="dxa"/>
            <w:tcBorders>
              <w:top w:val="nil"/>
              <w:left w:val="single" w:sz="4" w:space="0" w:color="auto"/>
              <w:bottom w:val="nil"/>
              <w:right w:val="single" w:sz="4" w:space="0" w:color="000000" w:themeColor="text1"/>
            </w:tcBorders>
            <w:shd w:val="clear" w:color="auto" w:fill="auto"/>
            <w:noWrap/>
          </w:tcPr>
          <w:p w14:paraId="69A93143" w14:textId="332E934B" w:rsidR="0067369D" w:rsidRPr="00B664C6" w:rsidRDefault="0067369D" w:rsidP="0067369D">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18</w:t>
            </w:r>
          </w:p>
        </w:tc>
        <w:tc>
          <w:tcPr>
            <w:tcW w:w="1081" w:type="dxa"/>
            <w:tcBorders>
              <w:top w:val="nil"/>
              <w:left w:val="nil"/>
              <w:bottom w:val="nil"/>
              <w:right w:val="single" w:sz="4" w:space="0" w:color="000000" w:themeColor="text1"/>
            </w:tcBorders>
            <w:shd w:val="clear" w:color="auto" w:fill="auto"/>
            <w:noWrap/>
            <w:vAlign w:val="bottom"/>
          </w:tcPr>
          <w:p w14:paraId="4B4BA951" w14:textId="4506E382" w:rsidR="0067369D" w:rsidRPr="00B664C6" w:rsidRDefault="0067369D" w:rsidP="0067369D">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1</w:t>
            </w:r>
          </w:p>
        </w:tc>
        <w:tc>
          <w:tcPr>
            <w:tcW w:w="1046" w:type="dxa"/>
            <w:tcBorders>
              <w:top w:val="nil"/>
              <w:left w:val="nil"/>
              <w:bottom w:val="nil"/>
              <w:right w:val="single" w:sz="4" w:space="0" w:color="auto"/>
            </w:tcBorders>
            <w:shd w:val="clear" w:color="auto" w:fill="auto"/>
            <w:noWrap/>
            <w:vAlign w:val="bottom"/>
          </w:tcPr>
          <w:p w14:paraId="30AB58E6" w14:textId="5BAA5B1F" w:rsidR="0067369D" w:rsidRPr="00B664C6" w:rsidRDefault="0067369D" w:rsidP="0067369D">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6%</w:t>
            </w:r>
          </w:p>
        </w:tc>
      </w:tr>
      <w:tr w:rsidR="0067369D" w:rsidRPr="00B664C6" w14:paraId="1AAAC999" w14:textId="77777777" w:rsidTr="39D02343">
        <w:trPr>
          <w:trHeight w:val="179"/>
        </w:trPr>
        <w:tc>
          <w:tcPr>
            <w:tcW w:w="3995" w:type="dxa"/>
            <w:tcBorders>
              <w:top w:val="nil"/>
              <w:left w:val="single" w:sz="4" w:space="0" w:color="auto"/>
              <w:bottom w:val="nil"/>
              <w:right w:val="single" w:sz="4" w:space="0" w:color="auto"/>
            </w:tcBorders>
            <w:shd w:val="clear" w:color="auto" w:fill="auto"/>
            <w:vAlign w:val="bottom"/>
            <w:hideMark/>
          </w:tcPr>
          <w:p w14:paraId="604B33EE" w14:textId="3B7161B7" w:rsidR="0067369D" w:rsidRPr="00B664C6" w:rsidRDefault="0067369D" w:rsidP="0067369D">
            <w:pPr>
              <w:keepNext/>
              <w:suppressAutoHyphens w:val="0"/>
              <w:spacing w:before="10" w:after="10" w:line="240" w:lineRule="auto"/>
              <w:rPr>
                <w:rFonts w:eastAsia="Times New Roman"/>
                <w:color w:val="000000"/>
                <w:spacing w:val="0"/>
                <w:w w:val="100"/>
                <w:kern w:val="0"/>
                <w:sz w:val="16"/>
                <w:szCs w:val="16"/>
              </w:rPr>
            </w:pPr>
            <w:r w:rsidRPr="00B664C6">
              <w:rPr>
                <w:rFonts w:eastAsia="Times New Roman"/>
                <w:color w:val="000000"/>
                <w:spacing w:val="0"/>
                <w:w w:val="100"/>
                <w:kern w:val="0"/>
                <w:sz w:val="16"/>
                <w:szCs w:val="16"/>
              </w:rPr>
              <w:t>Net contributor countries contributions</w:t>
            </w:r>
          </w:p>
        </w:tc>
        <w:tc>
          <w:tcPr>
            <w:tcW w:w="997" w:type="dxa"/>
            <w:tcBorders>
              <w:top w:val="nil"/>
              <w:left w:val="single" w:sz="4" w:space="0" w:color="000000" w:themeColor="text1"/>
              <w:bottom w:val="nil"/>
              <w:right w:val="single" w:sz="4" w:space="0" w:color="auto"/>
            </w:tcBorders>
          </w:tcPr>
          <w:p w14:paraId="5833248F" w14:textId="6962BFEA" w:rsidR="0067369D" w:rsidRPr="00B664C6" w:rsidRDefault="0067369D" w:rsidP="0067369D">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7</w:t>
            </w:r>
          </w:p>
        </w:tc>
        <w:tc>
          <w:tcPr>
            <w:tcW w:w="997" w:type="dxa"/>
            <w:tcBorders>
              <w:top w:val="nil"/>
              <w:left w:val="single" w:sz="4" w:space="0" w:color="auto"/>
              <w:bottom w:val="nil"/>
              <w:right w:val="single" w:sz="4" w:space="0" w:color="000000" w:themeColor="text1"/>
            </w:tcBorders>
            <w:shd w:val="clear" w:color="auto" w:fill="auto"/>
            <w:noWrap/>
          </w:tcPr>
          <w:p w14:paraId="40141D95" w14:textId="414DD1F7" w:rsidR="0067369D" w:rsidRPr="00B664C6" w:rsidRDefault="0067369D" w:rsidP="0067369D">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8</w:t>
            </w:r>
          </w:p>
        </w:tc>
        <w:tc>
          <w:tcPr>
            <w:tcW w:w="1081" w:type="dxa"/>
            <w:tcBorders>
              <w:top w:val="nil"/>
              <w:left w:val="nil"/>
              <w:bottom w:val="nil"/>
              <w:right w:val="single" w:sz="4" w:space="0" w:color="000000" w:themeColor="text1"/>
            </w:tcBorders>
            <w:shd w:val="clear" w:color="auto" w:fill="auto"/>
            <w:noWrap/>
            <w:vAlign w:val="bottom"/>
          </w:tcPr>
          <w:p w14:paraId="7C7932A6" w14:textId="7D0D70FF" w:rsidR="0067369D" w:rsidRPr="00B664C6" w:rsidRDefault="0067369D" w:rsidP="0067369D">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(1)</w:t>
            </w:r>
          </w:p>
        </w:tc>
        <w:tc>
          <w:tcPr>
            <w:tcW w:w="1046" w:type="dxa"/>
            <w:tcBorders>
              <w:top w:val="nil"/>
              <w:left w:val="nil"/>
              <w:bottom w:val="nil"/>
              <w:right w:val="single" w:sz="4" w:space="0" w:color="auto"/>
            </w:tcBorders>
            <w:shd w:val="clear" w:color="auto" w:fill="auto"/>
            <w:noWrap/>
            <w:vAlign w:val="bottom"/>
          </w:tcPr>
          <w:p w14:paraId="50990D94" w14:textId="31768D6D" w:rsidR="0067369D" w:rsidRPr="00B664C6" w:rsidRDefault="0067369D" w:rsidP="0067369D">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(13%)</w:t>
            </w:r>
          </w:p>
        </w:tc>
      </w:tr>
      <w:tr w:rsidR="0067369D" w:rsidRPr="00B664C6" w14:paraId="493ED9EB" w14:textId="77777777" w:rsidTr="39D02343">
        <w:trPr>
          <w:trHeight w:val="179"/>
        </w:trPr>
        <w:tc>
          <w:tcPr>
            <w:tcW w:w="3995" w:type="dxa"/>
            <w:tcBorders>
              <w:top w:val="nil"/>
              <w:left w:val="single" w:sz="4" w:space="0" w:color="auto"/>
              <w:bottom w:val="nil"/>
              <w:right w:val="single" w:sz="4" w:space="0" w:color="auto"/>
            </w:tcBorders>
            <w:shd w:val="clear" w:color="auto" w:fill="auto"/>
            <w:vAlign w:val="bottom"/>
            <w:hideMark/>
          </w:tcPr>
          <w:p w14:paraId="2504BC77" w14:textId="6867D048" w:rsidR="0067369D" w:rsidRPr="00B664C6" w:rsidRDefault="0067369D" w:rsidP="0067369D">
            <w:pPr>
              <w:keepNext/>
              <w:suppressAutoHyphens w:val="0"/>
              <w:spacing w:before="10" w:after="10" w:line="240" w:lineRule="auto"/>
              <w:rPr>
                <w:rFonts w:eastAsia="Times New Roman"/>
                <w:color w:val="000000"/>
                <w:spacing w:val="0"/>
                <w:w w:val="100"/>
                <w:kern w:val="0"/>
                <w:sz w:val="16"/>
                <w:szCs w:val="16"/>
              </w:rPr>
            </w:pPr>
            <w:r w:rsidRPr="00B664C6">
              <w:rPr>
                <w:rFonts w:eastAsia="Times New Roman"/>
                <w:color w:val="000000"/>
                <w:spacing w:val="0"/>
                <w:w w:val="100"/>
                <w:kern w:val="0"/>
                <w:sz w:val="16"/>
                <w:szCs w:val="16"/>
              </w:rPr>
              <w:t>Upper</w:t>
            </w:r>
            <w:r w:rsidR="003A37D2" w:rsidRPr="00B664C6">
              <w:rPr>
                <w:rFonts w:eastAsia="Times New Roman"/>
                <w:color w:val="000000"/>
                <w:spacing w:val="0"/>
                <w:w w:val="100"/>
                <w:kern w:val="0"/>
                <w:sz w:val="16"/>
                <w:szCs w:val="16"/>
              </w:rPr>
              <w:t>-</w:t>
            </w:r>
            <w:r w:rsidRPr="00B664C6">
              <w:rPr>
                <w:rFonts w:eastAsia="Times New Roman"/>
                <w:color w:val="000000"/>
                <w:spacing w:val="0"/>
                <w:w w:val="100"/>
                <w:kern w:val="0"/>
                <w:sz w:val="16"/>
                <w:szCs w:val="16"/>
              </w:rPr>
              <w:t>middle</w:t>
            </w:r>
            <w:r w:rsidR="003A37D2" w:rsidRPr="00B664C6">
              <w:rPr>
                <w:rFonts w:eastAsia="Times New Roman"/>
                <w:color w:val="000000"/>
                <w:spacing w:val="0"/>
                <w:w w:val="100"/>
                <w:kern w:val="0"/>
                <w:sz w:val="16"/>
                <w:szCs w:val="16"/>
              </w:rPr>
              <w:t>-</w:t>
            </w:r>
            <w:r w:rsidRPr="00B664C6">
              <w:rPr>
                <w:rFonts w:eastAsia="Times New Roman"/>
                <w:color w:val="000000"/>
                <w:spacing w:val="0"/>
                <w:w w:val="100"/>
                <w:kern w:val="0"/>
                <w:sz w:val="16"/>
                <w:szCs w:val="16"/>
              </w:rPr>
              <w:t>income</w:t>
            </w:r>
            <w:r w:rsidR="003A37D2" w:rsidRPr="00B664C6">
              <w:rPr>
                <w:rFonts w:eastAsia="Times New Roman"/>
                <w:color w:val="000000"/>
                <w:spacing w:val="0"/>
                <w:w w:val="100"/>
                <w:kern w:val="0"/>
                <w:sz w:val="16"/>
                <w:szCs w:val="16"/>
              </w:rPr>
              <w:t>-</w:t>
            </w:r>
            <w:r w:rsidRPr="00B664C6">
              <w:rPr>
                <w:rFonts w:eastAsia="Times New Roman"/>
                <w:color w:val="000000"/>
                <w:spacing w:val="0"/>
                <w:w w:val="100"/>
                <w:kern w:val="0"/>
                <w:sz w:val="16"/>
                <w:szCs w:val="16"/>
              </w:rPr>
              <w:t>countr</w:t>
            </w:r>
            <w:r w:rsidR="003A37D2" w:rsidRPr="00B664C6">
              <w:rPr>
                <w:rFonts w:eastAsia="Times New Roman"/>
                <w:color w:val="000000"/>
                <w:spacing w:val="0"/>
                <w:w w:val="100"/>
                <w:kern w:val="0"/>
                <w:sz w:val="16"/>
                <w:szCs w:val="16"/>
              </w:rPr>
              <w:t>y</w:t>
            </w:r>
            <w:r w:rsidRPr="00B664C6">
              <w:rPr>
                <w:rFonts w:eastAsia="Times New Roman"/>
                <w:color w:val="000000"/>
                <w:spacing w:val="0"/>
                <w:w w:val="100"/>
                <w:kern w:val="0"/>
                <w:sz w:val="16"/>
                <w:szCs w:val="16"/>
              </w:rPr>
              <w:t xml:space="preserve"> contributions</w:t>
            </w:r>
          </w:p>
        </w:tc>
        <w:tc>
          <w:tcPr>
            <w:tcW w:w="997" w:type="dxa"/>
            <w:tcBorders>
              <w:top w:val="nil"/>
              <w:left w:val="single" w:sz="4" w:space="0" w:color="000000" w:themeColor="text1"/>
              <w:bottom w:val="nil"/>
              <w:right w:val="single" w:sz="4" w:space="0" w:color="auto"/>
            </w:tcBorders>
          </w:tcPr>
          <w:p w14:paraId="15C380D6" w14:textId="6E050596" w:rsidR="0067369D" w:rsidRPr="00B664C6" w:rsidRDefault="0067369D" w:rsidP="0067369D">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9</w:t>
            </w:r>
          </w:p>
        </w:tc>
        <w:tc>
          <w:tcPr>
            <w:tcW w:w="997" w:type="dxa"/>
            <w:tcBorders>
              <w:top w:val="nil"/>
              <w:left w:val="single" w:sz="4" w:space="0" w:color="auto"/>
              <w:bottom w:val="nil"/>
              <w:right w:val="single" w:sz="4" w:space="0" w:color="000000" w:themeColor="text1"/>
            </w:tcBorders>
            <w:shd w:val="clear" w:color="auto" w:fill="auto"/>
            <w:noWrap/>
          </w:tcPr>
          <w:p w14:paraId="41BED874" w14:textId="0843B971" w:rsidR="0067369D" w:rsidRPr="00B664C6" w:rsidRDefault="0067369D" w:rsidP="0067369D">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9</w:t>
            </w:r>
          </w:p>
        </w:tc>
        <w:tc>
          <w:tcPr>
            <w:tcW w:w="1081" w:type="dxa"/>
            <w:tcBorders>
              <w:top w:val="nil"/>
              <w:left w:val="nil"/>
              <w:bottom w:val="nil"/>
              <w:right w:val="single" w:sz="4" w:space="0" w:color="000000" w:themeColor="text1"/>
            </w:tcBorders>
            <w:shd w:val="clear" w:color="auto" w:fill="auto"/>
            <w:noWrap/>
            <w:vAlign w:val="bottom"/>
          </w:tcPr>
          <w:p w14:paraId="1D7EDE86" w14:textId="06098D91" w:rsidR="0067369D" w:rsidRPr="00B664C6" w:rsidRDefault="0067369D" w:rsidP="0067369D">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w:t>
            </w:r>
          </w:p>
        </w:tc>
        <w:tc>
          <w:tcPr>
            <w:tcW w:w="1046" w:type="dxa"/>
            <w:tcBorders>
              <w:top w:val="nil"/>
              <w:left w:val="nil"/>
              <w:bottom w:val="nil"/>
              <w:right w:val="single" w:sz="4" w:space="0" w:color="auto"/>
            </w:tcBorders>
            <w:shd w:val="clear" w:color="auto" w:fill="auto"/>
            <w:noWrap/>
            <w:vAlign w:val="bottom"/>
          </w:tcPr>
          <w:p w14:paraId="272B7547" w14:textId="26BB2BAC" w:rsidR="0067369D" w:rsidRPr="00B664C6" w:rsidRDefault="0067369D" w:rsidP="0067369D">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w:t>
            </w:r>
          </w:p>
        </w:tc>
      </w:tr>
      <w:tr w:rsidR="0067369D" w:rsidRPr="00B664C6" w14:paraId="2ADC8E2A" w14:textId="77777777" w:rsidTr="39D02343">
        <w:trPr>
          <w:trHeight w:val="179"/>
        </w:trPr>
        <w:tc>
          <w:tcPr>
            <w:tcW w:w="3995" w:type="dxa"/>
            <w:tcBorders>
              <w:top w:val="nil"/>
              <w:left w:val="single" w:sz="4" w:space="0" w:color="000000" w:themeColor="text1"/>
              <w:bottom w:val="nil"/>
              <w:right w:val="single" w:sz="4" w:space="0" w:color="auto"/>
            </w:tcBorders>
            <w:shd w:val="clear" w:color="auto" w:fill="auto"/>
            <w:vAlign w:val="center"/>
            <w:hideMark/>
          </w:tcPr>
          <w:p w14:paraId="0B3ADDE6" w14:textId="4512F808" w:rsidR="0067369D" w:rsidRPr="00B664C6" w:rsidRDefault="0067369D" w:rsidP="0067369D">
            <w:pPr>
              <w:keepNext/>
              <w:suppressAutoHyphens w:val="0"/>
              <w:spacing w:before="10" w:after="10" w:line="240" w:lineRule="auto"/>
              <w:rPr>
                <w:rFonts w:eastAsia="Times New Roman"/>
                <w:color w:val="000000"/>
                <w:spacing w:val="0"/>
                <w:w w:val="100"/>
                <w:kern w:val="0"/>
                <w:sz w:val="16"/>
                <w:szCs w:val="16"/>
              </w:rPr>
            </w:pPr>
            <w:r w:rsidRPr="00B664C6">
              <w:rPr>
                <w:rFonts w:eastAsia="Times New Roman"/>
                <w:color w:val="000000"/>
                <w:spacing w:val="0"/>
                <w:w w:val="100"/>
                <w:kern w:val="0"/>
                <w:sz w:val="16"/>
                <w:szCs w:val="16"/>
              </w:rPr>
              <w:t>Contributions in</w:t>
            </w:r>
            <w:r w:rsidR="003A37D2" w:rsidRPr="00B664C6">
              <w:rPr>
                <w:rFonts w:eastAsia="Times New Roman"/>
                <w:color w:val="000000"/>
                <w:spacing w:val="0"/>
                <w:w w:val="100"/>
                <w:kern w:val="0"/>
                <w:sz w:val="16"/>
                <w:szCs w:val="16"/>
              </w:rPr>
              <w:t xml:space="preserve"> </w:t>
            </w:r>
            <w:r w:rsidRPr="00B664C6">
              <w:rPr>
                <w:rFonts w:eastAsia="Times New Roman"/>
                <w:color w:val="000000"/>
                <w:spacing w:val="0"/>
                <w:w w:val="100"/>
                <w:kern w:val="0"/>
                <w:sz w:val="16"/>
                <w:szCs w:val="16"/>
              </w:rPr>
              <w:t xml:space="preserve">kind </w:t>
            </w:r>
          </w:p>
        </w:tc>
        <w:tc>
          <w:tcPr>
            <w:tcW w:w="997" w:type="dxa"/>
            <w:tcBorders>
              <w:top w:val="nil"/>
              <w:left w:val="single" w:sz="4" w:space="0" w:color="auto"/>
              <w:bottom w:val="nil"/>
              <w:right w:val="single" w:sz="4" w:space="0" w:color="auto"/>
            </w:tcBorders>
          </w:tcPr>
          <w:p w14:paraId="63C76C67" w14:textId="1D738FED" w:rsidR="0067369D" w:rsidRPr="00B664C6" w:rsidRDefault="0067369D" w:rsidP="0067369D">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15</w:t>
            </w:r>
          </w:p>
        </w:tc>
        <w:tc>
          <w:tcPr>
            <w:tcW w:w="997" w:type="dxa"/>
            <w:tcBorders>
              <w:top w:val="nil"/>
              <w:left w:val="single" w:sz="4" w:space="0" w:color="auto"/>
              <w:bottom w:val="nil"/>
              <w:right w:val="single" w:sz="4" w:space="0" w:color="000000" w:themeColor="text1"/>
            </w:tcBorders>
            <w:shd w:val="clear" w:color="auto" w:fill="auto"/>
            <w:noWrap/>
          </w:tcPr>
          <w:p w14:paraId="6C5F65A4" w14:textId="618C46DD" w:rsidR="0067369D" w:rsidRPr="00B664C6" w:rsidRDefault="0067369D" w:rsidP="0067369D">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15</w:t>
            </w:r>
          </w:p>
        </w:tc>
        <w:tc>
          <w:tcPr>
            <w:tcW w:w="1081" w:type="dxa"/>
            <w:tcBorders>
              <w:top w:val="nil"/>
              <w:left w:val="nil"/>
              <w:bottom w:val="nil"/>
              <w:right w:val="single" w:sz="4" w:space="0" w:color="000000" w:themeColor="text1"/>
            </w:tcBorders>
            <w:shd w:val="clear" w:color="auto" w:fill="auto"/>
            <w:noWrap/>
            <w:vAlign w:val="bottom"/>
          </w:tcPr>
          <w:p w14:paraId="6A99244C" w14:textId="326118C8" w:rsidR="0067369D" w:rsidRPr="00B664C6" w:rsidRDefault="0067369D" w:rsidP="0067369D">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w:t>
            </w:r>
          </w:p>
        </w:tc>
        <w:tc>
          <w:tcPr>
            <w:tcW w:w="1046" w:type="dxa"/>
            <w:tcBorders>
              <w:top w:val="nil"/>
              <w:left w:val="nil"/>
              <w:bottom w:val="nil"/>
              <w:right w:val="single" w:sz="4" w:space="0" w:color="auto"/>
            </w:tcBorders>
            <w:shd w:val="clear" w:color="auto" w:fill="auto"/>
            <w:noWrap/>
            <w:vAlign w:val="bottom"/>
          </w:tcPr>
          <w:p w14:paraId="10125892" w14:textId="0377B39B" w:rsidR="0067369D" w:rsidRPr="00B664C6" w:rsidRDefault="0067369D" w:rsidP="0067369D">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w:t>
            </w:r>
          </w:p>
        </w:tc>
      </w:tr>
      <w:tr w:rsidR="0067369D" w:rsidRPr="00B664C6" w14:paraId="51E48489" w14:textId="77777777" w:rsidTr="39D02343">
        <w:trPr>
          <w:trHeight w:val="179"/>
        </w:trPr>
        <w:tc>
          <w:tcPr>
            <w:tcW w:w="3995" w:type="dxa"/>
            <w:tcBorders>
              <w:top w:val="nil"/>
              <w:left w:val="single" w:sz="4" w:space="0" w:color="000000" w:themeColor="text1"/>
              <w:bottom w:val="single" w:sz="4" w:space="0" w:color="000000" w:themeColor="text1"/>
              <w:right w:val="single" w:sz="4" w:space="0" w:color="auto"/>
            </w:tcBorders>
            <w:shd w:val="clear" w:color="auto" w:fill="auto"/>
            <w:vAlign w:val="center"/>
            <w:hideMark/>
          </w:tcPr>
          <w:p w14:paraId="6A46B2C7" w14:textId="77777777" w:rsidR="0067369D" w:rsidRPr="00B664C6" w:rsidRDefault="0067369D" w:rsidP="0067369D">
            <w:pPr>
              <w:keepNext/>
              <w:suppressAutoHyphens w:val="0"/>
              <w:spacing w:before="10" w:after="10" w:line="240" w:lineRule="auto"/>
              <w:rPr>
                <w:rFonts w:eastAsia="Times New Roman"/>
                <w:color w:val="000000"/>
                <w:spacing w:val="0"/>
                <w:w w:val="100"/>
                <w:kern w:val="0"/>
                <w:sz w:val="16"/>
                <w:szCs w:val="16"/>
              </w:rPr>
            </w:pPr>
            <w:r w:rsidRPr="00B664C6">
              <w:rPr>
                <w:rFonts w:eastAsia="Times New Roman"/>
                <w:color w:val="000000"/>
                <w:spacing w:val="0"/>
                <w:w w:val="100"/>
                <w:kern w:val="0"/>
                <w:sz w:val="16"/>
                <w:szCs w:val="16"/>
              </w:rPr>
              <w:t>Transfer of funds and refunds to donors</w:t>
            </w:r>
          </w:p>
        </w:tc>
        <w:tc>
          <w:tcPr>
            <w:tcW w:w="997" w:type="dxa"/>
            <w:tcBorders>
              <w:top w:val="nil"/>
              <w:left w:val="single" w:sz="4" w:space="0" w:color="auto"/>
              <w:bottom w:val="single" w:sz="4" w:space="0" w:color="000000" w:themeColor="text1"/>
              <w:right w:val="single" w:sz="4" w:space="0" w:color="auto"/>
            </w:tcBorders>
          </w:tcPr>
          <w:p w14:paraId="744D8A20" w14:textId="3FAE524F" w:rsidR="0067369D" w:rsidRPr="00B664C6" w:rsidRDefault="0067369D" w:rsidP="0067369D">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(65)</w:t>
            </w:r>
          </w:p>
        </w:tc>
        <w:tc>
          <w:tcPr>
            <w:tcW w:w="997" w:type="dxa"/>
            <w:tcBorders>
              <w:top w:val="nil"/>
              <w:left w:val="single" w:sz="4" w:space="0" w:color="auto"/>
              <w:bottom w:val="single" w:sz="4" w:space="0" w:color="000000" w:themeColor="text1"/>
              <w:right w:val="single" w:sz="4" w:space="0" w:color="000000" w:themeColor="text1"/>
            </w:tcBorders>
            <w:shd w:val="clear" w:color="auto" w:fill="auto"/>
            <w:noWrap/>
          </w:tcPr>
          <w:p w14:paraId="35456E1C" w14:textId="32707CBE" w:rsidR="0067369D" w:rsidRPr="00B664C6" w:rsidRDefault="0067369D" w:rsidP="0067369D">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(69)</w:t>
            </w:r>
          </w:p>
        </w:tc>
        <w:tc>
          <w:tcPr>
            <w:tcW w:w="1081" w:type="dxa"/>
            <w:tcBorders>
              <w:top w:val="nil"/>
              <w:left w:val="nil"/>
              <w:bottom w:val="single" w:sz="4" w:space="0" w:color="auto"/>
              <w:right w:val="single" w:sz="4" w:space="0" w:color="000000" w:themeColor="text1"/>
            </w:tcBorders>
            <w:shd w:val="clear" w:color="auto" w:fill="auto"/>
            <w:noWrap/>
            <w:vAlign w:val="bottom"/>
          </w:tcPr>
          <w:p w14:paraId="1F3EA495" w14:textId="4A62822C" w:rsidR="0067369D" w:rsidRPr="00B664C6" w:rsidRDefault="0067369D" w:rsidP="0067369D">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4</w:t>
            </w:r>
          </w:p>
        </w:tc>
        <w:tc>
          <w:tcPr>
            <w:tcW w:w="1046" w:type="dxa"/>
            <w:tcBorders>
              <w:top w:val="nil"/>
              <w:left w:val="nil"/>
              <w:bottom w:val="single" w:sz="4" w:space="0" w:color="auto"/>
              <w:right w:val="single" w:sz="4" w:space="0" w:color="auto"/>
            </w:tcBorders>
            <w:shd w:val="clear" w:color="auto" w:fill="auto"/>
            <w:noWrap/>
            <w:vAlign w:val="bottom"/>
          </w:tcPr>
          <w:p w14:paraId="413CBB26" w14:textId="61E5820A" w:rsidR="0067369D" w:rsidRPr="00B664C6" w:rsidRDefault="0067369D" w:rsidP="0067369D">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6%</w:t>
            </w:r>
          </w:p>
        </w:tc>
      </w:tr>
      <w:tr w:rsidR="0067369D" w:rsidRPr="00B664C6" w14:paraId="793806B1" w14:textId="77777777" w:rsidTr="39D02343">
        <w:trPr>
          <w:trHeight w:val="179"/>
        </w:trPr>
        <w:tc>
          <w:tcPr>
            <w:tcW w:w="3995" w:type="dxa"/>
            <w:tcBorders>
              <w:top w:val="nil"/>
              <w:left w:val="single" w:sz="4" w:space="0" w:color="000000" w:themeColor="text1"/>
              <w:bottom w:val="nil"/>
              <w:right w:val="single" w:sz="4" w:space="0" w:color="auto"/>
            </w:tcBorders>
            <w:shd w:val="clear" w:color="auto" w:fill="auto"/>
            <w:vAlign w:val="center"/>
            <w:hideMark/>
          </w:tcPr>
          <w:p w14:paraId="46BD4C8B" w14:textId="2DE3F556" w:rsidR="0067369D" w:rsidRPr="00B664C6" w:rsidRDefault="0067369D" w:rsidP="0067369D">
            <w:pPr>
              <w:keepNext/>
              <w:suppressAutoHyphens w:val="0"/>
              <w:spacing w:before="10" w:after="10" w:line="240" w:lineRule="auto"/>
              <w:rPr>
                <w:rFonts w:eastAsia="Times New Roman"/>
                <w:color w:val="000000"/>
                <w:spacing w:val="0"/>
                <w:w w:val="100"/>
                <w:kern w:val="0"/>
                <w:sz w:val="16"/>
                <w:szCs w:val="16"/>
              </w:rPr>
            </w:pPr>
            <w:r w:rsidRPr="00B664C6">
              <w:rPr>
                <w:rFonts w:eastAsia="Times New Roman"/>
                <w:color w:val="000000"/>
                <w:spacing w:val="0"/>
                <w:w w:val="100"/>
                <w:kern w:val="0"/>
                <w:sz w:val="16"/>
                <w:szCs w:val="16"/>
              </w:rPr>
              <w:t xml:space="preserve">Voluntary </w:t>
            </w:r>
            <w:r w:rsidR="00C867C8" w:rsidRPr="00B664C6">
              <w:rPr>
                <w:rFonts w:eastAsia="Times New Roman"/>
                <w:color w:val="000000"/>
                <w:spacing w:val="0"/>
                <w:w w:val="100"/>
                <w:kern w:val="0"/>
                <w:sz w:val="16"/>
                <w:szCs w:val="16"/>
              </w:rPr>
              <w:t>c</w:t>
            </w:r>
            <w:r w:rsidRPr="00B664C6">
              <w:rPr>
                <w:rFonts w:eastAsia="Times New Roman"/>
                <w:color w:val="000000"/>
                <w:spacing w:val="0"/>
                <w:w w:val="100"/>
                <w:kern w:val="0"/>
                <w:sz w:val="16"/>
                <w:szCs w:val="16"/>
              </w:rPr>
              <w:t>ontributions, net</w:t>
            </w:r>
          </w:p>
        </w:tc>
        <w:tc>
          <w:tcPr>
            <w:tcW w:w="997" w:type="dxa"/>
            <w:tcBorders>
              <w:top w:val="nil"/>
              <w:left w:val="single" w:sz="4" w:space="0" w:color="auto"/>
              <w:bottom w:val="nil"/>
              <w:right w:val="single" w:sz="4" w:space="0" w:color="auto"/>
            </w:tcBorders>
          </w:tcPr>
          <w:p w14:paraId="5680FFAE" w14:textId="458C7489" w:rsidR="0067369D" w:rsidRPr="00B664C6" w:rsidRDefault="0067369D" w:rsidP="0067369D">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6,2</w:t>
            </w:r>
            <w:r w:rsidR="001277C8" w:rsidRPr="00B664C6">
              <w:rPr>
                <w:rFonts w:eastAsia="Times New Roman"/>
                <w:color w:val="000000"/>
                <w:spacing w:val="0"/>
                <w:w w:val="100"/>
                <w:kern w:val="0"/>
                <w:sz w:val="16"/>
                <w:szCs w:val="16"/>
              </w:rPr>
              <w:t>73</w:t>
            </w:r>
          </w:p>
        </w:tc>
        <w:tc>
          <w:tcPr>
            <w:tcW w:w="997" w:type="dxa"/>
            <w:tcBorders>
              <w:top w:val="nil"/>
              <w:left w:val="single" w:sz="4" w:space="0" w:color="auto"/>
              <w:bottom w:val="nil"/>
              <w:right w:val="single" w:sz="4" w:space="0" w:color="000000" w:themeColor="text1"/>
            </w:tcBorders>
            <w:shd w:val="clear" w:color="auto" w:fill="auto"/>
            <w:noWrap/>
          </w:tcPr>
          <w:p w14:paraId="672E42FD" w14:textId="414C0339" w:rsidR="0067369D" w:rsidRPr="00B664C6" w:rsidRDefault="0067369D" w:rsidP="0067369D">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4,473</w:t>
            </w:r>
          </w:p>
        </w:tc>
        <w:tc>
          <w:tcPr>
            <w:tcW w:w="1081" w:type="dxa"/>
            <w:tcBorders>
              <w:top w:val="nil"/>
              <w:left w:val="nil"/>
              <w:bottom w:val="nil"/>
              <w:right w:val="single" w:sz="4" w:space="0" w:color="000000" w:themeColor="text1"/>
            </w:tcBorders>
            <w:shd w:val="clear" w:color="auto" w:fill="auto"/>
            <w:noWrap/>
            <w:vAlign w:val="bottom"/>
          </w:tcPr>
          <w:p w14:paraId="7343DF1C" w14:textId="1B403FA2" w:rsidR="0067369D" w:rsidRPr="00B664C6" w:rsidRDefault="0067369D" w:rsidP="0067369D">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1,</w:t>
            </w:r>
            <w:r w:rsidR="001277C8" w:rsidRPr="00B664C6">
              <w:rPr>
                <w:rFonts w:eastAsia="Times New Roman"/>
                <w:color w:val="000000"/>
                <w:spacing w:val="0"/>
                <w:w w:val="100"/>
                <w:kern w:val="0"/>
                <w:sz w:val="16"/>
                <w:szCs w:val="16"/>
              </w:rPr>
              <w:t>800</w:t>
            </w:r>
          </w:p>
        </w:tc>
        <w:tc>
          <w:tcPr>
            <w:tcW w:w="1046" w:type="dxa"/>
            <w:tcBorders>
              <w:top w:val="nil"/>
              <w:left w:val="nil"/>
              <w:bottom w:val="nil"/>
              <w:right w:val="single" w:sz="4" w:space="0" w:color="auto"/>
            </w:tcBorders>
            <w:shd w:val="clear" w:color="auto" w:fill="auto"/>
            <w:noWrap/>
            <w:vAlign w:val="bottom"/>
          </w:tcPr>
          <w:p w14:paraId="0DD32B7D" w14:textId="353A47AF" w:rsidR="0067369D" w:rsidRPr="00B664C6" w:rsidRDefault="001277C8" w:rsidP="0067369D">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40</w:t>
            </w:r>
            <w:r w:rsidR="0067369D" w:rsidRPr="00B664C6">
              <w:rPr>
                <w:rFonts w:eastAsia="Times New Roman"/>
                <w:color w:val="000000"/>
                <w:spacing w:val="0"/>
                <w:w w:val="100"/>
                <w:kern w:val="0"/>
                <w:sz w:val="16"/>
                <w:szCs w:val="16"/>
              </w:rPr>
              <w:t>%</w:t>
            </w:r>
          </w:p>
        </w:tc>
      </w:tr>
      <w:tr w:rsidR="0067369D" w:rsidRPr="00B664C6" w14:paraId="311EA4FD" w14:textId="77777777" w:rsidTr="39D02343">
        <w:trPr>
          <w:trHeight w:val="179"/>
        </w:trPr>
        <w:tc>
          <w:tcPr>
            <w:tcW w:w="3995" w:type="dxa"/>
            <w:tcBorders>
              <w:top w:val="nil"/>
              <w:left w:val="single" w:sz="4" w:space="0" w:color="000000" w:themeColor="text1"/>
              <w:bottom w:val="nil"/>
              <w:right w:val="single" w:sz="4" w:space="0" w:color="auto"/>
            </w:tcBorders>
            <w:shd w:val="clear" w:color="auto" w:fill="auto"/>
            <w:vAlign w:val="center"/>
            <w:hideMark/>
          </w:tcPr>
          <w:p w14:paraId="55E1C276" w14:textId="77777777" w:rsidR="0067369D" w:rsidRPr="00B664C6" w:rsidRDefault="0067369D" w:rsidP="0067369D">
            <w:pPr>
              <w:keepNext/>
              <w:suppressAutoHyphens w:val="0"/>
              <w:spacing w:before="10" w:after="10" w:line="240" w:lineRule="auto"/>
              <w:rPr>
                <w:rFonts w:eastAsia="Times New Roman"/>
                <w:color w:val="000000"/>
                <w:spacing w:val="0"/>
                <w:w w:val="100"/>
                <w:kern w:val="0"/>
                <w:sz w:val="16"/>
                <w:szCs w:val="16"/>
              </w:rPr>
            </w:pPr>
            <w:r w:rsidRPr="00B664C6">
              <w:rPr>
                <w:rFonts w:eastAsia="Times New Roman"/>
                <w:color w:val="000000"/>
                <w:spacing w:val="0"/>
                <w:w w:val="100"/>
                <w:kern w:val="0"/>
                <w:sz w:val="16"/>
                <w:szCs w:val="16"/>
              </w:rPr>
              <w:t>Investment revenue</w:t>
            </w:r>
          </w:p>
        </w:tc>
        <w:tc>
          <w:tcPr>
            <w:tcW w:w="997" w:type="dxa"/>
            <w:tcBorders>
              <w:top w:val="nil"/>
              <w:left w:val="single" w:sz="4" w:space="0" w:color="auto"/>
              <w:bottom w:val="nil"/>
              <w:right w:val="single" w:sz="4" w:space="0" w:color="auto"/>
            </w:tcBorders>
          </w:tcPr>
          <w:p w14:paraId="1BDD60DE" w14:textId="5C981E8C" w:rsidR="0067369D" w:rsidRPr="00B664C6" w:rsidRDefault="0067369D" w:rsidP="0067369D">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118</w:t>
            </w:r>
          </w:p>
        </w:tc>
        <w:tc>
          <w:tcPr>
            <w:tcW w:w="997" w:type="dxa"/>
            <w:tcBorders>
              <w:top w:val="nil"/>
              <w:left w:val="single" w:sz="4" w:space="0" w:color="auto"/>
              <w:bottom w:val="nil"/>
              <w:right w:val="single" w:sz="4" w:space="0" w:color="000000" w:themeColor="text1"/>
            </w:tcBorders>
            <w:shd w:val="clear" w:color="auto" w:fill="auto"/>
            <w:noWrap/>
          </w:tcPr>
          <w:p w14:paraId="50EE08B3" w14:textId="3C4316F3" w:rsidR="0067369D" w:rsidRPr="00B664C6" w:rsidRDefault="0067369D" w:rsidP="0067369D">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167</w:t>
            </w:r>
          </w:p>
        </w:tc>
        <w:tc>
          <w:tcPr>
            <w:tcW w:w="1081" w:type="dxa"/>
            <w:tcBorders>
              <w:top w:val="nil"/>
              <w:left w:val="nil"/>
              <w:bottom w:val="nil"/>
              <w:right w:val="single" w:sz="4" w:space="0" w:color="000000" w:themeColor="text1"/>
            </w:tcBorders>
            <w:shd w:val="clear" w:color="auto" w:fill="auto"/>
            <w:noWrap/>
            <w:vAlign w:val="bottom"/>
          </w:tcPr>
          <w:p w14:paraId="1CC0653E" w14:textId="2630BAA3" w:rsidR="0067369D" w:rsidRPr="00B664C6" w:rsidRDefault="0067369D" w:rsidP="0067369D">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(49)</w:t>
            </w:r>
          </w:p>
        </w:tc>
        <w:tc>
          <w:tcPr>
            <w:tcW w:w="1046" w:type="dxa"/>
            <w:tcBorders>
              <w:top w:val="nil"/>
              <w:left w:val="nil"/>
              <w:bottom w:val="nil"/>
              <w:right w:val="single" w:sz="4" w:space="0" w:color="auto"/>
            </w:tcBorders>
            <w:shd w:val="clear" w:color="auto" w:fill="auto"/>
            <w:noWrap/>
            <w:vAlign w:val="bottom"/>
          </w:tcPr>
          <w:p w14:paraId="1BF8C15C" w14:textId="5E591FC6" w:rsidR="0067369D" w:rsidRPr="00B664C6" w:rsidRDefault="0067369D" w:rsidP="0067369D">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(29%)</w:t>
            </w:r>
          </w:p>
        </w:tc>
      </w:tr>
      <w:tr w:rsidR="0067369D" w:rsidRPr="00B664C6" w14:paraId="3CA456C5" w14:textId="77777777" w:rsidTr="39D02343">
        <w:trPr>
          <w:trHeight w:val="179"/>
        </w:trPr>
        <w:tc>
          <w:tcPr>
            <w:tcW w:w="3995" w:type="dxa"/>
            <w:tcBorders>
              <w:top w:val="nil"/>
              <w:left w:val="single" w:sz="4" w:space="0" w:color="000000" w:themeColor="text1"/>
              <w:bottom w:val="nil"/>
              <w:right w:val="single" w:sz="4" w:space="0" w:color="auto"/>
            </w:tcBorders>
            <w:shd w:val="clear" w:color="auto" w:fill="auto"/>
            <w:vAlign w:val="center"/>
            <w:hideMark/>
          </w:tcPr>
          <w:p w14:paraId="7FAC4B15" w14:textId="0A232872" w:rsidR="0067369D" w:rsidRPr="00B664C6" w:rsidRDefault="0067369D" w:rsidP="0067369D">
            <w:pPr>
              <w:keepNext/>
              <w:suppressAutoHyphens w:val="0"/>
              <w:spacing w:before="10" w:after="10" w:line="240" w:lineRule="auto"/>
              <w:rPr>
                <w:rFonts w:eastAsia="Times New Roman"/>
                <w:color w:val="000000"/>
                <w:spacing w:val="0"/>
                <w:w w:val="100"/>
                <w:kern w:val="0"/>
                <w:sz w:val="16"/>
                <w:szCs w:val="16"/>
              </w:rPr>
            </w:pPr>
            <w:r w:rsidRPr="00B664C6">
              <w:rPr>
                <w:rFonts w:eastAsia="Times New Roman"/>
                <w:color w:val="000000"/>
                <w:spacing w:val="0"/>
                <w:w w:val="100"/>
                <w:kern w:val="0"/>
                <w:sz w:val="16"/>
                <w:szCs w:val="16"/>
              </w:rPr>
              <w:t>Other revenue</w:t>
            </w:r>
          </w:p>
        </w:tc>
        <w:tc>
          <w:tcPr>
            <w:tcW w:w="997" w:type="dxa"/>
            <w:tcBorders>
              <w:top w:val="nil"/>
              <w:left w:val="single" w:sz="4" w:space="0" w:color="auto"/>
              <w:bottom w:val="nil"/>
              <w:right w:val="single" w:sz="4" w:space="0" w:color="auto"/>
            </w:tcBorders>
          </w:tcPr>
          <w:p w14:paraId="713C60D5" w14:textId="3F41F733" w:rsidR="0067369D" w:rsidRPr="00B664C6" w:rsidRDefault="0067369D" w:rsidP="0067369D">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483</w:t>
            </w:r>
          </w:p>
        </w:tc>
        <w:tc>
          <w:tcPr>
            <w:tcW w:w="997" w:type="dxa"/>
            <w:tcBorders>
              <w:top w:val="nil"/>
              <w:left w:val="single" w:sz="4" w:space="0" w:color="auto"/>
              <w:bottom w:val="nil"/>
              <w:right w:val="single" w:sz="4" w:space="0" w:color="000000" w:themeColor="text1"/>
            </w:tcBorders>
            <w:shd w:val="clear" w:color="auto" w:fill="auto"/>
            <w:noWrap/>
          </w:tcPr>
          <w:p w14:paraId="0FC96848" w14:textId="0C9A9A5A" w:rsidR="0067369D" w:rsidRPr="00B664C6" w:rsidRDefault="0067369D" w:rsidP="0067369D">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445</w:t>
            </w:r>
          </w:p>
        </w:tc>
        <w:tc>
          <w:tcPr>
            <w:tcW w:w="1081" w:type="dxa"/>
            <w:tcBorders>
              <w:top w:val="nil"/>
              <w:left w:val="nil"/>
              <w:bottom w:val="single" w:sz="4" w:space="0" w:color="auto"/>
              <w:right w:val="single" w:sz="4" w:space="0" w:color="000000" w:themeColor="text1"/>
            </w:tcBorders>
            <w:shd w:val="clear" w:color="auto" w:fill="auto"/>
            <w:noWrap/>
            <w:vAlign w:val="bottom"/>
          </w:tcPr>
          <w:p w14:paraId="1EFADFF5" w14:textId="33182CEE" w:rsidR="0067369D" w:rsidRPr="00B664C6" w:rsidRDefault="0067369D" w:rsidP="0067369D">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38</w:t>
            </w:r>
          </w:p>
        </w:tc>
        <w:tc>
          <w:tcPr>
            <w:tcW w:w="1046" w:type="dxa"/>
            <w:tcBorders>
              <w:top w:val="nil"/>
              <w:left w:val="nil"/>
              <w:bottom w:val="single" w:sz="4" w:space="0" w:color="auto"/>
              <w:right w:val="single" w:sz="4" w:space="0" w:color="auto"/>
            </w:tcBorders>
            <w:shd w:val="clear" w:color="auto" w:fill="auto"/>
            <w:noWrap/>
            <w:vAlign w:val="bottom"/>
          </w:tcPr>
          <w:p w14:paraId="196E6EFB" w14:textId="3B10C6B9" w:rsidR="0067369D" w:rsidRPr="00B664C6" w:rsidRDefault="0067369D" w:rsidP="0067369D">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9%</w:t>
            </w:r>
          </w:p>
        </w:tc>
      </w:tr>
      <w:tr w:rsidR="0067369D" w:rsidRPr="00B664C6" w14:paraId="51819FF5" w14:textId="77777777" w:rsidTr="39D02343">
        <w:trPr>
          <w:trHeight w:val="287"/>
        </w:trPr>
        <w:tc>
          <w:tcPr>
            <w:tcW w:w="399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hideMark/>
          </w:tcPr>
          <w:p w14:paraId="07A19744" w14:textId="4B36BA61" w:rsidR="0067369D" w:rsidRPr="00B664C6" w:rsidRDefault="0067369D" w:rsidP="0067369D">
            <w:pPr>
              <w:keepNext/>
              <w:suppressAutoHyphens w:val="0"/>
              <w:spacing w:before="10" w:after="10" w:line="240" w:lineRule="auto"/>
              <w:rPr>
                <w:rFonts w:eastAsia="Times New Roman"/>
                <w:b/>
                <w:bCs/>
                <w:color w:val="000000"/>
                <w:spacing w:val="0"/>
                <w:w w:val="100"/>
                <w:kern w:val="0"/>
                <w:sz w:val="16"/>
                <w:szCs w:val="16"/>
              </w:rPr>
            </w:pPr>
            <w:r w:rsidRPr="00B664C6">
              <w:rPr>
                <w:rFonts w:eastAsia="Times New Roman"/>
                <w:b/>
                <w:bCs/>
                <w:color w:val="000000"/>
                <w:spacing w:val="0"/>
                <w:w w:val="100"/>
                <w:kern w:val="0"/>
                <w:sz w:val="16"/>
                <w:szCs w:val="16"/>
              </w:rPr>
              <w:t>Total revenue before elimination</w:t>
            </w:r>
          </w:p>
        </w:tc>
        <w:tc>
          <w:tcPr>
            <w:tcW w:w="997" w:type="dxa"/>
            <w:tcBorders>
              <w:top w:val="single" w:sz="4" w:space="0" w:color="000000" w:themeColor="text1"/>
              <w:left w:val="single" w:sz="4" w:space="0" w:color="auto"/>
              <w:bottom w:val="single" w:sz="4" w:space="0" w:color="000000" w:themeColor="text1"/>
              <w:right w:val="single" w:sz="4" w:space="0" w:color="auto"/>
            </w:tcBorders>
            <w:vAlign w:val="center"/>
          </w:tcPr>
          <w:p w14:paraId="133FCD02" w14:textId="0841E990" w:rsidR="0067369D" w:rsidRPr="00B664C6" w:rsidRDefault="0067369D" w:rsidP="0067369D">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6,8</w:t>
            </w:r>
            <w:r w:rsidR="008D49B3" w:rsidRPr="00B664C6">
              <w:rPr>
                <w:rFonts w:eastAsia="Times New Roman"/>
                <w:color w:val="000000"/>
                <w:spacing w:val="0"/>
                <w:w w:val="100"/>
                <w:kern w:val="0"/>
                <w:sz w:val="16"/>
                <w:szCs w:val="16"/>
              </w:rPr>
              <w:t>74</w:t>
            </w:r>
          </w:p>
        </w:tc>
        <w:tc>
          <w:tcPr>
            <w:tcW w:w="99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noWrap/>
            <w:vAlign w:val="center"/>
          </w:tcPr>
          <w:p w14:paraId="5D34BB0E" w14:textId="4655BD73" w:rsidR="0067369D" w:rsidRPr="00B664C6" w:rsidRDefault="0067369D" w:rsidP="0067369D">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5,085</w:t>
            </w:r>
          </w:p>
        </w:tc>
        <w:tc>
          <w:tcPr>
            <w:tcW w:w="1081" w:type="dxa"/>
            <w:tcBorders>
              <w:top w:val="single" w:sz="4" w:space="0" w:color="auto"/>
              <w:left w:val="nil"/>
              <w:bottom w:val="single" w:sz="4" w:space="0" w:color="auto"/>
              <w:right w:val="single" w:sz="4" w:space="0" w:color="000000" w:themeColor="text1"/>
            </w:tcBorders>
            <w:shd w:val="clear" w:color="auto" w:fill="auto"/>
            <w:noWrap/>
            <w:vAlign w:val="center"/>
          </w:tcPr>
          <w:p w14:paraId="4D94DE01" w14:textId="4E098CF7" w:rsidR="0067369D" w:rsidRPr="00B664C6" w:rsidRDefault="0067369D" w:rsidP="0067369D">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1,7</w:t>
            </w:r>
            <w:r w:rsidR="008D49B3" w:rsidRPr="00B664C6">
              <w:rPr>
                <w:rFonts w:eastAsia="Times New Roman"/>
                <w:color w:val="000000"/>
                <w:spacing w:val="0"/>
                <w:w w:val="100"/>
                <w:kern w:val="0"/>
                <w:sz w:val="16"/>
                <w:szCs w:val="16"/>
              </w:rPr>
              <w:t>89</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6315AC58" w14:textId="78BB2BB1" w:rsidR="0067369D" w:rsidRPr="00B664C6" w:rsidRDefault="0067369D" w:rsidP="0067369D">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3</w:t>
            </w:r>
            <w:r w:rsidR="008D49B3" w:rsidRPr="00B664C6">
              <w:rPr>
                <w:rFonts w:eastAsia="Times New Roman"/>
                <w:color w:val="000000"/>
                <w:spacing w:val="0"/>
                <w:w w:val="100"/>
                <w:kern w:val="0"/>
                <w:sz w:val="16"/>
                <w:szCs w:val="16"/>
              </w:rPr>
              <w:t>5</w:t>
            </w:r>
            <w:r w:rsidRPr="00B664C6">
              <w:rPr>
                <w:rFonts w:eastAsia="Times New Roman"/>
                <w:color w:val="000000"/>
                <w:spacing w:val="0"/>
                <w:w w:val="100"/>
                <w:kern w:val="0"/>
                <w:sz w:val="16"/>
                <w:szCs w:val="16"/>
              </w:rPr>
              <w:t>%</w:t>
            </w:r>
          </w:p>
        </w:tc>
      </w:tr>
      <w:tr w:rsidR="0067369D" w:rsidRPr="00B664C6" w14:paraId="289EDFC6" w14:textId="77777777" w:rsidTr="39D02343">
        <w:trPr>
          <w:trHeight w:val="242"/>
        </w:trPr>
        <w:tc>
          <w:tcPr>
            <w:tcW w:w="3995" w:type="dxa"/>
            <w:tcBorders>
              <w:top w:val="nil"/>
              <w:left w:val="single" w:sz="4" w:space="0" w:color="000000" w:themeColor="text1"/>
              <w:bottom w:val="single" w:sz="4" w:space="0" w:color="000000" w:themeColor="text1"/>
              <w:right w:val="single" w:sz="4" w:space="0" w:color="auto"/>
            </w:tcBorders>
            <w:shd w:val="clear" w:color="auto" w:fill="auto"/>
            <w:noWrap/>
            <w:vAlign w:val="center"/>
            <w:hideMark/>
          </w:tcPr>
          <w:p w14:paraId="74E25ABC" w14:textId="27E63A4A" w:rsidR="0067369D" w:rsidRPr="00B664C6" w:rsidRDefault="0067369D" w:rsidP="0067369D">
            <w:pPr>
              <w:keepNext/>
              <w:suppressAutoHyphens w:val="0"/>
              <w:spacing w:before="10" w:after="10" w:line="240" w:lineRule="auto"/>
              <w:rPr>
                <w:rFonts w:eastAsia="Times New Roman"/>
                <w:color w:val="000000"/>
                <w:spacing w:val="0"/>
                <w:w w:val="100"/>
                <w:kern w:val="0"/>
                <w:sz w:val="16"/>
                <w:szCs w:val="16"/>
              </w:rPr>
            </w:pPr>
            <w:r w:rsidRPr="00B664C6">
              <w:rPr>
                <w:rFonts w:eastAsia="Times New Roman"/>
                <w:b/>
                <w:color w:val="000000"/>
                <w:spacing w:val="0"/>
                <w:w w:val="100"/>
                <w:kern w:val="0"/>
                <w:sz w:val="16"/>
                <w:szCs w:val="16"/>
              </w:rPr>
              <w:t>Elimination – internal UNDP cost recovery</w:t>
            </w:r>
          </w:p>
        </w:tc>
        <w:tc>
          <w:tcPr>
            <w:tcW w:w="997" w:type="dxa"/>
            <w:tcBorders>
              <w:top w:val="nil"/>
              <w:left w:val="single" w:sz="4" w:space="0" w:color="auto"/>
              <w:bottom w:val="single" w:sz="4" w:space="0" w:color="000000" w:themeColor="text1"/>
              <w:right w:val="single" w:sz="4" w:space="0" w:color="auto"/>
            </w:tcBorders>
            <w:vAlign w:val="center"/>
          </w:tcPr>
          <w:p w14:paraId="2D896222" w14:textId="3A02DC0B" w:rsidR="0067369D" w:rsidRPr="00B664C6" w:rsidRDefault="0067369D" w:rsidP="0067369D">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(256)</w:t>
            </w:r>
          </w:p>
        </w:tc>
        <w:tc>
          <w:tcPr>
            <w:tcW w:w="997" w:type="dxa"/>
            <w:tcBorders>
              <w:top w:val="nil"/>
              <w:left w:val="single" w:sz="4" w:space="0" w:color="auto"/>
              <w:bottom w:val="single" w:sz="4" w:space="0" w:color="000000" w:themeColor="text1"/>
              <w:right w:val="single" w:sz="4" w:space="0" w:color="000000" w:themeColor="text1"/>
            </w:tcBorders>
            <w:shd w:val="clear" w:color="auto" w:fill="auto"/>
            <w:noWrap/>
            <w:vAlign w:val="center"/>
          </w:tcPr>
          <w:p w14:paraId="2ABFCB3F" w14:textId="74135030" w:rsidR="0067369D" w:rsidRPr="00B664C6" w:rsidRDefault="0067369D" w:rsidP="0067369D">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(256)</w:t>
            </w:r>
          </w:p>
        </w:tc>
        <w:tc>
          <w:tcPr>
            <w:tcW w:w="1081" w:type="dxa"/>
            <w:tcBorders>
              <w:top w:val="nil"/>
              <w:left w:val="nil"/>
              <w:bottom w:val="nil"/>
              <w:right w:val="single" w:sz="4" w:space="0" w:color="000000" w:themeColor="text1"/>
            </w:tcBorders>
            <w:shd w:val="clear" w:color="auto" w:fill="auto"/>
            <w:noWrap/>
            <w:vAlign w:val="center"/>
          </w:tcPr>
          <w:p w14:paraId="5A943137" w14:textId="40482677" w:rsidR="0067369D" w:rsidRPr="00B664C6" w:rsidRDefault="0067369D" w:rsidP="0067369D">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w:t>
            </w:r>
          </w:p>
        </w:tc>
        <w:tc>
          <w:tcPr>
            <w:tcW w:w="1046" w:type="dxa"/>
            <w:tcBorders>
              <w:top w:val="nil"/>
              <w:left w:val="nil"/>
              <w:bottom w:val="nil"/>
              <w:right w:val="single" w:sz="4" w:space="0" w:color="auto"/>
            </w:tcBorders>
            <w:shd w:val="clear" w:color="auto" w:fill="auto"/>
            <w:noWrap/>
            <w:vAlign w:val="center"/>
          </w:tcPr>
          <w:p w14:paraId="0230E3C6" w14:textId="495490CD" w:rsidR="0067369D" w:rsidRPr="00B664C6" w:rsidRDefault="0067369D" w:rsidP="0067369D">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w:t>
            </w:r>
          </w:p>
        </w:tc>
      </w:tr>
      <w:tr w:rsidR="0067369D" w:rsidRPr="000E57AE" w14:paraId="04E2E246" w14:textId="77777777" w:rsidTr="39D02343">
        <w:trPr>
          <w:trHeight w:val="305"/>
        </w:trPr>
        <w:tc>
          <w:tcPr>
            <w:tcW w:w="3995" w:type="dxa"/>
            <w:tcBorders>
              <w:top w:val="nil"/>
              <w:left w:val="single" w:sz="4" w:space="0" w:color="000000" w:themeColor="text1"/>
              <w:bottom w:val="single" w:sz="4" w:space="0" w:color="000000" w:themeColor="text1"/>
              <w:right w:val="single" w:sz="4" w:space="0" w:color="auto"/>
            </w:tcBorders>
            <w:shd w:val="clear" w:color="auto" w:fill="auto"/>
            <w:vAlign w:val="center"/>
            <w:hideMark/>
          </w:tcPr>
          <w:p w14:paraId="71FB7549" w14:textId="6A135E79" w:rsidR="0067369D" w:rsidRPr="00B664C6" w:rsidRDefault="0067369D" w:rsidP="0067369D">
            <w:pPr>
              <w:keepNext/>
              <w:suppressAutoHyphens w:val="0"/>
              <w:spacing w:before="10" w:after="10" w:line="240" w:lineRule="auto"/>
              <w:rPr>
                <w:rFonts w:eastAsia="Times New Roman"/>
                <w:b/>
                <w:bCs/>
                <w:color w:val="000000"/>
                <w:spacing w:val="0"/>
                <w:w w:val="100"/>
                <w:kern w:val="0"/>
                <w:sz w:val="16"/>
                <w:szCs w:val="16"/>
              </w:rPr>
            </w:pPr>
            <w:r w:rsidRPr="00B664C6">
              <w:rPr>
                <w:rFonts w:eastAsia="Times New Roman"/>
                <w:b/>
                <w:bCs/>
                <w:color w:val="000000"/>
                <w:spacing w:val="0"/>
                <w:w w:val="100"/>
                <w:kern w:val="0"/>
                <w:sz w:val="16"/>
                <w:szCs w:val="16"/>
              </w:rPr>
              <w:t>Total revenue after elimination</w:t>
            </w:r>
          </w:p>
        </w:tc>
        <w:tc>
          <w:tcPr>
            <w:tcW w:w="997" w:type="dxa"/>
            <w:tcBorders>
              <w:top w:val="nil"/>
              <w:left w:val="single" w:sz="4" w:space="0" w:color="auto"/>
              <w:bottom w:val="single" w:sz="4" w:space="0" w:color="auto"/>
              <w:right w:val="single" w:sz="4" w:space="0" w:color="auto"/>
            </w:tcBorders>
            <w:vAlign w:val="center"/>
          </w:tcPr>
          <w:p w14:paraId="08BB8972" w14:textId="73FB0ABA" w:rsidR="0067369D" w:rsidRPr="00B664C6" w:rsidRDefault="0067369D" w:rsidP="0067369D">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themeColor="text1"/>
                <w:sz w:val="16"/>
                <w:szCs w:val="16"/>
              </w:rPr>
              <w:t>6,</w:t>
            </w:r>
            <w:r w:rsidR="008D49B3" w:rsidRPr="00B664C6">
              <w:rPr>
                <w:rFonts w:eastAsia="Times New Roman"/>
                <w:color w:val="000000" w:themeColor="text1"/>
                <w:sz w:val="16"/>
                <w:szCs w:val="16"/>
              </w:rPr>
              <w:t>618</w:t>
            </w:r>
          </w:p>
        </w:tc>
        <w:tc>
          <w:tcPr>
            <w:tcW w:w="997" w:type="dxa"/>
            <w:tcBorders>
              <w:top w:val="nil"/>
              <w:left w:val="single" w:sz="4" w:space="0" w:color="auto"/>
              <w:bottom w:val="single" w:sz="4" w:space="0" w:color="auto"/>
              <w:right w:val="single" w:sz="4" w:space="0" w:color="000000" w:themeColor="text1"/>
            </w:tcBorders>
            <w:shd w:val="clear" w:color="auto" w:fill="auto"/>
            <w:noWrap/>
            <w:vAlign w:val="center"/>
          </w:tcPr>
          <w:p w14:paraId="56CF77DD" w14:textId="07487354" w:rsidR="0067369D" w:rsidRPr="00B664C6" w:rsidRDefault="0067369D" w:rsidP="0067369D">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4,829</w:t>
            </w:r>
          </w:p>
        </w:tc>
        <w:tc>
          <w:tcPr>
            <w:tcW w:w="1081" w:type="dxa"/>
            <w:tcBorders>
              <w:top w:val="single" w:sz="4" w:space="0" w:color="auto"/>
              <w:left w:val="nil"/>
              <w:bottom w:val="single" w:sz="4" w:space="0" w:color="auto"/>
              <w:right w:val="single" w:sz="4" w:space="0" w:color="000000" w:themeColor="text1"/>
            </w:tcBorders>
            <w:shd w:val="clear" w:color="auto" w:fill="auto"/>
            <w:noWrap/>
            <w:vAlign w:val="center"/>
          </w:tcPr>
          <w:p w14:paraId="6E423708" w14:textId="7D7C19C0" w:rsidR="0067369D" w:rsidRPr="00B664C6" w:rsidRDefault="0067369D" w:rsidP="0067369D">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themeColor="text1"/>
                <w:sz w:val="16"/>
                <w:szCs w:val="16"/>
              </w:rPr>
              <w:t>1,7</w:t>
            </w:r>
            <w:r w:rsidR="008D49B3" w:rsidRPr="00B664C6">
              <w:rPr>
                <w:rFonts w:eastAsia="Times New Roman"/>
                <w:color w:val="000000" w:themeColor="text1"/>
                <w:sz w:val="16"/>
                <w:szCs w:val="16"/>
              </w:rPr>
              <w:t>89</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7D4616BA" w14:textId="5ABDEBCC" w:rsidR="0067369D" w:rsidRPr="00B664C6" w:rsidRDefault="0067369D" w:rsidP="0067369D">
            <w:pPr>
              <w:keepNext/>
              <w:suppressAutoHyphens w:val="0"/>
              <w:spacing w:before="10" w:after="10" w:line="240" w:lineRule="auto"/>
              <w:jc w:val="right"/>
              <w:rPr>
                <w:rFonts w:eastAsia="Times New Roman"/>
                <w:color w:val="000000"/>
                <w:spacing w:val="0"/>
                <w:w w:val="100"/>
                <w:kern w:val="0"/>
                <w:sz w:val="16"/>
                <w:szCs w:val="16"/>
              </w:rPr>
            </w:pPr>
            <w:r w:rsidRPr="00B664C6">
              <w:rPr>
                <w:rFonts w:eastAsia="Times New Roman"/>
                <w:color w:val="000000" w:themeColor="text1"/>
                <w:sz w:val="16"/>
                <w:szCs w:val="16"/>
              </w:rPr>
              <w:t>3</w:t>
            </w:r>
            <w:r w:rsidR="008D49B3" w:rsidRPr="00B664C6">
              <w:rPr>
                <w:rFonts w:eastAsia="Times New Roman"/>
                <w:color w:val="000000" w:themeColor="text1"/>
                <w:sz w:val="16"/>
                <w:szCs w:val="16"/>
              </w:rPr>
              <w:t>7</w:t>
            </w:r>
            <w:r w:rsidRPr="00B664C6">
              <w:rPr>
                <w:rFonts w:eastAsia="Times New Roman"/>
                <w:color w:val="000000" w:themeColor="text1"/>
                <w:sz w:val="16"/>
                <w:szCs w:val="16"/>
              </w:rPr>
              <w:t>%</w:t>
            </w:r>
          </w:p>
        </w:tc>
      </w:tr>
    </w:tbl>
    <w:p w14:paraId="2175E692" w14:textId="77777777" w:rsidR="00D83515" w:rsidRDefault="00D83515" w:rsidP="00C476AD">
      <w:pPr>
        <w:autoSpaceDE w:val="0"/>
        <w:autoSpaceDN w:val="0"/>
        <w:spacing w:line="240" w:lineRule="auto"/>
      </w:pPr>
    </w:p>
    <w:p w14:paraId="5EC9CFE8" w14:textId="2AC26CB1" w:rsidR="00C476AD" w:rsidRPr="00D44D0C" w:rsidRDefault="00B074D9" w:rsidP="00E03601">
      <w:pPr>
        <w:pStyle w:val="ListParagraph"/>
        <w:numPr>
          <w:ilvl w:val="0"/>
          <w:numId w:val="5"/>
        </w:numPr>
        <w:autoSpaceDE w:val="0"/>
        <w:autoSpaceDN w:val="0"/>
        <w:spacing w:before="240" w:after="240" w:line="240" w:lineRule="auto"/>
        <w:ind w:left="1339" w:right="1267"/>
        <w:contextualSpacing w:val="0"/>
        <w:jc w:val="both"/>
        <w:rPr>
          <w:rFonts w:ascii="Calibri" w:eastAsia="Times New Roman" w:hAnsi="Calibri"/>
          <w:spacing w:val="0"/>
          <w:w w:val="100"/>
          <w:kern w:val="0"/>
          <w:lang w:val="en-US"/>
        </w:rPr>
      </w:pPr>
      <w:r w:rsidRPr="00D44D0C">
        <w:t xml:space="preserve">During </w:t>
      </w:r>
      <w:r w:rsidR="008E1442" w:rsidRPr="00D44D0C">
        <w:t>2020,</w:t>
      </w:r>
      <w:r w:rsidRPr="00D44D0C">
        <w:t xml:space="preserve"> UNDP’s </w:t>
      </w:r>
      <w:r w:rsidR="00D83515" w:rsidRPr="00D44D0C">
        <w:t>a</w:t>
      </w:r>
      <w:r w:rsidRPr="00D44D0C">
        <w:t xml:space="preserve">nnual </w:t>
      </w:r>
      <w:r w:rsidR="00D83515" w:rsidRPr="00D44D0C">
        <w:t>c</w:t>
      </w:r>
      <w:r w:rsidRPr="00D44D0C">
        <w:t>ontributions were $</w:t>
      </w:r>
      <w:r w:rsidR="008E1442" w:rsidRPr="00D44D0C">
        <w:t>5.6</w:t>
      </w:r>
      <w:r w:rsidRPr="00D44D0C">
        <w:t xml:space="preserve"> billion, a</w:t>
      </w:r>
      <w:r w:rsidR="007E20C8" w:rsidRPr="00D44D0C">
        <w:t>n</w:t>
      </w:r>
      <w:r w:rsidRPr="00D44D0C">
        <w:t xml:space="preserve"> </w:t>
      </w:r>
      <w:r w:rsidR="007E20C8" w:rsidRPr="00D44D0C">
        <w:t>in</w:t>
      </w:r>
      <w:r w:rsidRPr="00D44D0C">
        <w:t>crease of $</w:t>
      </w:r>
      <w:r w:rsidR="007E20C8" w:rsidRPr="00D44D0C">
        <w:t>76</w:t>
      </w:r>
      <w:r w:rsidR="00541F0C" w:rsidRPr="00D44D0C">
        <w:t>7</w:t>
      </w:r>
      <w:r w:rsidRPr="00D44D0C">
        <w:t xml:space="preserve"> million or </w:t>
      </w:r>
      <w:r w:rsidR="007E20C8" w:rsidRPr="00D44D0C">
        <w:t>16</w:t>
      </w:r>
      <w:r w:rsidRPr="00D44D0C">
        <w:t xml:space="preserve"> per cent from the </w:t>
      </w:r>
      <w:r w:rsidR="007E20C8" w:rsidRPr="00D44D0C">
        <w:t>2019</w:t>
      </w:r>
      <w:r w:rsidRPr="00D44D0C">
        <w:t xml:space="preserve"> amount of $</w:t>
      </w:r>
      <w:r w:rsidR="00072A32" w:rsidRPr="00D44D0C">
        <w:t>4</w:t>
      </w:r>
      <w:r w:rsidR="00541F0C" w:rsidRPr="00D44D0C">
        <w:t>.</w:t>
      </w:r>
      <w:r w:rsidR="00072A32" w:rsidRPr="00D44D0C">
        <w:t>8</w:t>
      </w:r>
      <w:r w:rsidRPr="00D44D0C">
        <w:t xml:space="preserve"> billion</w:t>
      </w:r>
      <w:r w:rsidR="003B4CCA" w:rsidRPr="00D44D0C">
        <w:t>.</w:t>
      </w:r>
      <w:r w:rsidR="00783861" w:rsidRPr="00D44D0C">
        <w:t xml:space="preserve"> Figure </w:t>
      </w:r>
      <w:r w:rsidR="004D4DCC" w:rsidRPr="00D44D0C">
        <w:t>II</w:t>
      </w:r>
      <w:r w:rsidR="00783861" w:rsidRPr="00D44D0C">
        <w:t xml:space="preserve"> sets out the level of annual contributions o</w:t>
      </w:r>
      <w:r w:rsidR="00C476AD" w:rsidRPr="00D44D0C">
        <w:t>f regular (core) resources</w:t>
      </w:r>
      <w:r w:rsidR="00783861" w:rsidRPr="00D44D0C">
        <w:t xml:space="preserve"> in comparison to </w:t>
      </w:r>
      <w:r w:rsidR="00C476AD" w:rsidRPr="00D44D0C">
        <w:t>other (</w:t>
      </w:r>
      <w:r w:rsidR="00783861" w:rsidRPr="00D44D0C">
        <w:t>non-core</w:t>
      </w:r>
      <w:r w:rsidR="00C476AD" w:rsidRPr="00D44D0C">
        <w:t>)</w:t>
      </w:r>
      <w:r w:rsidR="00783861" w:rsidRPr="00D44D0C">
        <w:t xml:space="preserve"> resources in 20</w:t>
      </w:r>
      <w:r w:rsidR="00072A32" w:rsidRPr="00D44D0C">
        <w:t>20</w:t>
      </w:r>
      <w:r w:rsidR="00783861" w:rsidRPr="00D44D0C">
        <w:t xml:space="preserve">. </w:t>
      </w:r>
      <w:r w:rsidR="00C476AD" w:rsidRPr="00D44D0C">
        <w:t>In 20</w:t>
      </w:r>
      <w:r w:rsidR="00072A32" w:rsidRPr="00D44D0C">
        <w:t>20</w:t>
      </w:r>
      <w:r w:rsidR="00C476AD" w:rsidRPr="00D44D0C">
        <w:t xml:space="preserve">, the ratio between regular and other resources </w:t>
      </w:r>
      <w:r w:rsidR="00A87AE8" w:rsidRPr="00D44D0C">
        <w:t>was</w:t>
      </w:r>
      <w:r w:rsidR="00C476AD" w:rsidRPr="00D44D0C">
        <w:t xml:space="preserve"> 13 per cent and 87 per cent</w:t>
      </w:r>
      <w:r w:rsidR="00A87AE8" w:rsidRPr="00D44D0C">
        <w:t xml:space="preserve"> respectively, which remains unchanged since 2019.</w:t>
      </w:r>
    </w:p>
    <w:p w14:paraId="444ED7A5" w14:textId="04382060" w:rsidR="008122FA" w:rsidRPr="001A2316" w:rsidRDefault="008122FA" w:rsidP="001A2316">
      <w:pPr>
        <w:keepNext/>
        <w:tabs>
          <w:tab w:val="left" w:pos="1260"/>
        </w:tabs>
        <w:suppressAutoHyphens w:val="0"/>
        <w:spacing w:line="240" w:lineRule="auto"/>
        <w:jc w:val="center"/>
        <w:rPr>
          <w:b/>
        </w:rPr>
      </w:pPr>
      <w:r w:rsidRPr="001A2316">
        <w:rPr>
          <w:b/>
        </w:rPr>
        <w:lastRenderedPageBreak/>
        <w:t xml:space="preserve">Figure </w:t>
      </w:r>
      <w:r w:rsidR="004D4DCC" w:rsidRPr="001A2316">
        <w:rPr>
          <w:b/>
        </w:rPr>
        <w:t>II</w:t>
      </w:r>
      <w:r w:rsidRPr="001A2316">
        <w:rPr>
          <w:b/>
        </w:rPr>
        <w:t xml:space="preserve">. </w:t>
      </w:r>
      <w:r w:rsidR="00E63925" w:rsidRPr="001A2316">
        <w:rPr>
          <w:b/>
        </w:rPr>
        <w:t xml:space="preserve">Annual </w:t>
      </w:r>
      <w:r w:rsidR="009B3563" w:rsidRPr="001A2316">
        <w:rPr>
          <w:b/>
        </w:rPr>
        <w:t>r</w:t>
      </w:r>
      <w:r w:rsidRPr="001A2316">
        <w:rPr>
          <w:b/>
        </w:rPr>
        <w:t>egular and other resources ratio, 20</w:t>
      </w:r>
      <w:r w:rsidR="005C1A36" w:rsidRPr="001A2316">
        <w:rPr>
          <w:b/>
        </w:rPr>
        <w:t>20</w:t>
      </w:r>
    </w:p>
    <w:p w14:paraId="689FCEAC" w14:textId="71F56109" w:rsidR="0051BF40" w:rsidRPr="001A2316" w:rsidRDefault="008122FA" w:rsidP="001A2316">
      <w:pPr>
        <w:keepNext/>
        <w:spacing w:line="240" w:lineRule="auto"/>
        <w:jc w:val="center"/>
        <w:rPr>
          <w:b/>
          <w:bCs/>
          <w:sz w:val="18"/>
          <w:szCs w:val="18"/>
        </w:rPr>
      </w:pPr>
      <w:r w:rsidRPr="001A2316">
        <w:rPr>
          <w:rFonts w:eastAsia="Times New Roman"/>
          <w:i/>
          <w:color w:val="000000" w:themeColor="text1"/>
        </w:rPr>
        <w:t>(in millions of United States dollars)</w:t>
      </w:r>
    </w:p>
    <w:p w14:paraId="0AAABEC2" w14:textId="63095DD9" w:rsidR="00C10281" w:rsidRPr="00AE4923" w:rsidRDefault="001A2316" w:rsidP="001A2316">
      <w:pPr>
        <w:pStyle w:val="ListParagraph"/>
        <w:keepNext/>
        <w:spacing w:line="240" w:lineRule="auto"/>
        <w:ind w:left="1339"/>
        <w:jc w:val="center"/>
        <w:rPr>
          <w:sz w:val="18"/>
          <w:szCs w:val="18"/>
        </w:rPr>
      </w:pPr>
      <w:r>
        <w:rPr>
          <w:noProof/>
        </w:rPr>
        <w:drawing>
          <wp:anchor distT="0" distB="0" distL="114300" distR="114300" simplePos="0" relativeHeight="251659277" behindDoc="1" locked="0" layoutInCell="1" allowOverlap="1" wp14:anchorId="79622CB0" wp14:editId="115A9D4E">
            <wp:simplePos x="0" y="0"/>
            <wp:positionH relativeFrom="column">
              <wp:posOffset>760095</wp:posOffset>
            </wp:positionH>
            <wp:positionV relativeFrom="paragraph">
              <wp:posOffset>635</wp:posOffset>
            </wp:positionV>
            <wp:extent cx="5287645" cy="2233930"/>
            <wp:effectExtent l="0" t="0" r="8255" b="0"/>
            <wp:wrapTight wrapText="bothSides">
              <wp:wrapPolygon edited="0">
                <wp:start x="0" y="0"/>
                <wp:lineTo x="0" y="21367"/>
                <wp:lineTo x="21556" y="21367"/>
                <wp:lineTo x="2155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87645" cy="2233930"/>
                    </a:xfrm>
                    <a:prstGeom prst="rect">
                      <a:avLst/>
                    </a:prstGeom>
                  </pic:spPr>
                </pic:pic>
              </a:graphicData>
            </a:graphic>
            <wp14:sizeRelH relativeFrom="margin">
              <wp14:pctWidth>0</wp14:pctWidth>
            </wp14:sizeRelH>
            <wp14:sizeRelV relativeFrom="margin">
              <wp14:pctHeight>0</wp14:pctHeight>
            </wp14:sizeRelV>
          </wp:anchor>
        </w:drawing>
      </w:r>
    </w:p>
    <w:p w14:paraId="2A92E2E6" w14:textId="50C99C08" w:rsidR="00BE363B" w:rsidRPr="00DD5AAD" w:rsidRDefault="000F345E" w:rsidP="00AF3FD4">
      <w:pPr>
        <w:pStyle w:val="ListParagraph"/>
        <w:numPr>
          <w:ilvl w:val="0"/>
          <w:numId w:val="5"/>
        </w:numPr>
        <w:spacing w:before="240" w:after="240" w:line="240" w:lineRule="auto"/>
        <w:ind w:right="1267"/>
        <w:contextualSpacing w:val="0"/>
        <w:jc w:val="both"/>
      </w:pPr>
      <w:r w:rsidRPr="0090785F">
        <w:t xml:space="preserve">Regular resources </w:t>
      </w:r>
      <w:r w:rsidR="00783861" w:rsidRPr="0090785F">
        <w:t xml:space="preserve">annual </w:t>
      </w:r>
      <w:r w:rsidRPr="0090785F">
        <w:t>contributions</w:t>
      </w:r>
      <w:r w:rsidR="00C37C89" w:rsidRPr="0090785F">
        <w:t xml:space="preserve"> received </w:t>
      </w:r>
      <w:r w:rsidRPr="0090785F">
        <w:t xml:space="preserve">increased to </w:t>
      </w:r>
      <w:r w:rsidR="004513F7" w:rsidRPr="0090785F">
        <w:t xml:space="preserve">$696 million from </w:t>
      </w:r>
      <w:r w:rsidRPr="0090785F">
        <w:t>$6</w:t>
      </w:r>
      <w:r w:rsidR="00A53605" w:rsidRPr="0090785F">
        <w:t>16</w:t>
      </w:r>
      <w:r w:rsidRPr="0090785F">
        <w:t xml:space="preserve"> million in 201</w:t>
      </w:r>
      <w:r w:rsidR="004513F7" w:rsidRPr="0090785F">
        <w:t>9</w:t>
      </w:r>
      <w:r w:rsidR="00216F25">
        <w:t xml:space="preserve"> </w:t>
      </w:r>
      <w:r w:rsidR="00DC30FA">
        <w:t>a positive direction that should continue with the support of Member States, until the targets of the Funding Compact are met</w:t>
      </w:r>
      <w:r w:rsidRPr="0090785F">
        <w:t>.</w:t>
      </w:r>
      <w:r w:rsidR="001A6551" w:rsidRPr="001A6551">
        <w:t xml:space="preserve"> </w:t>
      </w:r>
    </w:p>
    <w:p w14:paraId="601767CC" w14:textId="1C61816D" w:rsidR="00BE363B" w:rsidRPr="00DD5AAD" w:rsidRDefault="00BE363B" w:rsidP="00AF3FD4">
      <w:pPr>
        <w:pStyle w:val="ListParagraph"/>
        <w:numPr>
          <w:ilvl w:val="0"/>
          <w:numId w:val="5"/>
        </w:numPr>
        <w:spacing w:before="240" w:after="240" w:line="240" w:lineRule="auto"/>
        <w:ind w:right="1267"/>
        <w:contextualSpacing w:val="0"/>
        <w:jc w:val="both"/>
      </w:pPr>
      <w:r w:rsidRPr="00DD5AAD">
        <w:t xml:space="preserve">Total other resources </w:t>
      </w:r>
      <w:r w:rsidR="00783861">
        <w:t xml:space="preserve">annual </w:t>
      </w:r>
      <w:r w:rsidRPr="00DD5AAD">
        <w:t xml:space="preserve">contributions </w:t>
      </w:r>
      <w:r w:rsidR="00710977">
        <w:t>in</w:t>
      </w:r>
      <w:r w:rsidRPr="00DD5AAD">
        <w:t xml:space="preserve">creased by </w:t>
      </w:r>
      <w:r w:rsidR="00250D2B">
        <w:t>16</w:t>
      </w:r>
      <w:r w:rsidRPr="00DD5AAD">
        <w:t> per cent, to $4</w:t>
      </w:r>
      <w:r w:rsidR="00B1152E" w:rsidRPr="00DD5AAD">
        <w:t>.</w:t>
      </w:r>
      <w:r w:rsidR="00250D2B">
        <w:t>9</w:t>
      </w:r>
      <w:r w:rsidR="00B1152E" w:rsidRPr="00DD5AAD">
        <w:t xml:space="preserve"> billion</w:t>
      </w:r>
      <w:r w:rsidRPr="00DD5AAD">
        <w:t xml:space="preserve"> (201</w:t>
      </w:r>
      <w:r w:rsidR="00250D2B">
        <w:t>9</w:t>
      </w:r>
      <w:r w:rsidRPr="00DD5AAD">
        <w:t>: $4</w:t>
      </w:r>
      <w:r w:rsidR="00B1152E" w:rsidRPr="00DD5AAD">
        <w:t>.</w:t>
      </w:r>
      <w:r w:rsidR="00250D2B">
        <w:t>2</w:t>
      </w:r>
      <w:r w:rsidR="00B1152E" w:rsidRPr="00DD5AAD">
        <w:t xml:space="preserve"> billion</w:t>
      </w:r>
      <w:r w:rsidRPr="00DD5AAD">
        <w:t>)</w:t>
      </w:r>
      <w:r w:rsidR="00B01769">
        <w:t>.</w:t>
      </w:r>
      <w:r w:rsidRPr="00DD5AAD">
        <w:t xml:space="preserve"> Other resources are ‘earmarked’ for individual programmes or projects and are important complements to the ‘un-earmarked’ regular resources base. It consists of cost-sharing, trust funds</w:t>
      </w:r>
      <w:r w:rsidR="00152D26">
        <w:t>,</w:t>
      </w:r>
      <w:r w:rsidRPr="00DD5AAD">
        <w:t xml:space="preserve"> and reimbursable support services and miscellaneous activities. UNDP is committed to working with Member States to improve the flexibility of this funding.</w:t>
      </w:r>
      <w:r w:rsidR="00893657" w:rsidRPr="00DD5AAD">
        <w:t xml:space="preserve">  </w:t>
      </w:r>
    </w:p>
    <w:p w14:paraId="6924F445" w14:textId="1301BE03" w:rsidR="00B1152E" w:rsidRPr="00DD5AAD" w:rsidRDefault="00B1152E" w:rsidP="00AF3FD4">
      <w:pPr>
        <w:pStyle w:val="ListParagraph"/>
        <w:numPr>
          <w:ilvl w:val="0"/>
          <w:numId w:val="5"/>
        </w:numPr>
        <w:spacing w:before="240" w:after="240" w:line="240" w:lineRule="auto"/>
        <w:ind w:right="1267"/>
        <w:contextualSpacing w:val="0"/>
        <w:jc w:val="both"/>
      </w:pPr>
      <w:r w:rsidRPr="00DD5AAD">
        <w:t xml:space="preserve">Annual Contributions are provided </w:t>
      </w:r>
      <w:r w:rsidR="00954B03">
        <w:t xml:space="preserve">by the </w:t>
      </w:r>
      <w:r w:rsidRPr="00DD5AAD">
        <w:t xml:space="preserve">funding partners per table 2b and Figure </w:t>
      </w:r>
      <w:r w:rsidR="004D4DCC">
        <w:t>III</w:t>
      </w:r>
      <w:r w:rsidR="00442030">
        <w:t xml:space="preserve"> (</w:t>
      </w:r>
      <w:r w:rsidR="006A5D75">
        <w:t>a</w:t>
      </w:r>
      <w:r w:rsidR="00442030">
        <w:t>)</w:t>
      </w:r>
      <w:r w:rsidRPr="00DD5AAD">
        <w:t xml:space="preserve"> below.</w:t>
      </w:r>
    </w:p>
    <w:p w14:paraId="2184D1B1" w14:textId="73CF0BCE" w:rsidR="00242AB7" w:rsidRPr="00B664C6" w:rsidRDefault="00242AB7" w:rsidP="003F5F37">
      <w:pPr>
        <w:pStyle w:val="SingleTxt"/>
        <w:keepNext/>
        <w:tabs>
          <w:tab w:val="clear" w:pos="1742"/>
          <w:tab w:val="left" w:pos="1530"/>
        </w:tabs>
        <w:spacing w:after="0"/>
        <w:ind w:left="1526"/>
        <w:jc w:val="center"/>
        <w:rPr>
          <w:b/>
        </w:rPr>
      </w:pPr>
      <w:r w:rsidRPr="00B664C6">
        <w:rPr>
          <w:b/>
        </w:rPr>
        <w:t xml:space="preserve">Table </w:t>
      </w:r>
      <w:r w:rsidR="00FA1E51" w:rsidRPr="00B664C6">
        <w:rPr>
          <w:b/>
        </w:rPr>
        <w:t>2</w:t>
      </w:r>
      <w:r w:rsidRPr="00B664C6">
        <w:rPr>
          <w:b/>
        </w:rPr>
        <w:t xml:space="preserve">b. </w:t>
      </w:r>
      <w:r w:rsidR="00833ED5" w:rsidRPr="00B664C6">
        <w:rPr>
          <w:b/>
        </w:rPr>
        <w:t xml:space="preserve">UNDP </w:t>
      </w:r>
      <w:r w:rsidR="00E63925" w:rsidRPr="00B664C6">
        <w:rPr>
          <w:b/>
        </w:rPr>
        <w:t xml:space="preserve">annual </w:t>
      </w:r>
      <w:r w:rsidR="00833ED5" w:rsidRPr="00B664C6">
        <w:rPr>
          <w:b/>
        </w:rPr>
        <w:t>contributions by funding partners, 20</w:t>
      </w:r>
      <w:r w:rsidR="00FD5319" w:rsidRPr="00B664C6">
        <w:rPr>
          <w:b/>
        </w:rPr>
        <w:t>19</w:t>
      </w:r>
      <w:r w:rsidR="00833ED5" w:rsidRPr="00B664C6">
        <w:rPr>
          <w:b/>
        </w:rPr>
        <w:t>-20</w:t>
      </w:r>
      <w:r w:rsidR="00FD5319" w:rsidRPr="00B664C6">
        <w:rPr>
          <w:b/>
        </w:rPr>
        <w:t>20</w:t>
      </w:r>
    </w:p>
    <w:p w14:paraId="7F6D3310" w14:textId="10AD93D9" w:rsidR="00076FB8" w:rsidRPr="006F3826" w:rsidRDefault="00076FB8" w:rsidP="003F5F37">
      <w:pPr>
        <w:pStyle w:val="SingleTxt"/>
        <w:keepNext/>
        <w:tabs>
          <w:tab w:val="clear" w:pos="1742"/>
          <w:tab w:val="left" w:pos="1530"/>
        </w:tabs>
        <w:ind w:left="1526"/>
        <w:jc w:val="center"/>
        <w:rPr>
          <w:i/>
        </w:rPr>
      </w:pPr>
      <w:r w:rsidRPr="00547F9E">
        <w:rPr>
          <w:i/>
        </w:rPr>
        <w:t xml:space="preserve">(in millions of </w:t>
      </w:r>
      <w:r w:rsidR="006F3826" w:rsidRPr="00547F9E">
        <w:rPr>
          <w:i/>
        </w:rPr>
        <w:t xml:space="preserve">United States </w:t>
      </w:r>
      <w:r w:rsidRPr="00547F9E">
        <w:rPr>
          <w:i/>
        </w:rPr>
        <w:t>dollars)</w:t>
      </w:r>
    </w:p>
    <w:tbl>
      <w:tblPr>
        <w:tblW w:w="9126"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6"/>
        <w:gridCol w:w="884"/>
        <w:gridCol w:w="910"/>
        <w:gridCol w:w="898"/>
        <w:gridCol w:w="897"/>
        <w:gridCol w:w="897"/>
        <w:gridCol w:w="898"/>
        <w:gridCol w:w="868"/>
        <w:gridCol w:w="878"/>
      </w:tblGrid>
      <w:tr w:rsidR="004B5ABC" w:rsidRPr="000E57AE" w14:paraId="4D335BA9" w14:textId="77777777" w:rsidTr="00EC1DC5">
        <w:trPr>
          <w:trHeight w:val="228"/>
        </w:trPr>
        <w:tc>
          <w:tcPr>
            <w:tcW w:w="1996" w:type="dxa"/>
            <w:vMerge w:val="restart"/>
            <w:shd w:val="clear" w:color="auto" w:fill="auto"/>
            <w:noWrap/>
            <w:vAlign w:val="center"/>
          </w:tcPr>
          <w:p w14:paraId="15CE31AD" w14:textId="7760952D" w:rsidR="004B5ABC" w:rsidRPr="004B5ABC" w:rsidRDefault="004B5ABC" w:rsidP="00B430FE">
            <w:pPr>
              <w:keepNext/>
              <w:suppressAutoHyphens w:val="0"/>
              <w:spacing w:line="240" w:lineRule="auto"/>
              <w:jc w:val="center"/>
              <w:rPr>
                <w:rFonts w:eastAsia="Times New Roman"/>
                <w:color w:val="000000"/>
                <w:spacing w:val="0"/>
                <w:w w:val="100"/>
                <w:kern w:val="0"/>
                <w:sz w:val="16"/>
                <w:szCs w:val="16"/>
              </w:rPr>
            </w:pPr>
          </w:p>
        </w:tc>
        <w:tc>
          <w:tcPr>
            <w:tcW w:w="2692" w:type="dxa"/>
            <w:gridSpan w:val="3"/>
            <w:shd w:val="clear" w:color="auto" w:fill="auto"/>
            <w:vAlign w:val="center"/>
          </w:tcPr>
          <w:p w14:paraId="22DF96CF" w14:textId="6904DDA9" w:rsidR="004B5ABC" w:rsidRPr="004B5ABC" w:rsidRDefault="001D0D83" w:rsidP="008E08D6">
            <w:pPr>
              <w:keepNext/>
              <w:suppressAutoHyphens w:val="0"/>
              <w:spacing w:line="240" w:lineRule="auto"/>
              <w:jc w:val="center"/>
              <w:rPr>
                <w:rFonts w:eastAsia="Times New Roman"/>
                <w:color w:val="000000"/>
                <w:spacing w:val="0"/>
                <w:w w:val="100"/>
                <w:kern w:val="0"/>
                <w:sz w:val="16"/>
                <w:szCs w:val="16"/>
              </w:rPr>
            </w:pPr>
            <w:r>
              <w:rPr>
                <w:rFonts w:eastAsia="Times New Roman"/>
                <w:color w:val="000000"/>
                <w:spacing w:val="0"/>
                <w:w w:val="100"/>
                <w:kern w:val="0"/>
                <w:sz w:val="16"/>
                <w:szCs w:val="16"/>
              </w:rPr>
              <w:t>2020</w:t>
            </w:r>
          </w:p>
        </w:tc>
        <w:tc>
          <w:tcPr>
            <w:tcW w:w="2692" w:type="dxa"/>
            <w:gridSpan w:val="3"/>
            <w:shd w:val="clear" w:color="auto" w:fill="auto"/>
            <w:vAlign w:val="center"/>
          </w:tcPr>
          <w:p w14:paraId="20EF4190" w14:textId="7AB89819" w:rsidR="004B5ABC" w:rsidRPr="004B5ABC" w:rsidRDefault="001D0D83" w:rsidP="008E08D6">
            <w:pPr>
              <w:keepNext/>
              <w:suppressAutoHyphens w:val="0"/>
              <w:spacing w:line="240" w:lineRule="auto"/>
              <w:jc w:val="center"/>
              <w:rPr>
                <w:rFonts w:eastAsia="Times New Roman"/>
                <w:color w:val="000000"/>
                <w:spacing w:val="0"/>
                <w:w w:val="100"/>
                <w:kern w:val="0"/>
                <w:sz w:val="16"/>
                <w:szCs w:val="16"/>
              </w:rPr>
            </w:pPr>
            <w:r>
              <w:rPr>
                <w:rFonts w:eastAsia="Times New Roman"/>
                <w:color w:val="000000"/>
                <w:spacing w:val="0"/>
                <w:w w:val="100"/>
                <w:kern w:val="0"/>
                <w:sz w:val="16"/>
                <w:szCs w:val="16"/>
              </w:rPr>
              <w:t>2019</w:t>
            </w:r>
          </w:p>
        </w:tc>
        <w:tc>
          <w:tcPr>
            <w:tcW w:w="868" w:type="dxa"/>
            <w:vMerge w:val="restart"/>
            <w:shd w:val="clear" w:color="auto" w:fill="auto"/>
            <w:vAlign w:val="center"/>
          </w:tcPr>
          <w:p w14:paraId="0A540721" w14:textId="6E2873CC" w:rsidR="004B5ABC" w:rsidRPr="004B5ABC" w:rsidRDefault="004B5ABC" w:rsidP="008E08D6">
            <w:pPr>
              <w:keepNext/>
              <w:suppressAutoHyphens w:val="0"/>
              <w:spacing w:line="240" w:lineRule="auto"/>
              <w:jc w:val="center"/>
              <w:rPr>
                <w:rFonts w:eastAsia="Times New Roman"/>
                <w:color w:val="000000"/>
                <w:spacing w:val="0"/>
                <w:w w:val="100"/>
                <w:kern w:val="0"/>
                <w:sz w:val="16"/>
                <w:szCs w:val="16"/>
              </w:rPr>
            </w:pPr>
            <w:r w:rsidRPr="004B5ABC">
              <w:rPr>
                <w:rFonts w:eastAsia="Times New Roman"/>
                <w:color w:val="000000"/>
                <w:spacing w:val="0"/>
                <w:w w:val="100"/>
                <w:kern w:val="0"/>
                <w:sz w:val="16"/>
                <w:szCs w:val="16"/>
              </w:rPr>
              <w:t>Total Increase</w:t>
            </w:r>
          </w:p>
        </w:tc>
        <w:tc>
          <w:tcPr>
            <w:tcW w:w="878" w:type="dxa"/>
            <w:vMerge w:val="restart"/>
            <w:shd w:val="clear" w:color="auto" w:fill="auto"/>
            <w:noWrap/>
            <w:vAlign w:val="center"/>
          </w:tcPr>
          <w:p w14:paraId="6F633D4B" w14:textId="08251873" w:rsidR="004B5ABC" w:rsidRPr="004B5ABC" w:rsidRDefault="004B5ABC" w:rsidP="008E08D6">
            <w:pPr>
              <w:keepNext/>
              <w:suppressAutoHyphens w:val="0"/>
              <w:spacing w:line="240" w:lineRule="auto"/>
              <w:jc w:val="center"/>
              <w:rPr>
                <w:rFonts w:eastAsia="Times New Roman"/>
                <w:color w:val="000000"/>
                <w:spacing w:val="0"/>
                <w:w w:val="100"/>
                <w:kern w:val="0"/>
                <w:sz w:val="16"/>
                <w:szCs w:val="16"/>
              </w:rPr>
            </w:pPr>
            <w:r w:rsidRPr="004B5ABC">
              <w:rPr>
                <w:rFonts w:eastAsia="Times New Roman"/>
                <w:color w:val="000000"/>
                <w:spacing w:val="0"/>
                <w:w w:val="100"/>
                <w:kern w:val="0"/>
                <w:sz w:val="16"/>
                <w:szCs w:val="16"/>
              </w:rPr>
              <w:t>Percentage Change</w:t>
            </w:r>
          </w:p>
        </w:tc>
      </w:tr>
      <w:tr w:rsidR="004B5ABC" w:rsidRPr="000E57AE" w14:paraId="638EA637" w14:textId="77777777" w:rsidTr="2B318295">
        <w:trPr>
          <w:trHeight w:val="228"/>
        </w:trPr>
        <w:tc>
          <w:tcPr>
            <w:tcW w:w="1996" w:type="dxa"/>
            <w:vMerge/>
            <w:noWrap/>
            <w:vAlign w:val="center"/>
          </w:tcPr>
          <w:p w14:paraId="46502E26" w14:textId="1CDDF283" w:rsidR="004B5ABC" w:rsidRPr="004B5ABC" w:rsidRDefault="004B5ABC" w:rsidP="00866202">
            <w:pPr>
              <w:keepNext/>
              <w:suppressAutoHyphens w:val="0"/>
              <w:spacing w:line="240" w:lineRule="auto"/>
              <w:jc w:val="center"/>
              <w:rPr>
                <w:rFonts w:eastAsia="Times New Roman"/>
                <w:b/>
                <w:bCs/>
                <w:color w:val="000000"/>
                <w:spacing w:val="0"/>
                <w:w w:val="100"/>
                <w:kern w:val="0"/>
                <w:sz w:val="16"/>
                <w:szCs w:val="16"/>
              </w:rPr>
            </w:pPr>
          </w:p>
        </w:tc>
        <w:tc>
          <w:tcPr>
            <w:tcW w:w="884" w:type="dxa"/>
            <w:shd w:val="clear" w:color="auto" w:fill="auto"/>
            <w:noWrap/>
            <w:vAlign w:val="center"/>
          </w:tcPr>
          <w:p w14:paraId="4A2E6EAF" w14:textId="77777777" w:rsidR="004B5ABC" w:rsidRPr="004B5ABC" w:rsidRDefault="004B5ABC" w:rsidP="008E08D6">
            <w:pPr>
              <w:keepNext/>
              <w:suppressAutoHyphens w:val="0"/>
              <w:spacing w:line="240" w:lineRule="auto"/>
              <w:jc w:val="center"/>
              <w:rPr>
                <w:rFonts w:eastAsia="Times New Roman"/>
                <w:color w:val="000000"/>
                <w:spacing w:val="0"/>
                <w:w w:val="100"/>
                <w:kern w:val="0"/>
                <w:sz w:val="16"/>
                <w:szCs w:val="16"/>
              </w:rPr>
            </w:pPr>
            <w:r w:rsidRPr="004B5ABC">
              <w:rPr>
                <w:rFonts w:eastAsia="Times New Roman"/>
                <w:color w:val="000000"/>
                <w:spacing w:val="0"/>
                <w:w w:val="100"/>
                <w:kern w:val="0"/>
                <w:sz w:val="16"/>
                <w:szCs w:val="16"/>
              </w:rPr>
              <w:t>Regular</w:t>
            </w:r>
          </w:p>
          <w:p w14:paraId="0D0733C9" w14:textId="2C52D651" w:rsidR="004B5ABC" w:rsidRPr="004B5ABC" w:rsidRDefault="004B5ABC" w:rsidP="008E08D6">
            <w:pPr>
              <w:keepNext/>
              <w:suppressAutoHyphens w:val="0"/>
              <w:spacing w:line="240" w:lineRule="auto"/>
              <w:jc w:val="center"/>
              <w:rPr>
                <w:rFonts w:eastAsia="Times New Roman"/>
                <w:color w:val="000000"/>
                <w:spacing w:val="0"/>
                <w:w w:val="100"/>
                <w:kern w:val="0"/>
                <w:sz w:val="16"/>
                <w:szCs w:val="16"/>
              </w:rPr>
            </w:pPr>
            <w:r w:rsidRPr="004B5ABC">
              <w:rPr>
                <w:rFonts w:eastAsia="Times New Roman"/>
                <w:color w:val="000000"/>
                <w:spacing w:val="0"/>
                <w:w w:val="100"/>
                <w:kern w:val="0"/>
                <w:sz w:val="16"/>
                <w:szCs w:val="16"/>
              </w:rPr>
              <w:t>Resources</w:t>
            </w:r>
          </w:p>
        </w:tc>
        <w:tc>
          <w:tcPr>
            <w:tcW w:w="910" w:type="dxa"/>
            <w:shd w:val="clear" w:color="auto" w:fill="auto"/>
            <w:vAlign w:val="center"/>
          </w:tcPr>
          <w:p w14:paraId="4239CE89" w14:textId="6902482E" w:rsidR="004B5ABC" w:rsidRPr="004B5ABC" w:rsidRDefault="004B5ABC" w:rsidP="008E08D6">
            <w:pPr>
              <w:keepNext/>
              <w:suppressAutoHyphens w:val="0"/>
              <w:spacing w:line="240" w:lineRule="auto"/>
              <w:jc w:val="center"/>
              <w:rPr>
                <w:rFonts w:eastAsia="Times New Roman"/>
                <w:color w:val="000000"/>
                <w:spacing w:val="0"/>
                <w:w w:val="100"/>
                <w:kern w:val="0"/>
                <w:sz w:val="16"/>
                <w:szCs w:val="16"/>
              </w:rPr>
            </w:pPr>
            <w:r w:rsidRPr="004B5ABC">
              <w:rPr>
                <w:rFonts w:eastAsia="Times New Roman"/>
                <w:color w:val="000000"/>
                <w:spacing w:val="0"/>
                <w:w w:val="100"/>
                <w:kern w:val="0"/>
                <w:sz w:val="16"/>
                <w:szCs w:val="16"/>
              </w:rPr>
              <w:t>Other</w:t>
            </w:r>
          </w:p>
          <w:p w14:paraId="2C4C27AD" w14:textId="3AA13EE3" w:rsidR="004B5ABC" w:rsidRPr="004B5ABC" w:rsidRDefault="004B5ABC" w:rsidP="008E08D6">
            <w:pPr>
              <w:keepNext/>
              <w:suppressAutoHyphens w:val="0"/>
              <w:spacing w:line="240" w:lineRule="auto"/>
              <w:jc w:val="center"/>
              <w:rPr>
                <w:rFonts w:eastAsia="Times New Roman"/>
                <w:color w:val="000000"/>
                <w:spacing w:val="0"/>
                <w:w w:val="100"/>
                <w:kern w:val="0"/>
                <w:sz w:val="16"/>
                <w:szCs w:val="16"/>
              </w:rPr>
            </w:pPr>
            <w:r w:rsidRPr="004B5ABC">
              <w:rPr>
                <w:rFonts w:eastAsia="Times New Roman"/>
                <w:color w:val="000000"/>
                <w:spacing w:val="0"/>
                <w:w w:val="100"/>
                <w:kern w:val="0"/>
                <w:sz w:val="16"/>
                <w:szCs w:val="16"/>
              </w:rPr>
              <w:t>Resources</w:t>
            </w:r>
          </w:p>
        </w:tc>
        <w:tc>
          <w:tcPr>
            <w:tcW w:w="898" w:type="dxa"/>
            <w:shd w:val="clear" w:color="auto" w:fill="auto"/>
            <w:vAlign w:val="center"/>
          </w:tcPr>
          <w:p w14:paraId="454B100A" w14:textId="50FA65EF" w:rsidR="004B5ABC" w:rsidRPr="004B5ABC" w:rsidRDefault="004B5ABC" w:rsidP="008E08D6">
            <w:pPr>
              <w:keepNext/>
              <w:suppressAutoHyphens w:val="0"/>
              <w:spacing w:line="240" w:lineRule="auto"/>
              <w:jc w:val="center"/>
              <w:rPr>
                <w:rFonts w:eastAsia="Times New Roman"/>
                <w:color w:val="000000"/>
                <w:spacing w:val="0"/>
                <w:w w:val="100"/>
                <w:kern w:val="0"/>
                <w:sz w:val="16"/>
                <w:szCs w:val="16"/>
              </w:rPr>
            </w:pPr>
            <w:r w:rsidRPr="004B5ABC">
              <w:rPr>
                <w:rFonts w:eastAsia="Times New Roman"/>
                <w:color w:val="000000"/>
                <w:spacing w:val="0"/>
                <w:w w:val="100"/>
                <w:kern w:val="0"/>
                <w:sz w:val="16"/>
                <w:szCs w:val="16"/>
              </w:rPr>
              <w:t>Total</w:t>
            </w:r>
          </w:p>
        </w:tc>
        <w:tc>
          <w:tcPr>
            <w:tcW w:w="897" w:type="dxa"/>
            <w:shd w:val="clear" w:color="auto" w:fill="auto"/>
            <w:noWrap/>
            <w:vAlign w:val="center"/>
          </w:tcPr>
          <w:p w14:paraId="55C04CDC" w14:textId="77777777" w:rsidR="004B5ABC" w:rsidRPr="004B5ABC" w:rsidRDefault="004B5ABC" w:rsidP="008E08D6">
            <w:pPr>
              <w:keepNext/>
              <w:suppressAutoHyphens w:val="0"/>
              <w:spacing w:line="240" w:lineRule="auto"/>
              <w:jc w:val="center"/>
              <w:rPr>
                <w:rFonts w:eastAsia="Times New Roman"/>
                <w:color w:val="000000"/>
                <w:spacing w:val="0"/>
                <w:w w:val="100"/>
                <w:kern w:val="0"/>
                <w:sz w:val="16"/>
                <w:szCs w:val="16"/>
              </w:rPr>
            </w:pPr>
            <w:r w:rsidRPr="004B5ABC">
              <w:rPr>
                <w:rFonts w:eastAsia="Times New Roman"/>
                <w:color w:val="000000"/>
                <w:spacing w:val="0"/>
                <w:w w:val="100"/>
                <w:kern w:val="0"/>
                <w:sz w:val="16"/>
                <w:szCs w:val="16"/>
              </w:rPr>
              <w:t>Regular</w:t>
            </w:r>
          </w:p>
          <w:p w14:paraId="685A6089" w14:textId="4D516990" w:rsidR="004B5ABC" w:rsidRPr="004B5ABC" w:rsidRDefault="004B5ABC" w:rsidP="008E08D6">
            <w:pPr>
              <w:keepNext/>
              <w:suppressAutoHyphens w:val="0"/>
              <w:spacing w:line="240" w:lineRule="auto"/>
              <w:jc w:val="center"/>
              <w:rPr>
                <w:rFonts w:eastAsia="Times New Roman"/>
                <w:color w:val="000000"/>
                <w:spacing w:val="0"/>
                <w:w w:val="100"/>
                <w:kern w:val="0"/>
                <w:sz w:val="16"/>
                <w:szCs w:val="16"/>
              </w:rPr>
            </w:pPr>
            <w:r w:rsidRPr="004B5ABC">
              <w:rPr>
                <w:rFonts w:eastAsia="Times New Roman"/>
                <w:color w:val="000000"/>
                <w:spacing w:val="0"/>
                <w:w w:val="100"/>
                <w:kern w:val="0"/>
                <w:sz w:val="16"/>
                <w:szCs w:val="16"/>
              </w:rPr>
              <w:t>Resources</w:t>
            </w:r>
          </w:p>
        </w:tc>
        <w:tc>
          <w:tcPr>
            <w:tcW w:w="897" w:type="dxa"/>
            <w:shd w:val="clear" w:color="auto" w:fill="auto"/>
            <w:vAlign w:val="center"/>
          </w:tcPr>
          <w:p w14:paraId="474BAAC1" w14:textId="1797E966" w:rsidR="004B5ABC" w:rsidRPr="004B5ABC" w:rsidRDefault="004B5ABC" w:rsidP="008E08D6">
            <w:pPr>
              <w:keepNext/>
              <w:suppressAutoHyphens w:val="0"/>
              <w:spacing w:line="240" w:lineRule="auto"/>
              <w:jc w:val="center"/>
              <w:rPr>
                <w:rFonts w:eastAsia="Times New Roman"/>
                <w:color w:val="000000"/>
                <w:spacing w:val="0"/>
                <w:w w:val="100"/>
                <w:kern w:val="0"/>
                <w:sz w:val="16"/>
                <w:szCs w:val="16"/>
              </w:rPr>
            </w:pPr>
            <w:r w:rsidRPr="004B5ABC">
              <w:rPr>
                <w:rFonts w:eastAsia="Times New Roman"/>
                <w:color w:val="000000"/>
                <w:spacing w:val="0"/>
                <w:w w:val="100"/>
                <w:kern w:val="0"/>
                <w:sz w:val="16"/>
                <w:szCs w:val="16"/>
              </w:rPr>
              <w:t>Other</w:t>
            </w:r>
          </w:p>
          <w:p w14:paraId="1F488399" w14:textId="3CE2881A" w:rsidR="004B5ABC" w:rsidRPr="004B5ABC" w:rsidRDefault="004B5ABC" w:rsidP="008E08D6">
            <w:pPr>
              <w:keepNext/>
              <w:suppressAutoHyphens w:val="0"/>
              <w:spacing w:line="240" w:lineRule="auto"/>
              <w:jc w:val="center"/>
              <w:rPr>
                <w:rFonts w:eastAsia="Times New Roman"/>
                <w:color w:val="000000"/>
                <w:spacing w:val="0"/>
                <w:w w:val="100"/>
                <w:kern w:val="0"/>
                <w:sz w:val="16"/>
                <w:szCs w:val="16"/>
              </w:rPr>
            </w:pPr>
            <w:r w:rsidRPr="004B5ABC">
              <w:rPr>
                <w:rFonts w:eastAsia="Times New Roman"/>
                <w:color w:val="000000"/>
                <w:spacing w:val="0"/>
                <w:w w:val="100"/>
                <w:kern w:val="0"/>
                <w:sz w:val="16"/>
                <w:szCs w:val="16"/>
              </w:rPr>
              <w:t>Resources</w:t>
            </w:r>
          </w:p>
        </w:tc>
        <w:tc>
          <w:tcPr>
            <w:tcW w:w="898" w:type="dxa"/>
            <w:shd w:val="clear" w:color="auto" w:fill="auto"/>
            <w:vAlign w:val="center"/>
          </w:tcPr>
          <w:p w14:paraId="74195971" w14:textId="598C2D0D" w:rsidR="004B5ABC" w:rsidRPr="004B5ABC" w:rsidRDefault="004B5ABC" w:rsidP="008E08D6">
            <w:pPr>
              <w:keepNext/>
              <w:suppressAutoHyphens w:val="0"/>
              <w:spacing w:line="240" w:lineRule="auto"/>
              <w:jc w:val="center"/>
              <w:rPr>
                <w:rFonts w:eastAsia="Times New Roman"/>
                <w:color w:val="000000"/>
                <w:spacing w:val="0"/>
                <w:w w:val="100"/>
                <w:kern w:val="0"/>
                <w:sz w:val="16"/>
                <w:szCs w:val="16"/>
              </w:rPr>
            </w:pPr>
            <w:r w:rsidRPr="004B5ABC">
              <w:rPr>
                <w:rFonts w:eastAsia="Times New Roman"/>
                <w:color w:val="000000"/>
                <w:spacing w:val="0"/>
                <w:w w:val="100"/>
                <w:kern w:val="0"/>
                <w:sz w:val="16"/>
                <w:szCs w:val="16"/>
              </w:rPr>
              <w:t>Total</w:t>
            </w:r>
          </w:p>
        </w:tc>
        <w:tc>
          <w:tcPr>
            <w:tcW w:w="868" w:type="dxa"/>
            <w:vMerge/>
            <w:noWrap/>
            <w:vAlign w:val="center"/>
          </w:tcPr>
          <w:p w14:paraId="6E3662A6" w14:textId="1C9DFDAB" w:rsidR="004B5ABC" w:rsidRPr="004B5ABC" w:rsidRDefault="004B5ABC" w:rsidP="008E08D6">
            <w:pPr>
              <w:keepNext/>
              <w:suppressAutoHyphens w:val="0"/>
              <w:spacing w:line="240" w:lineRule="auto"/>
              <w:jc w:val="center"/>
              <w:rPr>
                <w:rFonts w:eastAsia="Times New Roman"/>
                <w:color w:val="000000"/>
                <w:spacing w:val="0"/>
                <w:w w:val="100"/>
                <w:kern w:val="0"/>
                <w:sz w:val="16"/>
                <w:szCs w:val="16"/>
              </w:rPr>
            </w:pPr>
          </w:p>
        </w:tc>
        <w:tc>
          <w:tcPr>
            <w:tcW w:w="878" w:type="dxa"/>
            <w:vMerge/>
            <w:noWrap/>
            <w:vAlign w:val="center"/>
          </w:tcPr>
          <w:p w14:paraId="37737650" w14:textId="77777777" w:rsidR="004B5ABC" w:rsidRPr="004B5ABC" w:rsidRDefault="004B5ABC" w:rsidP="008E08D6">
            <w:pPr>
              <w:keepNext/>
              <w:suppressAutoHyphens w:val="0"/>
              <w:spacing w:line="240" w:lineRule="auto"/>
              <w:jc w:val="center"/>
              <w:rPr>
                <w:rFonts w:eastAsia="Times New Roman"/>
                <w:color w:val="000000"/>
                <w:spacing w:val="0"/>
                <w:w w:val="100"/>
                <w:kern w:val="0"/>
                <w:sz w:val="16"/>
                <w:szCs w:val="16"/>
              </w:rPr>
            </w:pPr>
          </w:p>
        </w:tc>
      </w:tr>
      <w:tr w:rsidR="001D0D83" w:rsidRPr="000E57AE" w14:paraId="2F2A94CF" w14:textId="77777777" w:rsidTr="000F1AB0">
        <w:trPr>
          <w:trHeight w:val="228"/>
        </w:trPr>
        <w:tc>
          <w:tcPr>
            <w:tcW w:w="1996" w:type="dxa"/>
            <w:shd w:val="clear" w:color="auto" w:fill="auto"/>
            <w:noWrap/>
            <w:vAlign w:val="center"/>
          </w:tcPr>
          <w:p w14:paraId="728B6CEF" w14:textId="635AE248" w:rsidR="001D0D83" w:rsidRPr="004B5ABC" w:rsidRDefault="001D0D83" w:rsidP="001D0D83">
            <w:pPr>
              <w:keepNext/>
              <w:suppressAutoHyphens w:val="0"/>
              <w:spacing w:line="240" w:lineRule="auto"/>
              <w:rPr>
                <w:rFonts w:eastAsia="Times New Roman"/>
                <w:b/>
                <w:bCs/>
                <w:color w:val="000000"/>
                <w:spacing w:val="0"/>
                <w:w w:val="100"/>
                <w:kern w:val="0"/>
                <w:sz w:val="16"/>
                <w:szCs w:val="16"/>
              </w:rPr>
            </w:pPr>
            <w:r w:rsidRPr="004B5ABC">
              <w:rPr>
                <w:rFonts w:eastAsia="Times New Roman"/>
                <w:b/>
                <w:bCs/>
                <w:color w:val="000000"/>
                <w:spacing w:val="0"/>
                <w:w w:val="100"/>
                <w:kern w:val="0"/>
                <w:sz w:val="16"/>
                <w:szCs w:val="16"/>
              </w:rPr>
              <w:t>Donor Country Governments</w:t>
            </w:r>
          </w:p>
        </w:tc>
        <w:tc>
          <w:tcPr>
            <w:tcW w:w="884" w:type="dxa"/>
            <w:shd w:val="clear" w:color="auto" w:fill="auto"/>
            <w:noWrap/>
            <w:vAlign w:val="center"/>
          </w:tcPr>
          <w:p w14:paraId="69DF0EAC" w14:textId="1DF98878" w:rsidR="001D0D83" w:rsidRPr="008D51BE" w:rsidRDefault="00C12AC2" w:rsidP="001D0D83">
            <w:pPr>
              <w:keepNext/>
              <w:suppressAutoHyphens w:val="0"/>
              <w:spacing w:line="240" w:lineRule="auto"/>
              <w:jc w:val="right"/>
              <w:rPr>
                <w:rFonts w:eastAsia="Times New Roman"/>
                <w:color w:val="000000"/>
                <w:spacing w:val="0"/>
                <w:w w:val="100"/>
                <w:kern w:val="0"/>
                <w:sz w:val="16"/>
                <w:szCs w:val="16"/>
              </w:rPr>
            </w:pPr>
            <w:r w:rsidRPr="008D51BE">
              <w:rPr>
                <w:rFonts w:eastAsia="Times New Roman"/>
                <w:color w:val="000000"/>
                <w:spacing w:val="0"/>
                <w:w w:val="100"/>
                <w:kern w:val="0"/>
                <w:sz w:val="16"/>
                <w:szCs w:val="16"/>
              </w:rPr>
              <w:t>67</w:t>
            </w:r>
            <w:r w:rsidR="005A5A1C">
              <w:rPr>
                <w:rFonts w:eastAsia="Times New Roman"/>
                <w:color w:val="000000"/>
                <w:spacing w:val="0"/>
                <w:w w:val="100"/>
                <w:kern w:val="0"/>
                <w:sz w:val="16"/>
                <w:szCs w:val="16"/>
              </w:rPr>
              <w:t>3</w:t>
            </w:r>
          </w:p>
        </w:tc>
        <w:tc>
          <w:tcPr>
            <w:tcW w:w="910" w:type="dxa"/>
            <w:shd w:val="clear" w:color="auto" w:fill="auto"/>
            <w:vAlign w:val="center"/>
          </w:tcPr>
          <w:p w14:paraId="00BF4373" w14:textId="113A46F9" w:rsidR="001D0D83" w:rsidRPr="008D51BE" w:rsidRDefault="00C12AC2" w:rsidP="001D0D83">
            <w:pPr>
              <w:keepNext/>
              <w:suppressAutoHyphens w:val="0"/>
              <w:spacing w:line="240" w:lineRule="auto"/>
              <w:jc w:val="right"/>
              <w:rPr>
                <w:rFonts w:eastAsia="Times New Roman"/>
                <w:color w:val="000000"/>
                <w:spacing w:val="0"/>
                <w:w w:val="100"/>
                <w:kern w:val="0"/>
                <w:sz w:val="16"/>
                <w:szCs w:val="16"/>
              </w:rPr>
            </w:pPr>
            <w:r w:rsidRPr="008D51BE">
              <w:rPr>
                <w:rFonts w:eastAsia="Times New Roman"/>
                <w:color w:val="000000"/>
                <w:spacing w:val="0"/>
                <w:w w:val="100"/>
                <w:kern w:val="0"/>
                <w:sz w:val="16"/>
                <w:szCs w:val="16"/>
              </w:rPr>
              <w:t>1,</w:t>
            </w:r>
            <w:r w:rsidR="005A5A1C">
              <w:rPr>
                <w:rFonts w:eastAsia="Times New Roman"/>
                <w:color w:val="000000"/>
                <w:spacing w:val="0"/>
                <w:w w:val="100"/>
                <w:kern w:val="0"/>
                <w:sz w:val="16"/>
                <w:szCs w:val="16"/>
              </w:rPr>
              <w:t>512</w:t>
            </w:r>
          </w:p>
        </w:tc>
        <w:tc>
          <w:tcPr>
            <w:tcW w:w="898" w:type="dxa"/>
            <w:shd w:val="clear" w:color="auto" w:fill="auto"/>
            <w:vAlign w:val="center"/>
          </w:tcPr>
          <w:p w14:paraId="15A23021" w14:textId="3C22328A" w:rsidR="001D0D83" w:rsidRPr="008D51BE" w:rsidRDefault="00C12AC2" w:rsidP="001D0D83">
            <w:pPr>
              <w:keepNext/>
              <w:suppressAutoHyphens w:val="0"/>
              <w:spacing w:line="240" w:lineRule="auto"/>
              <w:jc w:val="right"/>
              <w:rPr>
                <w:rFonts w:eastAsia="Times New Roman"/>
                <w:color w:val="000000"/>
                <w:spacing w:val="0"/>
                <w:w w:val="100"/>
                <w:kern w:val="0"/>
                <w:sz w:val="16"/>
                <w:szCs w:val="16"/>
              </w:rPr>
            </w:pPr>
            <w:r w:rsidRPr="008D51BE">
              <w:rPr>
                <w:rFonts w:eastAsia="Times New Roman"/>
                <w:color w:val="000000"/>
                <w:spacing w:val="0"/>
                <w:w w:val="100"/>
                <w:kern w:val="0"/>
                <w:sz w:val="16"/>
                <w:szCs w:val="16"/>
              </w:rPr>
              <w:t>2,1</w:t>
            </w:r>
            <w:r w:rsidR="005A5A1C">
              <w:rPr>
                <w:rFonts w:eastAsia="Times New Roman"/>
                <w:color w:val="000000"/>
                <w:spacing w:val="0"/>
                <w:w w:val="100"/>
                <w:kern w:val="0"/>
                <w:sz w:val="16"/>
                <w:szCs w:val="16"/>
              </w:rPr>
              <w:t>85</w:t>
            </w:r>
          </w:p>
        </w:tc>
        <w:tc>
          <w:tcPr>
            <w:tcW w:w="897" w:type="dxa"/>
            <w:shd w:val="clear" w:color="auto" w:fill="auto"/>
            <w:noWrap/>
            <w:vAlign w:val="center"/>
          </w:tcPr>
          <w:p w14:paraId="2D42D472" w14:textId="0D1EA5C5" w:rsidR="001D0D83" w:rsidRPr="008D51BE" w:rsidRDefault="001D0D83" w:rsidP="001D0D83">
            <w:pPr>
              <w:keepNext/>
              <w:suppressAutoHyphens w:val="0"/>
              <w:spacing w:line="240" w:lineRule="auto"/>
              <w:jc w:val="right"/>
              <w:rPr>
                <w:rFonts w:eastAsia="Times New Roman"/>
                <w:color w:val="000000"/>
                <w:spacing w:val="0"/>
                <w:w w:val="100"/>
                <w:kern w:val="0"/>
                <w:sz w:val="16"/>
                <w:szCs w:val="16"/>
              </w:rPr>
            </w:pPr>
            <w:r w:rsidRPr="008D51BE">
              <w:rPr>
                <w:rFonts w:eastAsia="Times New Roman"/>
                <w:color w:val="000000"/>
                <w:spacing w:val="0"/>
                <w:w w:val="100"/>
                <w:kern w:val="0"/>
                <w:sz w:val="16"/>
                <w:szCs w:val="16"/>
              </w:rPr>
              <w:t>594</w:t>
            </w:r>
          </w:p>
        </w:tc>
        <w:tc>
          <w:tcPr>
            <w:tcW w:w="897" w:type="dxa"/>
            <w:shd w:val="clear" w:color="auto" w:fill="auto"/>
            <w:vAlign w:val="center"/>
          </w:tcPr>
          <w:p w14:paraId="5C4715A0" w14:textId="43BEF08F" w:rsidR="001D0D83" w:rsidRPr="008D51BE" w:rsidRDefault="001D0D83" w:rsidP="001D0D83">
            <w:pPr>
              <w:keepNext/>
              <w:suppressAutoHyphens w:val="0"/>
              <w:spacing w:line="240" w:lineRule="auto"/>
              <w:jc w:val="right"/>
              <w:rPr>
                <w:rFonts w:eastAsia="Times New Roman"/>
                <w:color w:val="000000"/>
                <w:spacing w:val="0"/>
                <w:w w:val="100"/>
                <w:kern w:val="0"/>
                <w:sz w:val="16"/>
                <w:szCs w:val="16"/>
              </w:rPr>
            </w:pPr>
            <w:r w:rsidRPr="008D51BE">
              <w:rPr>
                <w:rFonts w:eastAsia="Times New Roman"/>
                <w:color w:val="000000"/>
                <w:spacing w:val="0"/>
                <w:w w:val="100"/>
                <w:kern w:val="0"/>
                <w:sz w:val="16"/>
                <w:szCs w:val="16"/>
              </w:rPr>
              <w:t>1,463</w:t>
            </w:r>
          </w:p>
        </w:tc>
        <w:tc>
          <w:tcPr>
            <w:tcW w:w="898" w:type="dxa"/>
            <w:shd w:val="clear" w:color="auto" w:fill="auto"/>
            <w:vAlign w:val="center"/>
          </w:tcPr>
          <w:p w14:paraId="2E1AA590" w14:textId="454911CC" w:rsidR="001D0D83" w:rsidRPr="008D51BE" w:rsidRDefault="001D0D83" w:rsidP="001D0D83">
            <w:pPr>
              <w:keepNext/>
              <w:suppressAutoHyphens w:val="0"/>
              <w:spacing w:line="240" w:lineRule="auto"/>
              <w:jc w:val="right"/>
              <w:rPr>
                <w:rFonts w:eastAsia="Times New Roman"/>
                <w:color w:val="000000"/>
                <w:spacing w:val="0"/>
                <w:w w:val="100"/>
                <w:kern w:val="0"/>
                <w:sz w:val="16"/>
                <w:szCs w:val="16"/>
              </w:rPr>
            </w:pPr>
            <w:r w:rsidRPr="008D51BE">
              <w:rPr>
                <w:rFonts w:eastAsia="Times New Roman"/>
                <w:color w:val="000000"/>
                <w:spacing w:val="0"/>
                <w:w w:val="100"/>
                <w:kern w:val="0"/>
                <w:sz w:val="16"/>
                <w:szCs w:val="16"/>
              </w:rPr>
              <w:t>2,057</w:t>
            </w:r>
          </w:p>
        </w:tc>
        <w:tc>
          <w:tcPr>
            <w:tcW w:w="868" w:type="dxa"/>
            <w:shd w:val="clear" w:color="auto" w:fill="auto"/>
            <w:noWrap/>
            <w:vAlign w:val="center"/>
          </w:tcPr>
          <w:p w14:paraId="77DCEBD5" w14:textId="67D2CAFF" w:rsidR="001D0D83" w:rsidRPr="008D51BE" w:rsidRDefault="005A5A1C" w:rsidP="001D0D83">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128</w:t>
            </w:r>
          </w:p>
        </w:tc>
        <w:tc>
          <w:tcPr>
            <w:tcW w:w="878" w:type="dxa"/>
            <w:shd w:val="clear" w:color="auto" w:fill="auto"/>
            <w:noWrap/>
            <w:vAlign w:val="center"/>
          </w:tcPr>
          <w:p w14:paraId="71504316" w14:textId="546A0101" w:rsidR="001D0D83" w:rsidRPr="008D51BE" w:rsidRDefault="005A5A1C" w:rsidP="001D0D83">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6</w:t>
            </w:r>
            <w:r w:rsidR="00547F9E" w:rsidRPr="008D51BE">
              <w:rPr>
                <w:rFonts w:eastAsia="Times New Roman"/>
                <w:color w:val="000000"/>
                <w:spacing w:val="0"/>
                <w:w w:val="100"/>
                <w:kern w:val="0"/>
                <w:sz w:val="16"/>
                <w:szCs w:val="16"/>
              </w:rPr>
              <w:t>%</w:t>
            </w:r>
          </w:p>
        </w:tc>
      </w:tr>
      <w:tr w:rsidR="001D0D83" w:rsidRPr="000E57AE" w14:paraId="0565BD62" w14:textId="77777777" w:rsidTr="000F1AB0">
        <w:trPr>
          <w:trHeight w:val="228"/>
        </w:trPr>
        <w:tc>
          <w:tcPr>
            <w:tcW w:w="1996" w:type="dxa"/>
            <w:shd w:val="clear" w:color="auto" w:fill="auto"/>
            <w:noWrap/>
            <w:vAlign w:val="center"/>
          </w:tcPr>
          <w:p w14:paraId="0F9B9FBF" w14:textId="234BE797" w:rsidR="001D0D83" w:rsidRPr="004B5ABC" w:rsidRDefault="001D0D83" w:rsidP="001D0D83">
            <w:pPr>
              <w:keepNext/>
              <w:suppressAutoHyphens w:val="0"/>
              <w:spacing w:line="240" w:lineRule="auto"/>
              <w:rPr>
                <w:rFonts w:eastAsia="Times New Roman"/>
                <w:b/>
                <w:bCs/>
                <w:color w:val="000000"/>
                <w:spacing w:val="0"/>
                <w:w w:val="100"/>
                <w:kern w:val="0"/>
                <w:sz w:val="16"/>
                <w:szCs w:val="16"/>
              </w:rPr>
            </w:pPr>
            <w:r w:rsidRPr="004B5ABC">
              <w:rPr>
                <w:rFonts w:eastAsia="Times New Roman"/>
                <w:b/>
                <w:bCs/>
                <w:color w:val="000000"/>
                <w:spacing w:val="0"/>
                <w:w w:val="100"/>
                <w:kern w:val="0"/>
                <w:sz w:val="16"/>
                <w:szCs w:val="16"/>
              </w:rPr>
              <w:t>Programme Country Governments</w:t>
            </w:r>
          </w:p>
        </w:tc>
        <w:tc>
          <w:tcPr>
            <w:tcW w:w="884" w:type="dxa"/>
            <w:shd w:val="clear" w:color="auto" w:fill="auto"/>
            <w:noWrap/>
            <w:vAlign w:val="center"/>
          </w:tcPr>
          <w:p w14:paraId="604C0DFE" w14:textId="3DC7DC1C" w:rsidR="001D0D83" w:rsidRPr="008D51BE" w:rsidRDefault="00C12AC2" w:rsidP="001D0D83">
            <w:pPr>
              <w:keepNext/>
              <w:suppressAutoHyphens w:val="0"/>
              <w:spacing w:line="240" w:lineRule="auto"/>
              <w:jc w:val="right"/>
              <w:rPr>
                <w:rFonts w:eastAsia="Times New Roman"/>
                <w:color w:val="000000"/>
                <w:spacing w:val="0"/>
                <w:w w:val="100"/>
                <w:kern w:val="0"/>
                <w:sz w:val="16"/>
                <w:szCs w:val="16"/>
              </w:rPr>
            </w:pPr>
            <w:r w:rsidRPr="008D51BE">
              <w:rPr>
                <w:rFonts w:eastAsia="Times New Roman"/>
                <w:color w:val="000000"/>
                <w:spacing w:val="0"/>
                <w:w w:val="100"/>
                <w:kern w:val="0"/>
                <w:sz w:val="16"/>
                <w:szCs w:val="16"/>
              </w:rPr>
              <w:t>2</w:t>
            </w:r>
            <w:r w:rsidR="005A5A1C">
              <w:rPr>
                <w:rFonts w:eastAsia="Times New Roman"/>
                <w:color w:val="000000"/>
                <w:spacing w:val="0"/>
                <w:w w:val="100"/>
                <w:kern w:val="0"/>
                <w:sz w:val="16"/>
                <w:szCs w:val="16"/>
              </w:rPr>
              <w:t>3</w:t>
            </w:r>
          </w:p>
        </w:tc>
        <w:tc>
          <w:tcPr>
            <w:tcW w:w="910" w:type="dxa"/>
            <w:shd w:val="clear" w:color="auto" w:fill="auto"/>
            <w:vAlign w:val="center"/>
          </w:tcPr>
          <w:p w14:paraId="1947296D" w14:textId="7020B813" w:rsidR="001D0D83" w:rsidRPr="008D51BE" w:rsidRDefault="00C12AC2" w:rsidP="001D0D83">
            <w:pPr>
              <w:keepNext/>
              <w:suppressAutoHyphens w:val="0"/>
              <w:spacing w:line="240" w:lineRule="auto"/>
              <w:jc w:val="right"/>
              <w:rPr>
                <w:rFonts w:eastAsia="Times New Roman"/>
                <w:color w:val="000000"/>
                <w:spacing w:val="0"/>
                <w:w w:val="100"/>
                <w:kern w:val="0"/>
                <w:sz w:val="16"/>
                <w:szCs w:val="16"/>
              </w:rPr>
            </w:pPr>
            <w:r w:rsidRPr="008D51BE">
              <w:rPr>
                <w:rFonts w:eastAsia="Times New Roman"/>
                <w:color w:val="000000"/>
                <w:spacing w:val="0"/>
                <w:w w:val="100"/>
                <w:kern w:val="0"/>
                <w:sz w:val="16"/>
                <w:szCs w:val="16"/>
              </w:rPr>
              <w:t>1,198</w:t>
            </w:r>
          </w:p>
        </w:tc>
        <w:tc>
          <w:tcPr>
            <w:tcW w:w="898" w:type="dxa"/>
            <w:shd w:val="clear" w:color="auto" w:fill="auto"/>
            <w:vAlign w:val="center"/>
          </w:tcPr>
          <w:p w14:paraId="02AC16D1" w14:textId="3566C109" w:rsidR="001D0D83" w:rsidRPr="008D51BE" w:rsidRDefault="00C12AC2" w:rsidP="001D0D83">
            <w:pPr>
              <w:keepNext/>
              <w:suppressAutoHyphens w:val="0"/>
              <w:spacing w:line="240" w:lineRule="auto"/>
              <w:jc w:val="right"/>
              <w:rPr>
                <w:rFonts w:eastAsia="Times New Roman"/>
                <w:color w:val="000000"/>
                <w:spacing w:val="0"/>
                <w:w w:val="100"/>
                <w:kern w:val="0"/>
                <w:sz w:val="16"/>
                <w:szCs w:val="16"/>
              </w:rPr>
            </w:pPr>
            <w:r w:rsidRPr="008D51BE">
              <w:rPr>
                <w:rFonts w:eastAsia="Times New Roman"/>
                <w:color w:val="000000"/>
                <w:spacing w:val="0"/>
                <w:w w:val="100"/>
                <w:kern w:val="0"/>
                <w:sz w:val="16"/>
                <w:szCs w:val="16"/>
              </w:rPr>
              <w:t>1,22</w:t>
            </w:r>
            <w:r w:rsidR="005A5A1C">
              <w:rPr>
                <w:rFonts w:eastAsia="Times New Roman"/>
                <w:color w:val="000000"/>
                <w:spacing w:val="0"/>
                <w:w w:val="100"/>
                <w:kern w:val="0"/>
                <w:sz w:val="16"/>
                <w:szCs w:val="16"/>
              </w:rPr>
              <w:t>1</w:t>
            </w:r>
          </w:p>
        </w:tc>
        <w:tc>
          <w:tcPr>
            <w:tcW w:w="897" w:type="dxa"/>
            <w:shd w:val="clear" w:color="auto" w:fill="auto"/>
            <w:noWrap/>
            <w:vAlign w:val="center"/>
          </w:tcPr>
          <w:p w14:paraId="60C1BE89" w14:textId="717702F3" w:rsidR="001D0D83" w:rsidRPr="008D51BE" w:rsidRDefault="001D0D83" w:rsidP="001D0D83">
            <w:pPr>
              <w:keepNext/>
              <w:suppressAutoHyphens w:val="0"/>
              <w:spacing w:line="240" w:lineRule="auto"/>
              <w:jc w:val="right"/>
              <w:rPr>
                <w:rFonts w:eastAsia="Times New Roman"/>
                <w:color w:val="000000"/>
                <w:spacing w:val="0"/>
                <w:w w:val="100"/>
                <w:kern w:val="0"/>
                <w:sz w:val="16"/>
                <w:szCs w:val="16"/>
              </w:rPr>
            </w:pPr>
            <w:r w:rsidRPr="008D51BE">
              <w:rPr>
                <w:rFonts w:eastAsia="Times New Roman"/>
                <w:color w:val="000000"/>
                <w:spacing w:val="0"/>
                <w:w w:val="100"/>
                <w:kern w:val="0"/>
                <w:sz w:val="16"/>
                <w:szCs w:val="16"/>
              </w:rPr>
              <w:t>22</w:t>
            </w:r>
          </w:p>
        </w:tc>
        <w:tc>
          <w:tcPr>
            <w:tcW w:w="897" w:type="dxa"/>
            <w:shd w:val="clear" w:color="auto" w:fill="auto"/>
            <w:vAlign w:val="center"/>
          </w:tcPr>
          <w:p w14:paraId="7A22D3F1" w14:textId="3F8EB8E7" w:rsidR="001D0D83" w:rsidRPr="008D51BE" w:rsidRDefault="001D0D83" w:rsidP="001D0D83">
            <w:pPr>
              <w:keepNext/>
              <w:suppressAutoHyphens w:val="0"/>
              <w:spacing w:line="240" w:lineRule="auto"/>
              <w:jc w:val="right"/>
              <w:rPr>
                <w:rFonts w:eastAsia="Times New Roman"/>
                <w:color w:val="000000"/>
                <w:spacing w:val="0"/>
                <w:w w:val="100"/>
                <w:kern w:val="0"/>
                <w:sz w:val="16"/>
                <w:szCs w:val="16"/>
              </w:rPr>
            </w:pPr>
            <w:r w:rsidRPr="008D51BE">
              <w:rPr>
                <w:rFonts w:eastAsia="Times New Roman"/>
                <w:color w:val="000000"/>
                <w:spacing w:val="0"/>
                <w:w w:val="100"/>
                <w:kern w:val="0"/>
                <w:sz w:val="16"/>
                <w:szCs w:val="16"/>
              </w:rPr>
              <w:t>845</w:t>
            </w:r>
          </w:p>
        </w:tc>
        <w:tc>
          <w:tcPr>
            <w:tcW w:w="898" w:type="dxa"/>
            <w:shd w:val="clear" w:color="auto" w:fill="auto"/>
            <w:vAlign w:val="center"/>
          </w:tcPr>
          <w:p w14:paraId="740650F6" w14:textId="10E4FA96" w:rsidR="001D0D83" w:rsidRPr="008D51BE" w:rsidRDefault="001D0D83" w:rsidP="001D0D83">
            <w:pPr>
              <w:keepNext/>
              <w:suppressAutoHyphens w:val="0"/>
              <w:spacing w:line="240" w:lineRule="auto"/>
              <w:jc w:val="right"/>
              <w:rPr>
                <w:rFonts w:eastAsia="Times New Roman"/>
                <w:color w:val="000000"/>
                <w:spacing w:val="0"/>
                <w:w w:val="100"/>
                <w:kern w:val="0"/>
                <w:sz w:val="16"/>
                <w:szCs w:val="16"/>
              </w:rPr>
            </w:pPr>
            <w:r w:rsidRPr="008D51BE">
              <w:rPr>
                <w:rFonts w:eastAsia="Times New Roman"/>
                <w:color w:val="000000"/>
                <w:spacing w:val="0"/>
                <w:w w:val="100"/>
                <w:kern w:val="0"/>
                <w:sz w:val="16"/>
                <w:szCs w:val="16"/>
              </w:rPr>
              <w:t>867</w:t>
            </w:r>
          </w:p>
        </w:tc>
        <w:tc>
          <w:tcPr>
            <w:tcW w:w="868" w:type="dxa"/>
            <w:shd w:val="clear" w:color="auto" w:fill="auto"/>
            <w:noWrap/>
            <w:vAlign w:val="center"/>
          </w:tcPr>
          <w:p w14:paraId="03B771E1" w14:textId="1278D1DE" w:rsidR="001D0D83" w:rsidRPr="008D51BE" w:rsidRDefault="00C12AC2" w:rsidP="001D0D83">
            <w:pPr>
              <w:keepNext/>
              <w:suppressAutoHyphens w:val="0"/>
              <w:spacing w:line="240" w:lineRule="auto"/>
              <w:jc w:val="right"/>
              <w:rPr>
                <w:rFonts w:eastAsia="Times New Roman"/>
                <w:color w:val="000000"/>
                <w:spacing w:val="0"/>
                <w:w w:val="100"/>
                <w:kern w:val="0"/>
                <w:sz w:val="16"/>
                <w:szCs w:val="16"/>
              </w:rPr>
            </w:pPr>
            <w:r w:rsidRPr="008D51BE">
              <w:rPr>
                <w:rFonts w:eastAsia="Times New Roman"/>
                <w:color w:val="000000"/>
                <w:spacing w:val="0"/>
                <w:w w:val="100"/>
                <w:kern w:val="0"/>
                <w:sz w:val="16"/>
                <w:szCs w:val="16"/>
              </w:rPr>
              <w:t>35</w:t>
            </w:r>
            <w:r w:rsidR="005A5A1C">
              <w:rPr>
                <w:rFonts w:eastAsia="Times New Roman"/>
                <w:color w:val="000000"/>
                <w:spacing w:val="0"/>
                <w:w w:val="100"/>
                <w:kern w:val="0"/>
                <w:sz w:val="16"/>
                <w:szCs w:val="16"/>
              </w:rPr>
              <w:t>4</w:t>
            </w:r>
          </w:p>
        </w:tc>
        <w:tc>
          <w:tcPr>
            <w:tcW w:w="878" w:type="dxa"/>
            <w:shd w:val="clear" w:color="auto" w:fill="auto"/>
            <w:noWrap/>
            <w:vAlign w:val="center"/>
          </w:tcPr>
          <w:p w14:paraId="2F986BA1" w14:textId="5FC4CCE5" w:rsidR="001D0D83" w:rsidRPr="008D51BE" w:rsidRDefault="00547F9E" w:rsidP="001D0D83">
            <w:pPr>
              <w:keepNext/>
              <w:suppressAutoHyphens w:val="0"/>
              <w:spacing w:line="240" w:lineRule="auto"/>
              <w:jc w:val="right"/>
              <w:rPr>
                <w:rFonts w:eastAsia="Times New Roman"/>
                <w:color w:val="000000"/>
                <w:spacing w:val="0"/>
                <w:w w:val="100"/>
                <w:kern w:val="0"/>
                <w:sz w:val="16"/>
                <w:szCs w:val="16"/>
              </w:rPr>
            </w:pPr>
            <w:r w:rsidRPr="008D51BE">
              <w:rPr>
                <w:rFonts w:eastAsia="Times New Roman"/>
                <w:color w:val="000000"/>
                <w:spacing w:val="0"/>
                <w:w w:val="100"/>
                <w:kern w:val="0"/>
                <w:sz w:val="16"/>
                <w:szCs w:val="16"/>
              </w:rPr>
              <w:t>41%</w:t>
            </w:r>
          </w:p>
        </w:tc>
      </w:tr>
      <w:tr w:rsidR="001D0D83" w:rsidRPr="000E57AE" w14:paraId="76C187D5" w14:textId="77777777" w:rsidTr="005A5A1C">
        <w:trPr>
          <w:trHeight w:val="350"/>
        </w:trPr>
        <w:tc>
          <w:tcPr>
            <w:tcW w:w="1996" w:type="dxa"/>
            <w:shd w:val="clear" w:color="auto" w:fill="auto"/>
            <w:noWrap/>
            <w:vAlign w:val="center"/>
          </w:tcPr>
          <w:p w14:paraId="2B1F0D6D" w14:textId="16A93EB4" w:rsidR="001D0D83" w:rsidRPr="004B5ABC" w:rsidRDefault="001D0D83" w:rsidP="001D0D83">
            <w:pPr>
              <w:keepNext/>
              <w:suppressAutoHyphens w:val="0"/>
              <w:spacing w:line="240" w:lineRule="auto"/>
              <w:rPr>
                <w:rFonts w:eastAsia="Times New Roman"/>
                <w:b/>
                <w:bCs/>
                <w:color w:val="000000"/>
                <w:spacing w:val="0"/>
                <w:w w:val="100"/>
                <w:kern w:val="0"/>
                <w:sz w:val="16"/>
                <w:szCs w:val="16"/>
              </w:rPr>
            </w:pPr>
            <w:r w:rsidRPr="004B5ABC">
              <w:rPr>
                <w:rFonts w:eastAsia="Times New Roman"/>
                <w:b/>
                <w:bCs/>
                <w:color w:val="000000"/>
                <w:spacing w:val="0"/>
                <w:w w:val="100"/>
                <w:kern w:val="0"/>
                <w:sz w:val="16"/>
                <w:szCs w:val="16"/>
              </w:rPr>
              <w:t>Multilateral Partners</w:t>
            </w:r>
          </w:p>
        </w:tc>
        <w:tc>
          <w:tcPr>
            <w:tcW w:w="884" w:type="dxa"/>
            <w:shd w:val="clear" w:color="auto" w:fill="auto"/>
            <w:noWrap/>
            <w:vAlign w:val="center"/>
          </w:tcPr>
          <w:p w14:paraId="6152EA9C" w14:textId="2F05CE6D" w:rsidR="001D0D83" w:rsidRPr="008D51BE" w:rsidRDefault="005A5A1C" w:rsidP="001D0D83">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w:t>
            </w:r>
          </w:p>
        </w:tc>
        <w:tc>
          <w:tcPr>
            <w:tcW w:w="910" w:type="dxa"/>
            <w:shd w:val="clear" w:color="auto" w:fill="auto"/>
            <w:vAlign w:val="center"/>
          </w:tcPr>
          <w:p w14:paraId="36C86F81" w14:textId="726F99D6" w:rsidR="001D0D83" w:rsidRPr="008D51BE" w:rsidRDefault="00C12AC2" w:rsidP="001D0D83">
            <w:pPr>
              <w:keepNext/>
              <w:suppressAutoHyphens w:val="0"/>
              <w:spacing w:line="240" w:lineRule="auto"/>
              <w:jc w:val="right"/>
              <w:rPr>
                <w:rFonts w:eastAsia="Times New Roman"/>
                <w:color w:val="000000"/>
                <w:spacing w:val="0"/>
                <w:w w:val="100"/>
                <w:kern w:val="0"/>
                <w:sz w:val="16"/>
                <w:szCs w:val="16"/>
              </w:rPr>
            </w:pPr>
            <w:r w:rsidRPr="008D51BE">
              <w:rPr>
                <w:rFonts w:eastAsia="Times New Roman"/>
                <w:color w:val="000000"/>
                <w:spacing w:val="0"/>
                <w:w w:val="100"/>
                <w:kern w:val="0"/>
                <w:sz w:val="16"/>
                <w:szCs w:val="16"/>
              </w:rPr>
              <w:t>2,1</w:t>
            </w:r>
            <w:r w:rsidR="005A5A1C">
              <w:rPr>
                <w:rFonts w:eastAsia="Times New Roman"/>
                <w:color w:val="000000"/>
                <w:spacing w:val="0"/>
                <w:w w:val="100"/>
                <w:kern w:val="0"/>
                <w:sz w:val="16"/>
                <w:szCs w:val="16"/>
              </w:rPr>
              <w:t>57</w:t>
            </w:r>
          </w:p>
        </w:tc>
        <w:tc>
          <w:tcPr>
            <w:tcW w:w="898" w:type="dxa"/>
            <w:shd w:val="clear" w:color="auto" w:fill="auto"/>
            <w:vAlign w:val="center"/>
          </w:tcPr>
          <w:p w14:paraId="3B721C8A" w14:textId="4D843E73" w:rsidR="001D0D83" w:rsidRPr="008D51BE" w:rsidRDefault="00C12AC2" w:rsidP="001D0D83">
            <w:pPr>
              <w:keepNext/>
              <w:suppressAutoHyphens w:val="0"/>
              <w:spacing w:line="240" w:lineRule="auto"/>
              <w:jc w:val="right"/>
              <w:rPr>
                <w:rFonts w:eastAsia="Times New Roman"/>
                <w:color w:val="000000"/>
                <w:spacing w:val="0"/>
                <w:w w:val="100"/>
                <w:kern w:val="0"/>
                <w:sz w:val="16"/>
                <w:szCs w:val="16"/>
              </w:rPr>
            </w:pPr>
            <w:r w:rsidRPr="008D51BE">
              <w:rPr>
                <w:rFonts w:eastAsia="Times New Roman"/>
                <w:color w:val="000000"/>
                <w:spacing w:val="0"/>
                <w:w w:val="100"/>
                <w:kern w:val="0"/>
                <w:sz w:val="16"/>
                <w:szCs w:val="16"/>
              </w:rPr>
              <w:t>2,</w:t>
            </w:r>
            <w:r w:rsidR="005A5A1C">
              <w:rPr>
                <w:rFonts w:eastAsia="Times New Roman"/>
                <w:color w:val="000000"/>
                <w:spacing w:val="0"/>
                <w:w w:val="100"/>
                <w:kern w:val="0"/>
                <w:sz w:val="16"/>
                <w:szCs w:val="16"/>
              </w:rPr>
              <w:t>157</w:t>
            </w:r>
          </w:p>
        </w:tc>
        <w:tc>
          <w:tcPr>
            <w:tcW w:w="897" w:type="dxa"/>
            <w:shd w:val="clear" w:color="auto" w:fill="auto"/>
            <w:noWrap/>
            <w:vAlign w:val="center"/>
          </w:tcPr>
          <w:p w14:paraId="44FF3E9C" w14:textId="086E82D6" w:rsidR="001D0D83" w:rsidRPr="008D51BE" w:rsidRDefault="001D0D83" w:rsidP="001D0D83">
            <w:pPr>
              <w:keepNext/>
              <w:suppressAutoHyphens w:val="0"/>
              <w:spacing w:line="240" w:lineRule="auto"/>
              <w:jc w:val="right"/>
              <w:rPr>
                <w:rFonts w:eastAsia="Times New Roman"/>
                <w:color w:val="000000"/>
                <w:spacing w:val="0"/>
                <w:w w:val="100"/>
                <w:kern w:val="0"/>
                <w:sz w:val="16"/>
                <w:szCs w:val="16"/>
              </w:rPr>
            </w:pPr>
            <w:r w:rsidRPr="008D51BE">
              <w:rPr>
                <w:rFonts w:eastAsia="Times New Roman"/>
                <w:color w:val="000000"/>
                <w:spacing w:val="0"/>
                <w:w w:val="100"/>
                <w:kern w:val="0"/>
                <w:sz w:val="16"/>
                <w:szCs w:val="16"/>
              </w:rPr>
              <w:t>-</w:t>
            </w:r>
          </w:p>
        </w:tc>
        <w:tc>
          <w:tcPr>
            <w:tcW w:w="897" w:type="dxa"/>
            <w:shd w:val="clear" w:color="auto" w:fill="auto"/>
            <w:vAlign w:val="center"/>
          </w:tcPr>
          <w:p w14:paraId="3CABC3A4" w14:textId="5118A73E" w:rsidR="001D0D83" w:rsidRPr="008D51BE" w:rsidRDefault="001D0D83" w:rsidP="001D0D83">
            <w:pPr>
              <w:keepNext/>
              <w:suppressAutoHyphens w:val="0"/>
              <w:spacing w:line="240" w:lineRule="auto"/>
              <w:jc w:val="right"/>
              <w:rPr>
                <w:rFonts w:eastAsia="Times New Roman"/>
                <w:color w:val="000000"/>
                <w:spacing w:val="0"/>
                <w:w w:val="100"/>
                <w:kern w:val="0"/>
                <w:sz w:val="16"/>
                <w:szCs w:val="16"/>
              </w:rPr>
            </w:pPr>
            <w:r w:rsidRPr="008D51BE">
              <w:rPr>
                <w:rFonts w:eastAsia="Times New Roman"/>
                <w:color w:val="000000"/>
                <w:spacing w:val="0"/>
                <w:w w:val="100"/>
                <w:kern w:val="0"/>
                <w:sz w:val="16"/>
                <w:szCs w:val="16"/>
              </w:rPr>
              <w:t>1,872</w:t>
            </w:r>
          </w:p>
        </w:tc>
        <w:tc>
          <w:tcPr>
            <w:tcW w:w="898" w:type="dxa"/>
            <w:shd w:val="clear" w:color="auto" w:fill="auto"/>
            <w:vAlign w:val="center"/>
          </w:tcPr>
          <w:p w14:paraId="0BE20F11" w14:textId="33048164" w:rsidR="001D0D83" w:rsidRPr="008D51BE" w:rsidRDefault="001D0D83" w:rsidP="001D0D83">
            <w:pPr>
              <w:keepNext/>
              <w:suppressAutoHyphens w:val="0"/>
              <w:spacing w:line="240" w:lineRule="auto"/>
              <w:jc w:val="right"/>
              <w:rPr>
                <w:rFonts w:eastAsia="Times New Roman"/>
                <w:color w:val="000000"/>
                <w:spacing w:val="0"/>
                <w:w w:val="100"/>
                <w:kern w:val="0"/>
                <w:sz w:val="16"/>
                <w:szCs w:val="16"/>
              </w:rPr>
            </w:pPr>
            <w:r w:rsidRPr="008D51BE">
              <w:rPr>
                <w:rFonts w:eastAsia="Times New Roman"/>
                <w:color w:val="000000"/>
                <w:spacing w:val="0"/>
                <w:w w:val="100"/>
                <w:kern w:val="0"/>
                <w:sz w:val="16"/>
                <w:szCs w:val="16"/>
              </w:rPr>
              <w:t>1,872</w:t>
            </w:r>
          </w:p>
        </w:tc>
        <w:tc>
          <w:tcPr>
            <w:tcW w:w="868" w:type="dxa"/>
            <w:shd w:val="clear" w:color="auto" w:fill="auto"/>
            <w:noWrap/>
            <w:vAlign w:val="center"/>
          </w:tcPr>
          <w:p w14:paraId="0F11BBA5" w14:textId="71EEFB3B" w:rsidR="001D0D83" w:rsidRPr="008D51BE" w:rsidRDefault="005A5A1C" w:rsidP="001D0D83">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285</w:t>
            </w:r>
          </w:p>
        </w:tc>
        <w:tc>
          <w:tcPr>
            <w:tcW w:w="878" w:type="dxa"/>
            <w:shd w:val="clear" w:color="auto" w:fill="auto"/>
            <w:noWrap/>
            <w:vAlign w:val="center"/>
          </w:tcPr>
          <w:p w14:paraId="36585BAB" w14:textId="276352F1" w:rsidR="001D0D83" w:rsidRPr="008D51BE" w:rsidRDefault="00547F9E" w:rsidP="001D0D83">
            <w:pPr>
              <w:keepNext/>
              <w:suppressAutoHyphens w:val="0"/>
              <w:spacing w:line="240" w:lineRule="auto"/>
              <w:jc w:val="right"/>
              <w:rPr>
                <w:rFonts w:eastAsia="Times New Roman"/>
                <w:color w:val="000000"/>
                <w:spacing w:val="0"/>
                <w:w w:val="100"/>
                <w:kern w:val="0"/>
                <w:sz w:val="16"/>
                <w:szCs w:val="16"/>
              </w:rPr>
            </w:pPr>
            <w:r w:rsidRPr="008D51BE">
              <w:rPr>
                <w:rFonts w:eastAsia="Times New Roman"/>
                <w:color w:val="000000"/>
                <w:spacing w:val="0"/>
                <w:w w:val="100"/>
                <w:kern w:val="0"/>
                <w:sz w:val="16"/>
                <w:szCs w:val="16"/>
              </w:rPr>
              <w:t>1</w:t>
            </w:r>
            <w:r w:rsidR="005A5A1C">
              <w:rPr>
                <w:rFonts w:eastAsia="Times New Roman"/>
                <w:color w:val="000000"/>
                <w:spacing w:val="0"/>
                <w:w w:val="100"/>
                <w:kern w:val="0"/>
                <w:sz w:val="16"/>
                <w:szCs w:val="16"/>
              </w:rPr>
              <w:t>5</w:t>
            </w:r>
            <w:r w:rsidRPr="008D51BE">
              <w:rPr>
                <w:rFonts w:eastAsia="Times New Roman"/>
                <w:color w:val="000000"/>
                <w:spacing w:val="0"/>
                <w:w w:val="100"/>
                <w:kern w:val="0"/>
                <w:sz w:val="16"/>
                <w:szCs w:val="16"/>
              </w:rPr>
              <w:t>%</w:t>
            </w:r>
          </w:p>
        </w:tc>
      </w:tr>
      <w:tr w:rsidR="001D0D83" w:rsidRPr="000E57AE" w14:paraId="75CB9769" w14:textId="77777777" w:rsidTr="00CD5A05">
        <w:trPr>
          <w:trHeight w:val="386"/>
        </w:trPr>
        <w:tc>
          <w:tcPr>
            <w:tcW w:w="1996" w:type="dxa"/>
            <w:shd w:val="clear" w:color="auto" w:fill="auto"/>
            <w:noWrap/>
            <w:vAlign w:val="center"/>
          </w:tcPr>
          <w:p w14:paraId="7984F8FA" w14:textId="254075E7" w:rsidR="001D0D83" w:rsidRPr="004B5ABC" w:rsidRDefault="001D0D83" w:rsidP="001D0D83">
            <w:pPr>
              <w:keepNext/>
              <w:suppressAutoHyphens w:val="0"/>
              <w:spacing w:line="240" w:lineRule="auto"/>
              <w:rPr>
                <w:rFonts w:eastAsia="Times New Roman"/>
                <w:b/>
                <w:bCs/>
                <w:color w:val="000000"/>
                <w:spacing w:val="0"/>
                <w:w w:val="100"/>
                <w:kern w:val="0"/>
                <w:sz w:val="16"/>
                <w:szCs w:val="16"/>
              </w:rPr>
            </w:pPr>
            <w:r w:rsidRPr="004B5ABC">
              <w:rPr>
                <w:rFonts w:eastAsia="Times New Roman"/>
                <w:b/>
                <w:bCs/>
                <w:color w:val="000000"/>
                <w:spacing w:val="0"/>
                <w:w w:val="100"/>
                <w:kern w:val="0"/>
                <w:sz w:val="16"/>
                <w:szCs w:val="16"/>
              </w:rPr>
              <w:t>Total</w:t>
            </w:r>
          </w:p>
        </w:tc>
        <w:tc>
          <w:tcPr>
            <w:tcW w:w="884" w:type="dxa"/>
            <w:shd w:val="clear" w:color="auto" w:fill="auto"/>
            <w:noWrap/>
            <w:vAlign w:val="center"/>
          </w:tcPr>
          <w:p w14:paraId="7D507FBC" w14:textId="15B1F623" w:rsidR="001D0D83" w:rsidRPr="008D51BE" w:rsidRDefault="00C12AC2" w:rsidP="001D0D83">
            <w:pPr>
              <w:keepNext/>
              <w:suppressAutoHyphens w:val="0"/>
              <w:spacing w:line="240" w:lineRule="auto"/>
              <w:jc w:val="right"/>
              <w:rPr>
                <w:rFonts w:eastAsia="Times New Roman"/>
                <w:color w:val="000000"/>
                <w:spacing w:val="0"/>
                <w:w w:val="100"/>
                <w:kern w:val="0"/>
                <w:sz w:val="16"/>
                <w:szCs w:val="16"/>
              </w:rPr>
            </w:pPr>
            <w:r w:rsidRPr="008D51BE">
              <w:rPr>
                <w:rFonts w:eastAsia="Times New Roman"/>
                <w:color w:val="000000"/>
                <w:spacing w:val="0"/>
                <w:w w:val="100"/>
                <w:kern w:val="0"/>
                <w:sz w:val="16"/>
                <w:szCs w:val="16"/>
              </w:rPr>
              <w:t>696</w:t>
            </w:r>
          </w:p>
        </w:tc>
        <w:tc>
          <w:tcPr>
            <w:tcW w:w="910" w:type="dxa"/>
            <w:shd w:val="clear" w:color="auto" w:fill="auto"/>
            <w:vAlign w:val="center"/>
          </w:tcPr>
          <w:p w14:paraId="3721E5AA" w14:textId="564441FE" w:rsidR="001D0D83" w:rsidRPr="008D51BE" w:rsidRDefault="00C12AC2" w:rsidP="001D0D83">
            <w:pPr>
              <w:keepNext/>
              <w:suppressAutoHyphens w:val="0"/>
              <w:spacing w:line="240" w:lineRule="auto"/>
              <w:jc w:val="right"/>
              <w:rPr>
                <w:rFonts w:eastAsia="Times New Roman"/>
                <w:color w:val="000000"/>
                <w:spacing w:val="0"/>
                <w:w w:val="100"/>
                <w:kern w:val="0"/>
                <w:sz w:val="16"/>
                <w:szCs w:val="16"/>
              </w:rPr>
            </w:pPr>
            <w:r w:rsidRPr="008D51BE">
              <w:rPr>
                <w:rFonts w:eastAsia="Times New Roman"/>
                <w:color w:val="000000" w:themeColor="text1"/>
                <w:sz w:val="16"/>
                <w:szCs w:val="16"/>
              </w:rPr>
              <w:t>4,86</w:t>
            </w:r>
            <w:r w:rsidR="00CD5A05" w:rsidRPr="008D51BE">
              <w:rPr>
                <w:rFonts w:eastAsia="Times New Roman"/>
                <w:color w:val="000000" w:themeColor="text1"/>
                <w:sz w:val="16"/>
                <w:szCs w:val="16"/>
              </w:rPr>
              <w:t>7</w:t>
            </w:r>
          </w:p>
        </w:tc>
        <w:tc>
          <w:tcPr>
            <w:tcW w:w="898" w:type="dxa"/>
            <w:shd w:val="clear" w:color="auto" w:fill="auto"/>
            <w:vAlign w:val="center"/>
          </w:tcPr>
          <w:p w14:paraId="73B0DA22" w14:textId="73905EF3" w:rsidR="001D0D83" w:rsidRPr="008D51BE" w:rsidRDefault="00C12AC2" w:rsidP="001D0D83">
            <w:pPr>
              <w:keepNext/>
              <w:suppressAutoHyphens w:val="0"/>
              <w:spacing w:line="240" w:lineRule="auto"/>
              <w:jc w:val="right"/>
              <w:rPr>
                <w:rFonts w:eastAsia="Times New Roman"/>
                <w:color w:val="000000"/>
                <w:spacing w:val="0"/>
                <w:w w:val="100"/>
                <w:kern w:val="0"/>
                <w:sz w:val="16"/>
                <w:szCs w:val="16"/>
              </w:rPr>
            </w:pPr>
            <w:r w:rsidRPr="008D51BE">
              <w:rPr>
                <w:rFonts w:eastAsia="Times New Roman"/>
                <w:color w:val="000000"/>
                <w:spacing w:val="0"/>
                <w:w w:val="100"/>
                <w:kern w:val="0"/>
                <w:sz w:val="16"/>
                <w:szCs w:val="16"/>
              </w:rPr>
              <w:t>5,56</w:t>
            </w:r>
            <w:r w:rsidR="00CD5A05" w:rsidRPr="008D51BE">
              <w:rPr>
                <w:rFonts w:eastAsia="Times New Roman"/>
                <w:color w:val="000000"/>
                <w:spacing w:val="0"/>
                <w:w w:val="100"/>
                <w:kern w:val="0"/>
                <w:sz w:val="16"/>
                <w:szCs w:val="16"/>
              </w:rPr>
              <w:t>3</w:t>
            </w:r>
          </w:p>
        </w:tc>
        <w:tc>
          <w:tcPr>
            <w:tcW w:w="897" w:type="dxa"/>
            <w:shd w:val="clear" w:color="auto" w:fill="auto"/>
            <w:noWrap/>
            <w:vAlign w:val="center"/>
          </w:tcPr>
          <w:p w14:paraId="14414550" w14:textId="770AA4B6" w:rsidR="001D0D83" w:rsidRPr="008D51BE" w:rsidRDefault="001D0D83" w:rsidP="001D0D83">
            <w:pPr>
              <w:keepNext/>
              <w:suppressAutoHyphens w:val="0"/>
              <w:spacing w:line="240" w:lineRule="auto"/>
              <w:jc w:val="right"/>
              <w:rPr>
                <w:rFonts w:eastAsia="Times New Roman"/>
                <w:color w:val="000000"/>
                <w:spacing w:val="0"/>
                <w:w w:val="100"/>
                <w:kern w:val="0"/>
                <w:sz w:val="16"/>
                <w:szCs w:val="16"/>
              </w:rPr>
            </w:pPr>
            <w:r w:rsidRPr="008D51BE">
              <w:rPr>
                <w:rFonts w:eastAsia="Times New Roman"/>
                <w:color w:val="000000"/>
                <w:spacing w:val="0"/>
                <w:w w:val="100"/>
                <w:kern w:val="0"/>
                <w:sz w:val="16"/>
                <w:szCs w:val="16"/>
              </w:rPr>
              <w:t>616</w:t>
            </w:r>
          </w:p>
        </w:tc>
        <w:tc>
          <w:tcPr>
            <w:tcW w:w="897" w:type="dxa"/>
            <w:shd w:val="clear" w:color="auto" w:fill="auto"/>
            <w:vAlign w:val="center"/>
          </w:tcPr>
          <w:p w14:paraId="39788949" w14:textId="7D4CC8E1" w:rsidR="001D0D83" w:rsidRPr="008D51BE" w:rsidRDefault="001D0D83" w:rsidP="001D0D83">
            <w:pPr>
              <w:keepNext/>
              <w:suppressAutoHyphens w:val="0"/>
              <w:spacing w:line="240" w:lineRule="auto"/>
              <w:jc w:val="right"/>
              <w:rPr>
                <w:rFonts w:eastAsia="Times New Roman"/>
                <w:color w:val="000000"/>
                <w:spacing w:val="0"/>
                <w:w w:val="100"/>
                <w:kern w:val="0"/>
                <w:sz w:val="16"/>
                <w:szCs w:val="16"/>
              </w:rPr>
            </w:pPr>
            <w:r w:rsidRPr="008D51BE">
              <w:rPr>
                <w:rFonts w:eastAsia="Times New Roman"/>
                <w:color w:val="000000"/>
                <w:spacing w:val="0"/>
                <w:w w:val="100"/>
                <w:kern w:val="0"/>
                <w:sz w:val="16"/>
                <w:szCs w:val="16"/>
              </w:rPr>
              <w:t>4,180</w:t>
            </w:r>
          </w:p>
        </w:tc>
        <w:tc>
          <w:tcPr>
            <w:tcW w:w="898" w:type="dxa"/>
            <w:shd w:val="clear" w:color="auto" w:fill="auto"/>
            <w:vAlign w:val="center"/>
          </w:tcPr>
          <w:p w14:paraId="55E30BAA" w14:textId="31E5C214" w:rsidR="001D0D83" w:rsidRPr="008D51BE" w:rsidRDefault="001D0D83" w:rsidP="001D0D83">
            <w:pPr>
              <w:keepNext/>
              <w:suppressAutoHyphens w:val="0"/>
              <w:spacing w:line="240" w:lineRule="auto"/>
              <w:jc w:val="right"/>
              <w:rPr>
                <w:rFonts w:eastAsia="Times New Roman"/>
                <w:color w:val="000000"/>
                <w:spacing w:val="0"/>
                <w:w w:val="100"/>
                <w:kern w:val="0"/>
                <w:sz w:val="16"/>
                <w:szCs w:val="16"/>
              </w:rPr>
            </w:pPr>
            <w:r w:rsidRPr="008D51BE">
              <w:rPr>
                <w:rFonts w:eastAsia="Times New Roman"/>
                <w:color w:val="000000"/>
                <w:spacing w:val="0"/>
                <w:w w:val="100"/>
                <w:kern w:val="0"/>
                <w:sz w:val="16"/>
                <w:szCs w:val="16"/>
              </w:rPr>
              <w:t>4,796</w:t>
            </w:r>
          </w:p>
        </w:tc>
        <w:tc>
          <w:tcPr>
            <w:tcW w:w="868" w:type="dxa"/>
            <w:shd w:val="clear" w:color="auto" w:fill="auto"/>
            <w:noWrap/>
            <w:vAlign w:val="center"/>
          </w:tcPr>
          <w:p w14:paraId="270CC4D6" w14:textId="4D3DEF09" w:rsidR="001D0D83" w:rsidRPr="008D51BE" w:rsidRDefault="00C12AC2" w:rsidP="001D0D83">
            <w:pPr>
              <w:keepNext/>
              <w:suppressAutoHyphens w:val="0"/>
              <w:spacing w:line="240" w:lineRule="auto"/>
              <w:jc w:val="right"/>
              <w:rPr>
                <w:rFonts w:eastAsia="Times New Roman"/>
                <w:color w:val="000000"/>
                <w:spacing w:val="0"/>
                <w:w w:val="100"/>
                <w:kern w:val="0"/>
                <w:sz w:val="16"/>
                <w:szCs w:val="16"/>
              </w:rPr>
            </w:pPr>
            <w:r w:rsidRPr="008D51BE">
              <w:rPr>
                <w:rFonts w:eastAsia="Times New Roman"/>
                <w:color w:val="000000"/>
                <w:spacing w:val="0"/>
                <w:w w:val="100"/>
                <w:kern w:val="0"/>
                <w:sz w:val="16"/>
                <w:szCs w:val="16"/>
              </w:rPr>
              <w:t>76</w:t>
            </w:r>
            <w:r w:rsidR="00CD5A05" w:rsidRPr="008D51BE">
              <w:rPr>
                <w:rFonts w:eastAsia="Times New Roman"/>
                <w:color w:val="000000"/>
                <w:spacing w:val="0"/>
                <w:w w:val="100"/>
                <w:kern w:val="0"/>
                <w:sz w:val="16"/>
                <w:szCs w:val="16"/>
              </w:rPr>
              <w:t>7</w:t>
            </w:r>
          </w:p>
        </w:tc>
        <w:tc>
          <w:tcPr>
            <w:tcW w:w="878" w:type="dxa"/>
            <w:shd w:val="clear" w:color="auto" w:fill="auto"/>
            <w:noWrap/>
            <w:vAlign w:val="center"/>
          </w:tcPr>
          <w:p w14:paraId="2FE8171E" w14:textId="1C502FC4" w:rsidR="001D0D83" w:rsidRPr="008D51BE" w:rsidRDefault="00547F9E" w:rsidP="001D0D83">
            <w:pPr>
              <w:keepNext/>
              <w:suppressAutoHyphens w:val="0"/>
              <w:spacing w:line="240" w:lineRule="auto"/>
              <w:jc w:val="right"/>
              <w:rPr>
                <w:rFonts w:eastAsia="Times New Roman"/>
                <w:color w:val="000000"/>
                <w:spacing w:val="0"/>
                <w:w w:val="100"/>
                <w:kern w:val="0"/>
                <w:sz w:val="16"/>
                <w:szCs w:val="16"/>
              </w:rPr>
            </w:pPr>
            <w:r w:rsidRPr="008D51BE">
              <w:rPr>
                <w:rFonts w:eastAsia="Times New Roman"/>
                <w:color w:val="000000"/>
                <w:spacing w:val="0"/>
                <w:w w:val="100"/>
                <w:kern w:val="0"/>
                <w:sz w:val="16"/>
                <w:szCs w:val="16"/>
              </w:rPr>
              <w:t>16%</w:t>
            </w:r>
          </w:p>
        </w:tc>
      </w:tr>
    </w:tbl>
    <w:p w14:paraId="02F218CC" w14:textId="13AB2F2D" w:rsidR="00CA529F" w:rsidRPr="00C40704" w:rsidRDefault="00CA529F">
      <w:pPr>
        <w:suppressAutoHyphens w:val="0"/>
        <w:spacing w:line="240" w:lineRule="auto"/>
        <w:rPr>
          <w:b/>
          <w:lang w:val="en-US"/>
        </w:rPr>
      </w:pPr>
    </w:p>
    <w:p w14:paraId="3A0D85D2" w14:textId="796E37D6" w:rsidR="005C305F" w:rsidRDefault="005C305F" w:rsidP="0040364B">
      <w:pPr>
        <w:keepNext/>
        <w:tabs>
          <w:tab w:val="left" w:pos="1260"/>
          <w:tab w:val="left" w:pos="1530"/>
        </w:tabs>
        <w:suppressAutoHyphens w:val="0"/>
        <w:spacing w:line="240" w:lineRule="auto"/>
        <w:jc w:val="center"/>
        <w:rPr>
          <w:b/>
          <w:bCs/>
        </w:rPr>
      </w:pPr>
    </w:p>
    <w:p w14:paraId="3D573CA5" w14:textId="64D1660D" w:rsidR="00966D33" w:rsidRPr="00AB2688" w:rsidRDefault="003E2000" w:rsidP="0040364B">
      <w:pPr>
        <w:keepNext/>
        <w:tabs>
          <w:tab w:val="left" w:pos="1260"/>
          <w:tab w:val="left" w:pos="1530"/>
        </w:tabs>
        <w:suppressAutoHyphens w:val="0"/>
        <w:spacing w:line="240" w:lineRule="auto"/>
        <w:jc w:val="center"/>
        <w:rPr>
          <w:b/>
        </w:rPr>
      </w:pPr>
      <w:r w:rsidRPr="00D44D0C">
        <w:rPr>
          <w:b/>
          <w:bCs/>
        </w:rPr>
        <w:t xml:space="preserve">Figure </w:t>
      </w:r>
      <w:r w:rsidR="004D4DCC" w:rsidRPr="00D44D0C">
        <w:rPr>
          <w:b/>
          <w:bCs/>
        </w:rPr>
        <w:t>III</w:t>
      </w:r>
      <w:r w:rsidR="00442030" w:rsidRPr="00D44D0C">
        <w:rPr>
          <w:b/>
          <w:bCs/>
        </w:rPr>
        <w:t xml:space="preserve"> (</w:t>
      </w:r>
      <w:r w:rsidR="001703E6" w:rsidRPr="00D44D0C">
        <w:rPr>
          <w:b/>
          <w:bCs/>
        </w:rPr>
        <w:t>a</w:t>
      </w:r>
      <w:r w:rsidR="00442030" w:rsidRPr="00D44D0C">
        <w:rPr>
          <w:b/>
          <w:bCs/>
        </w:rPr>
        <w:t>)</w:t>
      </w:r>
      <w:r w:rsidRPr="00D44D0C">
        <w:rPr>
          <w:b/>
          <w:bCs/>
        </w:rPr>
        <w:t xml:space="preserve">. </w:t>
      </w:r>
      <w:r w:rsidR="00E63925" w:rsidRPr="00D44D0C">
        <w:rPr>
          <w:b/>
          <w:bCs/>
        </w:rPr>
        <w:t xml:space="preserve">Annual </w:t>
      </w:r>
      <w:r w:rsidR="009B3563" w:rsidRPr="00D44D0C">
        <w:rPr>
          <w:b/>
          <w:bCs/>
        </w:rPr>
        <w:t>c</w:t>
      </w:r>
      <w:r w:rsidRPr="00D44D0C">
        <w:rPr>
          <w:b/>
          <w:bCs/>
        </w:rPr>
        <w:t>ontributions by funding partners, 20</w:t>
      </w:r>
      <w:r w:rsidR="00547F9E" w:rsidRPr="00D44D0C">
        <w:rPr>
          <w:b/>
          <w:bCs/>
        </w:rPr>
        <w:t>20</w:t>
      </w:r>
    </w:p>
    <w:p w14:paraId="71EB135C" w14:textId="2AC67235" w:rsidR="006B0A3A" w:rsidRDefault="00192B63" w:rsidP="006B0A3A">
      <w:pPr>
        <w:keepNext/>
        <w:tabs>
          <w:tab w:val="left" w:pos="1260"/>
          <w:tab w:val="left" w:pos="1530"/>
        </w:tabs>
        <w:suppressAutoHyphens w:val="0"/>
        <w:spacing w:line="240" w:lineRule="auto"/>
        <w:jc w:val="center"/>
        <w:rPr>
          <w:i/>
        </w:rPr>
      </w:pPr>
      <w:r>
        <w:rPr>
          <w:noProof/>
        </w:rPr>
        <w:drawing>
          <wp:anchor distT="0" distB="0" distL="114300" distR="114300" simplePos="0" relativeHeight="251658253" behindDoc="1" locked="0" layoutInCell="1" allowOverlap="1" wp14:anchorId="12173C4F" wp14:editId="06EC12D6">
            <wp:simplePos x="0" y="0"/>
            <wp:positionH relativeFrom="margin">
              <wp:posOffset>323850</wp:posOffset>
            </wp:positionH>
            <wp:positionV relativeFrom="paragraph">
              <wp:posOffset>250825</wp:posOffset>
            </wp:positionV>
            <wp:extent cx="6000750" cy="2969895"/>
            <wp:effectExtent l="0" t="0" r="0" b="1905"/>
            <wp:wrapTight wrapText="bothSides">
              <wp:wrapPolygon edited="0">
                <wp:start x="0" y="0"/>
                <wp:lineTo x="0" y="21475"/>
                <wp:lineTo x="21531" y="21475"/>
                <wp:lineTo x="215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000750" cy="2969895"/>
                    </a:xfrm>
                    <a:prstGeom prst="rect">
                      <a:avLst/>
                    </a:prstGeom>
                  </pic:spPr>
                </pic:pic>
              </a:graphicData>
            </a:graphic>
            <wp14:sizeRelH relativeFrom="margin">
              <wp14:pctWidth>0</wp14:pctWidth>
            </wp14:sizeRelH>
            <wp14:sizeRelV relativeFrom="margin">
              <wp14:pctHeight>0</wp14:pctHeight>
            </wp14:sizeRelV>
          </wp:anchor>
        </w:drawing>
      </w:r>
      <w:r w:rsidR="006B0A3A" w:rsidRPr="00AB2688">
        <w:rPr>
          <w:i/>
        </w:rPr>
        <w:t>(in millions of United States dollars)</w:t>
      </w:r>
    </w:p>
    <w:p w14:paraId="78A3A2ED" w14:textId="36CB27E6" w:rsidR="00192B63" w:rsidRDefault="00192B63" w:rsidP="006B0A3A">
      <w:pPr>
        <w:keepNext/>
        <w:tabs>
          <w:tab w:val="left" w:pos="1260"/>
          <w:tab w:val="left" w:pos="1530"/>
        </w:tabs>
        <w:suppressAutoHyphens w:val="0"/>
        <w:spacing w:line="240" w:lineRule="auto"/>
        <w:jc w:val="center"/>
        <w:rPr>
          <w:i/>
        </w:rPr>
      </w:pPr>
    </w:p>
    <w:p w14:paraId="094A3AA1" w14:textId="16B1C105" w:rsidR="006A1825" w:rsidRPr="00B664C6" w:rsidRDefault="006A1825" w:rsidP="00C16895">
      <w:pPr>
        <w:pStyle w:val="H4"/>
        <w:keepLines w:val="0"/>
        <w:tabs>
          <w:tab w:val="clear" w:pos="1742"/>
          <w:tab w:val="left" w:pos="1440"/>
          <w:tab w:val="left" w:pos="1620"/>
        </w:tabs>
        <w:spacing w:before="240" w:after="240" w:line="240" w:lineRule="auto"/>
        <w:ind w:left="979" w:firstLine="0"/>
        <w:outlineLvl w:val="2"/>
      </w:pPr>
      <w:bookmarkStart w:id="253" w:name="_Toc46221132"/>
      <w:bookmarkStart w:id="254" w:name="_Toc46399197"/>
      <w:bookmarkStart w:id="255" w:name="_Toc75466834"/>
      <w:bookmarkStart w:id="256" w:name="_Toc39596242"/>
      <w:bookmarkStart w:id="257" w:name="_Toc40281191"/>
      <w:bookmarkStart w:id="258" w:name="_Toc40281350"/>
      <w:bookmarkStart w:id="259" w:name="_Toc44499877"/>
      <w:bookmarkStart w:id="260" w:name="_Toc44603225"/>
      <w:bookmarkStart w:id="261" w:name="_Toc44606538"/>
      <w:bookmarkStart w:id="262" w:name="_Toc45297424"/>
      <w:bookmarkStart w:id="263" w:name="_Hlk11936923"/>
      <w:r w:rsidRPr="00B664C6">
        <w:t>Government contributions to local office costs</w:t>
      </w:r>
      <w:bookmarkEnd w:id="253"/>
      <w:bookmarkEnd w:id="254"/>
      <w:bookmarkEnd w:id="255"/>
      <w:r w:rsidRPr="00B664C6">
        <w:t xml:space="preserve"> </w:t>
      </w:r>
    </w:p>
    <w:p w14:paraId="4A940235" w14:textId="0C4FB941" w:rsidR="006A1825" w:rsidRPr="00B664C6" w:rsidRDefault="00E63890" w:rsidP="00AF3FD4">
      <w:pPr>
        <w:pStyle w:val="ListParagraph"/>
        <w:numPr>
          <w:ilvl w:val="0"/>
          <w:numId w:val="5"/>
        </w:numPr>
        <w:spacing w:before="240" w:after="240" w:line="240" w:lineRule="auto"/>
        <w:ind w:right="1267"/>
        <w:contextualSpacing w:val="0"/>
        <w:jc w:val="both"/>
      </w:pPr>
      <w:r w:rsidRPr="00B664C6">
        <w:t>Annual g</w:t>
      </w:r>
      <w:r w:rsidR="006A1825" w:rsidRPr="00B664C6">
        <w:t>overnment contributions to local office costs (GLOC) are an important source of revenue and can take the form of in-kind or cash contributions by host governments.</w:t>
      </w:r>
      <w:r w:rsidR="006A1825" w:rsidRPr="00B664C6" w:rsidDel="00736A50">
        <w:t xml:space="preserve"> </w:t>
      </w:r>
      <w:r w:rsidR="00603234" w:rsidRPr="00B664C6">
        <w:t xml:space="preserve">In the low and middle-income </w:t>
      </w:r>
      <w:r w:rsidR="00DB1518" w:rsidRPr="00B664C6">
        <w:t xml:space="preserve">countries </w:t>
      </w:r>
      <w:r w:rsidR="00603234" w:rsidRPr="00B664C6">
        <w:t xml:space="preserve">categories, </w:t>
      </w:r>
      <w:r w:rsidR="006A1825" w:rsidRPr="00B664C6">
        <w:t>$</w:t>
      </w:r>
      <w:r w:rsidR="000225EA" w:rsidRPr="00B664C6">
        <w:t>27</w:t>
      </w:r>
      <w:r w:rsidR="006A1825" w:rsidRPr="00B664C6">
        <w:t xml:space="preserve"> million was received in </w:t>
      </w:r>
      <w:r w:rsidR="000225EA" w:rsidRPr="00B664C6">
        <w:t>2020</w:t>
      </w:r>
      <w:r w:rsidR="00D52465" w:rsidRPr="00B664C6">
        <w:t xml:space="preserve"> (201</w:t>
      </w:r>
      <w:r w:rsidR="000225EA" w:rsidRPr="00B664C6">
        <w:t>9</w:t>
      </w:r>
      <w:r w:rsidR="00B80CA7" w:rsidRPr="00B664C6">
        <w:t xml:space="preserve">: </w:t>
      </w:r>
      <w:r w:rsidR="000225EA" w:rsidRPr="00B664C6">
        <w:t>26</w:t>
      </w:r>
      <w:r w:rsidR="00D52465" w:rsidRPr="00B664C6">
        <w:t xml:space="preserve"> million)</w:t>
      </w:r>
      <w:r w:rsidR="007B61F2" w:rsidRPr="00B664C6">
        <w:t xml:space="preserve">, </w:t>
      </w:r>
      <w:r w:rsidR="006A1825" w:rsidRPr="00B664C6">
        <w:t>consisting of cash contributions of $</w:t>
      </w:r>
      <w:r w:rsidR="000225EA" w:rsidRPr="00B664C6">
        <w:t>19</w:t>
      </w:r>
      <w:r w:rsidR="006A1825" w:rsidRPr="00B664C6">
        <w:t xml:space="preserve"> million</w:t>
      </w:r>
      <w:r w:rsidR="009D2F19" w:rsidRPr="00B664C6">
        <w:t xml:space="preserve"> ($</w:t>
      </w:r>
      <w:r w:rsidR="001E7FD3" w:rsidRPr="00B664C6">
        <w:t xml:space="preserve">12 </w:t>
      </w:r>
      <w:r w:rsidR="008D087C" w:rsidRPr="00B664C6">
        <w:t>million for 20</w:t>
      </w:r>
      <w:r w:rsidR="001E7FD3" w:rsidRPr="00B664C6">
        <w:t>20</w:t>
      </w:r>
      <w:r w:rsidR="008D087C" w:rsidRPr="00B664C6">
        <w:t xml:space="preserve"> targets and $</w:t>
      </w:r>
      <w:r w:rsidR="001E7FD3" w:rsidRPr="00B664C6">
        <w:t>7</w:t>
      </w:r>
      <w:r w:rsidR="008D087C" w:rsidRPr="00B664C6">
        <w:t xml:space="preserve"> million against arrears) and </w:t>
      </w:r>
      <w:r w:rsidR="006A1825" w:rsidRPr="00B664C6">
        <w:t>in-kind contributions of $</w:t>
      </w:r>
      <w:r w:rsidR="001E7FD3" w:rsidRPr="00B664C6">
        <w:t>8</w:t>
      </w:r>
      <w:r w:rsidR="006A1825" w:rsidRPr="00B664C6">
        <w:t xml:space="preserve"> million for premises and utilities</w:t>
      </w:r>
      <w:r w:rsidR="009D2F19" w:rsidRPr="00B664C6">
        <w:t>.</w:t>
      </w:r>
      <w:r w:rsidR="006A1825" w:rsidRPr="00B664C6">
        <w:t xml:space="preserve"> The top 10 contributors are shown in figure </w:t>
      </w:r>
      <w:r w:rsidR="004D4DCC" w:rsidRPr="00B664C6">
        <w:t>III</w:t>
      </w:r>
      <w:r w:rsidR="00442030" w:rsidRPr="00B664C6">
        <w:t xml:space="preserve"> (</w:t>
      </w:r>
      <w:r w:rsidR="001703E6" w:rsidRPr="00B664C6">
        <w:t>b</w:t>
      </w:r>
      <w:r w:rsidR="00442030" w:rsidRPr="00B664C6">
        <w:t>)</w:t>
      </w:r>
      <w:r w:rsidR="006A1825" w:rsidRPr="00B664C6">
        <w:t xml:space="preserve">. </w:t>
      </w:r>
    </w:p>
    <w:p w14:paraId="228EF7E9" w14:textId="15BD62F8" w:rsidR="006A1825" w:rsidRPr="006A1825" w:rsidRDefault="006A1825" w:rsidP="003C31AA">
      <w:pPr>
        <w:keepNext/>
        <w:tabs>
          <w:tab w:val="left" w:pos="1260"/>
          <w:tab w:val="left" w:pos="1530"/>
        </w:tabs>
        <w:suppressAutoHyphens w:val="0"/>
        <w:spacing w:line="240" w:lineRule="auto"/>
        <w:jc w:val="center"/>
        <w:rPr>
          <w:rFonts w:eastAsiaTheme="minorHAnsi"/>
          <w:b/>
        </w:rPr>
      </w:pPr>
      <w:r w:rsidRPr="001D4BDF">
        <w:rPr>
          <w:rFonts w:eastAsiaTheme="minorHAnsi"/>
          <w:b/>
        </w:rPr>
        <w:lastRenderedPageBreak/>
        <w:t xml:space="preserve">Figure </w:t>
      </w:r>
      <w:r w:rsidR="004D4DCC" w:rsidRPr="001D4BDF">
        <w:rPr>
          <w:rFonts w:eastAsiaTheme="minorHAnsi"/>
          <w:b/>
        </w:rPr>
        <w:t>II</w:t>
      </w:r>
      <w:r w:rsidR="00442030" w:rsidRPr="001D4BDF">
        <w:rPr>
          <w:rFonts w:eastAsiaTheme="minorHAnsi"/>
          <w:b/>
        </w:rPr>
        <w:t>I (</w:t>
      </w:r>
      <w:r w:rsidR="001703E6" w:rsidRPr="001D4BDF">
        <w:rPr>
          <w:rFonts w:eastAsiaTheme="minorHAnsi"/>
          <w:b/>
        </w:rPr>
        <w:t>b</w:t>
      </w:r>
      <w:r w:rsidR="00442030" w:rsidRPr="001D4BDF">
        <w:rPr>
          <w:rFonts w:eastAsiaTheme="minorHAnsi"/>
          <w:b/>
        </w:rPr>
        <w:t>)</w:t>
      </w:r>
      <w:r w:rsidRPr="001D4BDF">
        <w:rPr>
          <w:rFonts w:eastAsiaTheme="minorHAnsi"/>
          <w:b/>
        </w:rPr>
        <w:t xml:space="preserve">. </w:t>
      </w:r>
      <w:r w:rsidR="00783861" w:rsidRPr="001D4BDF">
        <w:rPr>
          <w:rFonts w:eastAsiaTheme="minorHAnsi"/>
          <w:b/>
        </w:rPr>
        <w:t xml:space="preserve">Annual </w:t>
      </w:r>
      <w:r w:rsidRPr="001D4BDF">
        <w:rPr>
          <w:rFonts w:eastAsiaTheme="minorHAnsi"/>
          <w:b/>
        </w:rPr>
        <w:t>GLOC contributions by top 10 host governments, 20</w:t>
      </w:r>
      <w:r w:rsidR="001D4BDF" w:rsidRPr="001D4BDF">
        <w:rPr>
          <w:rFonts w:eastAsiaTheme="minorHAnsi"/>
          <w:b/>
        </w:rPr>
        <w:t>20</w:t>
      </w:r>
    </w:p>
    <w:p w14:paraId="61C95DFD" w14:textId="0A91A180" w:rsidR="006A1825" w:rsidRDefault="003C31AA" w:rsidP="003C31AA">
      <w:pPr>
        <w:keepNext/>
        <w:tabs>
          <w:tab w:val="left" w:pos="1267"/>
          <w:tab w:val="left" w:pos="1620"/>
          <w:tab w:val="left" w:pos="2218"/>
          <w:tab w:val="left" w:pos="2693"/>
          <w:tab w:val="left" w:pos="3182"/>
          <w:tab w:val="left" w:pos="3658"/>
          <w:tab w:val="left" w:pos="4133"/>
          <w:tab w:val="left" w:pos="4622"/>
          <w:tab w:val="left" w:pos="5098"/>
          <w:tab w:val="left" w:pos="5573"/>
          <w:tab w:val="left" w:pos="6048"/>
        </w:tabs>
        <w:spacing w:after="120"/>
        <w:ind w:left="1260" w:right="1267"/>
        <w:jc w:val="center"/>
        <w:rPr>
          <w:rFonts w:eastAsiaTheme="minorEastAsia"/>
        </w:rPr>
      </w:pPr>
      <w:r>
        <w:rPr>
          <w:noProof/>
        </w:rPr>
        <w:drawing>
          <wp:anchor distT="0" distB="0" distL="114300" distR="114300" simplePos="0" relativeHeight="251658243" behindDoc="1" locked="0" layoutInCell="1" allowOverlap="1" wp14:anchorId="6DC93B74" wp14:editId="5E896257">
            <wp:simplePos x="0" y="0"/>
            <wp:positionH relativeFrom="margin">
              <wp:align>center</wp:align>
            </wp:positionH>
            <wp:positionV relativeFrom="paragraph">
              <wp:posOffset>190500</wp:posOffset>
            </wp:positionV>
            <wp:extent cx="5143500" cy="2524125"/>
            <wp:effectExtent l="0" t="0" r="0" b="0"/>
            <wp:wrapTight wrapText="bothSides">
              <wp:wrapPolygon edited="0">
                <wp:start x="0" y="0"/>
                <wp:lineTo x="0" y="21518"/>
                <wp:lineTo x="21520" y="21518"/>
                <wp:lineTo x="21520" y="0"/>
                <wp:lineTo x="0" y="0"/>
              </wp:wrapPolygon>
            </wp:wrapTight>
            <wp:docPr id="17291006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2">
                      <a:extLst>
                        <a:ext uri="{28A0092B-C50C-407E-A947-70E740481C1C}">
                          <a14:useLocalDpi xmlns:a14="http://schemas.microsoft.com/office/drawing/2010/main" val="0"/>
                        </a:ext>
                      </a:extLst>
                    </a:blip>
                    <a:stretch>
                      <a:fillRect/>
                    </a:stretch>
                  </pic:blipFill>
                  <pic:spPr>
                    <a:xfrm>
                      <a:off x="0" y="0"/>
                      <a:ext cx="5143500" cy="2524125"/>
                    </a:xfrm>
                    <a:prstGeom prst="rect">
                      <a:avLst/>
                    </a:prstGeom>
                  </pic:spPr>
                </pic:pic>
              </a:graphicData>
            </a:graphic>
            <wp14:sizeRelH relativeFrom="page">
              <wp14:pctWidth>0</wp14:pctWidth>
            </wp14:sizeRelH>
            <wp14:sizeRelV relativeFrom="page">
              <wp14:pctHeight>0</wp14:pctHeight>
            </wp14:sizeRelV>
          </wp:anchor>
        </w:drawing>
      </w:r>
      <w:r w:rsidR="7E93AAC6" w:rsidRPr="0F9F2C32">
        <w:rPr>
          <w:rFonts w:eastAsiaTheme="minorEastAsia"/>
        </w:rPr>
        <w:t>(in millions of dollars)</w:t>
      </w:r>
    </w:p>
    <w:p w14:paraId="636FF774" w14:textId="5FE99977" w:rsidR="006A1825" w:rsidRPr="0062517A" w:rsidRDefault="006A1825" w:rsidP="00AF3FD4">
      <w:pPr>
        <w:pStyle w:val="ListParagraph"/>
        <w:numPr>
          <w:ilvl w:val="0"/>
          <w:numId w:val="5"/>
        </w:numPr>
        <w:spacing w:before="240" w:after="240" w:line="240" w:lineRule="auto"/>
        <w:ind w:right="1267"/>
        <w:contextualSpacing w:val="0"/>
        <w:jc w:val="both"/>
      </w:pPr>
      <w:r w:rsidRPr="0062517A">
        <w:t xml:space="preserve">Tables 8(a), 8(b) and 8(c) in </w:t>
      </w:r>
      <w:r w:rsidR="00E63890" w:rsidRPr="0062517A">
        <w:t>appendix VI</w:t>
      </w:r>
      <w:r w:rsidR="00335C02">
        <w:t>I</w:t>
      </w:r>
      <w:r w:rsidRPr="0062517A">
        <w:t xml:space="preserve"> provide information on 20</w:t>
      </w:r>
      <w:r w:rsidR="001E7FD3" w:rsidRPr="0062517A">
        <w:t>20</w:t>
      </w:r>
      <w:r w:rsidRPr="0062517A">
        <w:t xml:space="preserve"> government cash contributions to local office costs in regular resources by countries in low and middle-income categories, cumulative arrears, and contributions towards arrears. </w:t>
      </w:r>
    </w:p>
    <w:p w14:paraId="5974FB8D" w14:textId="77777777" w:rsidR="006A1825" w:rsidRPr="00B664C6" w:rsidRDefault="006A1825" w:rsidP="00FA1EE2">
      <w:pPr>
        <w:pStyle w:val="H4"/>
        <w:tabs>
          <w:tab w:val="clear" w:pos="1742"/>
          <w:tab w:val="left" w:pos="1440"/>
          <w:tab w:val="left" w:pos="1620"/>
        </w:tabs>
        <w:spacing w:before="240" w:after="240" w:line="240" w:lineRule="auto"/>
        <w:ind w:left="983" w:firstLine="0"/>
        <w:outlineLvl w:val="2"/>
      </w:pPr>
      <w:bookmarkStart w:id="264" w:name="_Toc46221133"/>
      <w:bookmarkStart w:id="265" w:name="_Toc46399198"/>
      <w:bookmarkStart w:id="266" w:name="_Toc75466835"/>
      <w:bookmarkStart w:id="267" w:name="_Hlk12016568"/>
      <w:r w:rsidRPr="00B664C6">
        <w:t>Net contributor country contributions</w:t>
      </w:r>
      <w:bookmarkEnd w:id="264"/>
      <w:bookmarkEnd w:id="265"/>
      <w:bookmarkEnd w:id="266"/>
    </w:p>
    <w:p w14:paraId="77E324F7" w14:textId="0E22C423" w:rsidR="006A1825" w:rsidRPr="00B664C6" w:rsidRDefault="006A1825" w:rsidP="00AF3FD4">
      <w:pPr>
        <w:pStyle w:val="ListParagraph"/>
        <w:numPr>
          <w:ilvl w:val="0"/>
          <w:numId w:val="5"/>
        </w:numPr>
        <w:spacing w:before="240" w:after="240" w:line="240" w:lineRule="auto"/>
        <w:ind w:right="1267"/>
        <w:contextualSpacing w:val="0"/>
        <w:jc w:val="both"/>
      </w:pPr>
      <w:r w:rsidRPr="00B664C6">
        <w:t>Net contributor programme country governments contributed $</w:t>
      </w:r>
      <w:r w:rsidR="005E7E94" w:rsidRPr="00B664C6">
        <w:t>7</w:t>
      </w:r>
      <w:r w:rsidRPr="00B664C6">
        <w:t xml:space="preserve"> million</w:t>
      </w:r>
      <w:r w:rsidR="00795EF4" w:rsidRPr="00B664C6">
        <w:t xml:space="preserve">, </w:t>
      </w:r>
      <w:r w:rsidR="00955794" w:rsidRPr="00B664C6">
        <w:t xml:space="preserve">a decrease of $1 million (13 per cent). </w:t>
      </w:r>
      <w:r w:rsidRPr="00B664C6">
        <w:t xml:space="preserve">(See details in </w:t>
      </w:r>
      <w:r w:rsidR="00E63890" w:rsidRPr="00B664C6">
        <w:t>appendix VI</w:t>
      </w:r>
      <w:r w:rsidR="00335C02" w:rsidRPr="00B664C6">
        <w:t>I</w:t>
      </w:r>
      <w:r w:rsidRPr="00B664C6">
        <w:t>).</w:t>
      </w:r>
    </w:p>
    <w:p w14:paraId="600E0247" w14:textId="77777777" w:rsidR="006A1825" w:rsidRPr="00B664C6" w:rsidRDefault="006A1825" w:rsidP="00FA1EE2">
      <w:pPr>
        <w:pStyle w:val="H4"/>
        <w:tabs>
          <w:tab w:val="clear" w:pos="1742"/>
          <w:tab w:val="left" w:pos="1440"/>
          <w:tab w:val="left" w:pos="1620"/>
        </w:tabs>
        <w:spacing w:before="240" w:after="240" w:line="240" w:lineRule="auto"/>
        <w:ind w:left="983" w:firstLine="0"/>
        <w:outlineLvl w:val="2"/>
      </w:pPr>
      <w:bookmarkStart w:id="268" w:name="_Toc46221134"/>
      <w:bookmarkStart w:id="269" w:name="_Toc46399199"/>
      <w:bookmarkStart w:id="270" w:name="_Toc75466836"/>
      <w:r w:rsidRPr="00B664C6">
        <w:t>Upper-middle income country contributions</w:t>
      </w:r>
      <w:bookmarkEnd w:id="268"/>
      <w:bookmarkEnd w:id="269"/>
      <w:bookmarkEnd w:id="270"/>
    </w:p>
    <w:p w14:paraId="147A4306" w14:textId="1AAA55CB" w:rsidR="006A1825" w:rsidRPr="00B664C6" w:rsidRDefault="006A1825" w:rsidP="00AF3FD4">
      <w:pPr>
        <w:pStyle w:val="ListParagraph"/>
        <w:numPr>
          <w:ilvl w:val="0"/>
          <w:numId w:val="5"/>
        </w:numPr>
        <w:spacing w:before="240" w:after="240" w:line="240" w:lineRule="auto"/>
        <w:ind w:right="1267"/>
        <w:contextualSpacing w:val="0"/>
        <w:jc w:val="both"/>
      </w:pPr>
      <w:r w:rsidRPr="00B664C6">
        <w:t>Contributions from Upper-middle income programme countries with GNI per capita above $6,660 contributed $</w:t>
      </w:r>
      <w:r w:rsidR="007A7911" w:rsidRPr="00B664C6">
        <w:t>9</w:t>
      </w:r>
      <w:r w:rsidRPr="00B664C6">
        <w:t xml:space="preserve"> million, </w:t>
      </w:r>
      <w:r w:rsidR="00723FB6" w:rsidRPr="00B664C6">
        <w:t xml:space="preserve">at </w:t>
      </w:r>
      <w:r w:rsidR="007A7911" w:rsidRPr="00B664C6">
        <w:t xml:space="preserve">the same level </w:t>
      </w:r>
      <w:r w:rsidR="00AF5C82" w:rsidRPr="00B664C6">
        <w:t xml:space="preserve">as </w:t>
      </w:r>
      <w:r w:rsidR="00723FB6" w:rsidRPr="00B664C6">
        <w:t>201</w:t>
      </w:r>
      <w:r w:rsidR="00473CC0" w:rsidRPr="00B664C6">
        <w:t>9</w:t>
      </w:r>
      <w:r w:rsidRPr="00B664C6">
        <w:t xml:space="preserve">. (See details provided in </w:t>
      </w:r>
      <w:r w:rsidR="00E63890" w:rsidRPr="00B664C6">
        <w:t>appendix VI</w:t>
      </w:r>
      <w:r w:rsidR="00335C02" w:rsidRPr="00B664C6">
        <w:t>I</w:t>
      </w:r>
      <w:r w:rsidRPr="00B664C6">
        <w:t xml:space="preserve">). </w:t>
      </w:r>
    </w:p>
    <w:p w14:paraId="25BDE8DC" w14:textId="51AB0973" w:rsidR="007C4920" w:rsidRPr="009E5F63" w:rsidRDefault="007C4920" w:rsidP="00FE544A">
      <w:pPr>
        <w:pStyle w:val="H4"/>
        <w:tabs>
          <w:tab w:val="clear" w:pos="1742"/>
          <w:tab w:val="left" w:pos="1440"/>
          <w:tab w:val="left" w:pos="1620"/>
        </w:tabs>
        <w:spacing w:before="240" w:after="240" w:line="240" w:lineRule="auto"/>
        <w:ind w:left="1008" w:firstLine="0"/>
        <w:outlineLvl w:val="2"/>
      </w:pPr>
      <w:bookmarkStart w:id="271" w:name="_Toc46221135"/>
      <w:bookmarkStart w:id="272" w:name="_Toc46399200"/>
      <w:bookmarkStart w:id="273" w:name="_Toc75466837"/>
      <w:bookmarkEnd w:id="267"/>
      <w:r w:rsidRPr="000E57AE">
        <w:t>Investment revenue</w:t>
      </w:r>
      <w:bookmarkEnd w:id="256"/>
      <w:bookmarkEnd w:id="257"/>
      <w:bookmarkEnd w:id="258"/>
      <w:bookmarkEnd w:id="259"/>
      <w:bookmarkEnd w:id="260"/>
      <w:bookmarkEnd w:id="261"/>
      <w:bookmarkEnd w:id="262"/>
      <w:bookmarkEnd w:id="271"/>
      <w:bookmarkEnd w:id="272"/>
      <w:bookmarkEnd w:id="273"/>
    </w:p>
    <w:bookmarkEnd w:id="263"/>
    <w:p w14:paraId="019B1160" w14:textId="580B6CE4" w:rsidR="003F0C38" w:rsidRDefault="003F0C38" w:rsidP="00AF3FD4">
      <w:pPr>
        <w:pStyle w:val="ListParagraph"/>
        <w:numPr>
          <w:ilvl w:val="0"/>
          <w:numId w:val="5"/>
        </w:numPr>
        <w:spacing w:before="240" w:after="240" w:line="240" w:lineRule="auto"/>
        <w:ind w:right="1267"/>
        <w:contextualSpacing w:val="0"/>
        <w:jc w:val="both"/>
      </w:pPr>
      <w:r w:rsidRPr="000E57AE">
        <w:t xml:space="preserve">Total investment revenue </w:t>
      </w:r>
      <w:r w:rsidR="00842E1A">
        <w:t>totalled</w:t>
      </w:r>
      <w:r w:rsidRPr="000E57AE">
        <w:t xml:space="preserve"> $</w:t>
      </w:r>
      <w:r w:rsidR="00842E1A">
        <w:t>118</w:t>
      </w:r>
      <w:r w:rsidRPr="000E57AE">
        <w:t xml:space="preserve"> million (201</w:t>
      </w:r>
      <w:r w:rsidR="00842E1A">
        <w:t>9</w:t>
      </w:r>
      <w:r w:rsidRPr="000E57AE">
        <w:t xml:space="preserve">: </w:t>
      </w:r>
      <w:r w:rsidR="00375980" w:rsidRPr="000E57AE">
        <w:t>$</w:t>
      </w:r>
      <w:r w:rsidR="00842E1A">
        <w:t>167</w:t>
      </w:r>
      <w:r w:rsidRPr="000E57AE">
        <w:t xml:space="preserve"> million). Th</w:t>
      </w:r>
      <w:r w:rsidR="00916DA8" w:rsidRPr="000E57AE">
        <w:t>is</w:t>
      </w:r>
      <w:r w:rsidRPr="000E57AE">
        <w:t xml:space="preserve"> </w:t>
      </w:r>
      <w:r w:rsidR="00CC3451">
        <w:t>decrease</w:t>
      </w:r>
      <w:r w:rsidRPr="000E57AE">
        <w:t xml:space="preserve"> of $</w:t>
      </w:r>
      <w:r w:rsidR="00CC3451">
        <w:t>49</w:t>
      </w:r>
      <w:r w:rsidRPr="000E57AE">
        <w:t xml:space="preserve"> million </w:t>
      </w:r>
      <w:r w:rsidR="00463DA9" w:rsidRPr="000E57AE">
        <w:t>(</w:t>
      </w:r>
      <w:r w:rsidR="00CC3451">
        <w:t>29</w:t>
      </w:r>
      <w:r w:rsidR="0078286C" w:rsidRPr="000E57AE">
        <w:t xml:space="preserve"> per cent</w:t>
      </w:r>
      <w:r w:rsidR="00463DA9" w:rsidRPr="000E57AE">
        <w:t xml:space="preserve">) </w:t>
      </w:r>
      <w:r w:rsidR="009F72A2">
        <w:t xml:space="preserve">was </w:t>
      </w:r>
      <w:r w:rsidR="004F14DA" w:rsidRPr="004F14DA">
        <w:t>caused by the lower interest rates in 2020 due, in part, to the economic situation brought about by the C</w:t>
      </w:r>
      <w:r w:rsidR="007F7DB2">
        <w:t>OVID</w:t>
      </w:r>
      <w:r w:rsidR="004F14DA" w:rsidRPr="004F14DA">
        <w:t>-19 pandemic.</w:t>
      </w:r>
      <w:r w:rsidR="0087687D" w:rsidRPr="0087687D">
        <w:t xml:space="preserve">  </w:t>
      </w:r>
    </w:p>
    <w:p w14:paraId="18A1F2D2" w14:textId="4AF07441" w:rsidR="00552041" w:rsidRPr="00552041" w:rsidRDefault="00ED4FEC" w:rsidP="00AF3FD4">
      <w:pPr>
        <w:pStyle w:val="ListParagraph"/>
        <w:numPr>
          <w:ilvl w:val="0"/>
          <w:numId w:val="5"/>
        </w:numPr>
        <w:spacing w:before="240" w:after="240" w:line="240" w:lineRule="auto"/>
        <w:ind w:right="1267"/>
        <w:contextualSpacing w:val="0"/>
        <w:jc w:val="both"/>
      </w:pPr>
      <w:r w:rsidRPr="00AF3FD4">
        <w:t>Hedging programme</w:t>
      </w:r>
      <w:r w:rsidRPr="00B664C6">
        <w:t xml:space="preserve"> - UNDP’s hedging strategy resulted in a foreign exchange gain of </w:t>
      </w:r>
      <w:r w:rsidRPr="00AF3FD4">
        <w:t>$</w:t>
      </w:r>
      <w:r w:rsidR="00EE6AC3" w:rsidRPr="00AF3FD4">
        <w:t>23</w:t>
      </w:r>
      <w:r w:rsidRPr="00AF3FD4">
        <w:t xml:space="preserve"> million (201</w:t>
      </w:r>
      <w:r w:rsidR="00EE6AC3" w:rsidRPr="00AF3FD4">
        <w:t>9</w:t>
      </w:r>
      <w:r w:rsidRPr="00AF3FD4">
        <w:t>: $1 million)</w:t>
      </w:r>
      <w:r w:rsidR="00552041" w:rsidRPr="00B664C6">
        <w:t xml:space="preserve"> to core resources, partly attributable to higher volatility.</w:t>
      </w:r>
      <w:r w:rsidR="00552041" w:rsidRPr="00552041">
        <w:t xml:space="preserve"> Volatility has continued to decline from its peak during the early stages of the pandemic, and the large gain recorded in 2020 is not anticipated going forward.</w:t>
      </w:r>
    </w:p>
    <w:p w14:paraId="34F62DFF" w14:textId="77777777" w:rsidR="00E95B4E" w:rsidRPr="009E5F63" w:rsidRDefault="00A92795" w:rsidP="00FE544A">
      <w:pPr>
        <w:pStyle w:val="H4"/>
        <w:tabs>
          <w:tab w:val="clear" w:pos="1742"/>
          <w:tab w:val="left" w:pos="1440"/>
          <w:tab w:val="left" w:pos="1620"/>
        </w:tabs>
        <w:spacing w:before="240" w:after="240" w:line="240" w:lineRule="auto"/>
        <w:ind w:left="1008" w:firstLine="0"/>
        <w:outlineLvl w:val="2"/>
      </w:pPr>
      <w:bookmarkStart w:id="274" w:name="_Toc39596243"/>
      <w:bookmarkStart w:id="275" w:name="_Toc40281192"/>
      <w:bookmarkStart w:id="276" w:name="_Toc40281351"/>
      <w:bookmarkStart w:id="277" w:name="_Toc44499878"/>
      <w:bookmarkStart w:id="278" w:name="_Toc44603226"/>
      <w:bookmarkStart w:id="279" w:name="_Toc44606539"/>
      <w:bookmarkStart w:id="280" w:name="_Toc45297425"/>
      <w:bookmarkStart w:id="281" w:name="_Toc46221136"/>
      <w:bookmarkStart w:id="282" w:name="_Toc46399201"/>
      <w:bookmarkStart w:id="283" w:name="_Toc75466838"/>
      <w:r w:rsidRPr="000E57AE">
        <w:t xml:space="preserve">Other </w:t>
      </w:r>
      <w:r w:rsidR="00E95B4E" w:rsidRPr="000E57AE">
        <w:t>revenue</w:t>
      </w:r>
      <w:bookmarkEnd w:id="274"/>
      <w:bookmarkEnd w:id="275"/>
      <w:bookmarkEnd w:id="276"/>
      <w:bookmarkEnd w:id="277"/>
      <w:bookmarkEnd w:id="278"/>
      <w:bookmarkEnd w:id="279"/>
      <w:bookmarkEnd w:id="280"/>
      <w:bookmarkEnd w:id="281"/>
      <w:bookmarkEnd w:id="282"/>
      <w:bookmarkEnd w:id="283"/>
    </w:p>
    <w:p w14:paraId="634F6A39" w14:textId="38B4720E" w:rsidR="000A16B4" w:rsidRPr="000E57AE" w:rsidRDefault="00763E87" w:rsidP="00AF3FD4">
      <w:pPr>
        <w:pStyle w:val="ListParagraph"/>
        <w:numPr>
          <w:ilvl w:val="0"/>
          <w:numId w:val="5"/>
        </w:numPr>
        <w:spacing w:before="240" w:after="240" w:line="240" w:lineRule="auto"/>
        <w:ind w:right="1267"/>
        <w:contextualSpacing w:val="0"/>
        <w:jc w:val="both"/>
      </w:pPr>
      <w:r w:rsidRPr="000E57AE">
        <w:t xml:space="preserve">Other revenue </w:t>
      </w:r>
      <w:r w:rsidR="00AE0615">
        <w:t>totalled</w:t>
      </w:r>
      <w:r w:rsidRPr="000E57AE">
        <w:t xml:space="preserve"> </w:t>
      </w:r>
      <w:r w:rsidRPr="00B24C67">
        <w:t>$</w:t>
      </w:r>
      <w:r w:rsidR="006A18E0">
        <w:t>483</w:t>
      </w:r>
      <w:r w:rsidRPr="00B24C67">
        <w:t xml:space="preserve"> million (201</w:t>
      </w:r>
      <w:r w:rsidR="006A18E0">
        <w:t>9</w:t>
      </w:r>
      <w:r w:rsidRPr="00B24C67">
        <w:t>: $</w:t>
      </w:r>
      <w:r w:rsidR="009642BA">
        <w:t>445</w:t>
      </w:r>
      <w:r w:rsidRPr="00B24C67">
        <w:t xml:space="preserve"> million),</w:t>
      </w:r>
      <w:r w:rsidRPr="000E57AE">
        <w:t xml:space="preserve"> mainly </w:t>
      </w:r>
      <w:r>
        <w:t xml:space="preserve">consisting of: </w:t>
      </w:r>
      <w:r w:rsidRPr="000E57AE">
        <w:t xml:space="preserve">cost recovery revenue of </w:t>
      </w:r>
      <w:r w:rsidRPr="00D76B4C">
        <w:t>$</w:t>
      </w:r>
      <w:r w:rsidR="00B112E5">
        <w:t>344</w:t>
      </w:r>
      <w:r w:rsidRPr="00D76B4C">
        <w:t xml:space="preserve"> million; for instance, </w:t>
      </w:r>
      <w:r w:rsidRPr="005B3E02">
        <w:t>$</w:t>
      </w:r>
      <w:r w:rsidR="00B112E5">
        <w:t>55</w:t>
      </w:r>
      <w:r w:rsidRPr="005B3E02">
        <w:t xml:space="preserve"> million revenue for </w:t>
      </w:r>
      <w:r>
        <w:t>providing service</w:t>
      </w:r>
      <w:r w:rsidR="00FF7362">
        <w:t xml:space="preserve">s to </w:t>
      </w:r>
      <w:r w:rsidR="00DC68B6" w:rsidRPr="005B3E02">
        <w:t xml:space="preserve">the </w:t>
      </w:r>
      <w:r w:rsidR="004D1B05" w:rsidRPr="005B3E02">
        <w:t>United Nations system</w:t>
      </w:r>
      <w:r w:rsidR="00DC68B6" w:rsidRPr="005B3E02">
        <w:t>;</w:t>
      </w:r>
      <w:r w:rsidR="004D1B05" w:rsidRPr="005B3E02">
        <w:t xml:space="preserve"> and miscellaneous revenue</w:t>
      </w:r>
      <w:r w:rsidR="00DC68B6" w:rsidRPr="005B3E02">
        <w:t>,</w:t>
      </w:r>
      <w:r w:rsidR="004D1B05" w:rsidRPr="005B3E02">
        <w:t xml:space="preserve"> such as </w:t>
      </w:r>
      <w:r w:rsidR="00D25006" w:rsidRPr="005B3E02">
        <w:t>foreign exchange gains</w:t>
      </w:r>
      <w:r w:rsidR="00C81BD4" w:rsidRPr="005B3E02">
        <w:t>.</w:t>
      </w:r>
    </w:p>
    <w:p w14:paraId="78AB0932" w14:textId="77777777" w:rsidR="00A1057B" w:rsidRPr="003367B9" w:rsidRDefault="00A1057B" w:rsidP="00FE544A">
      <w:pPr>
        <w:pStyle w:val="H4"/>
        <w:tabs>
          <w:tab w:val="clear" w:pos="1267"/>
          <w:tab w:val="clear" w:pos="1742"/>
          <w:tab w:val="left" w:pos="1260"/>
          <w:tab w:val="left" w:pos="1440"/>
          <w:tab w:val="left" w:pos="1620"/>
        </w:tabs>
        <w:spacing w:before="240" w:after="240" w:line="240" w:lineRule="auto"/>
        <w:ind w:left="1008" w:firstLine="0"/>
        <w:outlineLvl w:val="2"/>
      </w:pPr>
      <w:bookmarkStart w:id="284" w:name="_Toc39596244"/>
      <w:bookmarkStart w:id="285" w:name="_Toc40281193"/>
      <w:bookmarkStart w:id="286" w:name="_Toc40281352"/>
      <w:bookmarkStart w:id="287" w:name="_Toc44499879"/>
      <w:bookmarkStart w:id="288" w:name="_Toc44603227"/>
      <w:bookmarkStart w:id="289" w:name="_Toc44606540"/>
      <w:bookmarkStart w:id="290" w:name="_Toc45297426"/>
      <w:bookmarkStart w:id="291" w:name="_Toc46221137"/>
      <w:bookmarkStart w:id="292" w:name="_Toc46399202"/>
      <w:bookmarkStart w:id="293" w:name="_Toc75466839"/>
      <w:r w:rsidRPr="00D8791C">
        <w:lastRenderedPageBreak/>
        <w:t>Cost-recovery</w:t>
      </w:r>
      <w:bookmarkEnd w:id="284"/>
      <w:bookmarkEnd w:id="285"/>
      <w:bookmarkEnd w:id="286"/>
      <w:bookmarkEnd w:id="287"/>
      <w:bookmarkEnd w:id="288"/>
      <w:bookmarkEnd w:id="289"/>
      <w:bookmarkEnd w:id="290"/>
      <w:bookmarkEnd w:id="291"/>
      <w:bookmarkEnd w:id="292"/>
      <w:bookmarkEnd w:id="293"/>
      <w:r w:rsidRPr="003367B9">
        <w:t xml:space="preserve"> </w:t>
      </w:r>
    </w:p>
    <w:p w14:paraId="38E1CB71" w14:textId="77777777" w:rsidR="00A1057B" w:rsidRPr="003367B9" w:rsidRDefault="00A1057B" w:rsidP="00AF3FD4">
      <w:pPr>
        <w:pStyle w:val="ListParagraph"/>
        <w:numPr>
          <w:ilvl w:val="0"/>
          <w:numId w:val="5"/>
        </w:numPr>
        <w:spacing w:before="240" w:after="240" w:line="240" w:lineRule="auto"/>
        <w:ind w:right="1267"/>
        <w:contextualSpacing w:val="0"/>
        <w:jc w:val="both"/>
      </w:pPr>
      <w:r w:rsidRPr="003367B9">
        <w:t xml:space="preserve">UNDP made every effort to recover the general management </w:t>
      </w:r>
      <w:r w:rsidR="00EC5363" w:rsidRPr="003367B9">
        <w:t xml:space="preserve">support </w:t>
      </w:r>
      <w:r w:rsidRPr="003367B9">
        <w:t>and implementation costs associated with the delivery of other resources-funded programmes and projects and with United Nations entities.</w:t>
      </w:r>
    </w:p>
    <w:p w14:paraId="0B120D1F" w14:textId="706EA2E0" w:rsidR="00916C5F" w:rsidRPr="00B664C6" w:rsidRDefault="00916C5F" w:rsidP="00AF3FD4">
      <w:pPr>
        <w:pStyle w:val="ListParagraph"/>
        <w:numPr>
          <w:ilvl w:val="0"/>
          <w:numId w:val="5"/>
        </w:numPr>
        <w:spacing w:before="240" w:after="240" w:line="240" w:lineRule="auto"/>
        <w:ind w:right="1267"/>
        <w:contextualSpacing w:val="0"/>
        <w:jc w:val="both"/>
      </w:pPr>
      <w:r w:rsidRPr="00B664C6">
        <w:t>UNDP recovered $</w:t>
      </w:r>
      <w:r w:rsidR="00DA4E9F" w:rsidRPr="00B664C6">
        <w:t>236</w:t>
      </w:r>
      <w:r w:rsidRPr="00B664C6">
        <w:t xml:space="preserve"> million through general management support service fees, $</w:t>
      </w:r>
      <w:r w:rsidR="00DA4E9F" w:rsidRPr="00B664C6">
        <w:t>4</w:t>
      </w:r>
      <w:r w:rsidRPr="00B664C6">
        <w:t xml:space="preserve"> million </w:t>
      </w:r>
      <w:r w:rsidR="00DA4E9F" w:rsidRPr="00B664C6">
        <w:t xml:space="preserve">lower </w:t>
      </w:r>
      <w:r w:rsidRPr="00B664C6">
        <w:t>than in 201</w:t>
      </w:r>
      <w:r w:rsidR="00DA4E9F" w:rsidRPr="00B664C6">
        <w:t>9</w:t>
      </w:r>
      <w:r w:rsidRPr="00B664C6">
        <w:t>. Total cost recovery revenue decreased by 3 per cent to $</w:t>
      </w:r>
      <w:r w:rsidR="00AE0D9D" w:rsidRPr="00B664C6">
        <w:t>344</w:t>
      </w:r>
      <w:r w:rsidRPr="00B664C6">
        <w:t> million, (201</w:t>
      </w:r>
      <w:r w:rsidR="00AE0D9D" w:rsidRPr="00B664C6">
        <w:t>9</w:t>
      </w:r>
      <w:r w:rsidRPr="00B664C6">
        <w:t>: $</w:t>
      </w:r>
      <w:r w:rsidR="00AC3F5B" w:rsidRPr="00B664C6">
        <w:t>354</w:t>
      </w:r>
      <w:r w:rsidRPr="00B664C6">
        <w:t xml:space="preserve"> million), reflecting a change in mix of resources. Table 3 shows the breakdown of these revenues</w:t>
      </w:r>
      <w:r w:rsidR="0067690E" w:rsidRPr="00B664C6">
        <w:t>.</w:t>
      </w:r>
    </w:p>
    <w:p w14:paraId="32989ED6" w14:textId="33E042FC" w:rsidR="00A1057B" w:rsidRPr="00B664C6" w:rsidRDefault="00A1057B" w:rsidP="00686F06">
      <w:pPr>
        <w:keepNext/>
        <w:tabs>
          <w:tab w:val="left" w:pos="1260"/>
          <w:tab w:val="left" w:pos="1530"/>
        </w:tabs>
        <w:suppressAutoHyphens w:val="0"/>
        <w:spacing w:line="240" w:lineRule="auto"/>
        <w:jc w:val="center"/>
        <w:rPr>
          <w:rFonts w:eastAsiaTheme="minorHAnsi"/>
          <w:b/>
        </w:rPr>
      </w:pPr>
      <w:r w:rsidRPr="00B664C6">
        <w:rPr>
          <w:rFonts w:eastAsiaTheme="minorHAnsi"/>
          <w:b/>
        </w:rPr>
        <w:t xml:space="preserve">Table </w:t>
      </w:r>
      <w:r w:rsidR="00FA1E51" w:rsidRPr="00B664C6">
        <w:rPr>
          <w:rFonts w:eastAsiaTheme="minorHAnsi"/>
          <w:b/>
        </w:rPr>
        <w:t>3</w:t>
      </w:r>
      <w:r w:rsidRPr="00B664C6">
        <w:rPr>
          <w:rFonts w:eastAsiaTheme="minorHAnsi"/>
          <w:b/>
        </w:rPr>
        <w:t xml:space="preserve">. Cost recovery, </w:t>
      </w:r>
      <w:r w:rsidR="00A07AE2" w:rsidRPr="00B664C6">
        <w:rPr>
          <w:rFonts w:eastAsiaTheme="minorHAnsi"/>
          <w:b/>
        </w:rPr>
        <w:t>2020</w:t>
      </w:r>
    </w:p>
    <w:p w14:paraId="24124991" w14:textId="298E7E96" w:rsidR="00A1057B" w:rsidRPr="00B664C6" w:rsidRDefault="00A1057B" w:rsidP="003F5F37">
      <w:pPr>
        <w:pStyle w:val="SingleTxt"/>
        <w:keepNext/>
        <w:keepLines/>
        <w:spacing w:after="0" w:line="200" w:lineRule="exact"/>
        <w:jc w:val="center"/>
        <w:rPr>
          <w:i/>
          <w:spacing w:val="2"/>
        </w:rPr>
      </w:pPr>
      <w:r w:rsidRPr="00B664C6">
        <w:rPr>
          <w:i/>
          <w:spacing w:val="2"/>
        </w:rPr>
        <w:t xml:space="preserve">(in millions of </w:t>
      </w:r>
      <w:r w:rsidR="00DC68B6" w:rsidRPr="00B664C6">
        <w:rPr>
          <w:i/>
          <w:spacing w:val="2"/>
        </w:rPr>
        <w:t xml:space="preserve">United States </w:t>
      </w:r>
      <w:r w:rsidRPr="00B664C6">
        <w:rPr>
          <w:i/>
          <w:spacing w:val="2"/>
        </w:rPr>
        <w:t>dollars)</w:t>
      </w:r>
    </w:p>
    <w:p w14:paraId="6C9D00A3" w14:textId="77777777" w:rsidR="007C75F6" w:rsidRPr="00B664C6" w:rsidRDefault="007C75F6" w:rsidP="003F5F37">
      <w:pPr>
        <w:pStyle w:val="SingleTxt"/>
        <w:keepNext/>
        <w:keepLines/>
        <w:spacing w:after="0" w:line="200" w:lineRule="exact"/>
        <w:jc w:val="center"/>
        <w:rPr>
          <w:b/>
          <w:spacing w:val="2"/>
        </w:rPr>
      </w:pPr>
    </w:p>
    <w:tbl>
      <w:tblPr>
        <w:tblW w:w="7231" w:type="dxa"/>
        <w:tblInd w:w="1452" w:type="dxa"/>
        <w:tblLook w:val="04A0" w:firstRow="1" w:lastRow="0" w:firstColumn="1" w:lastColumn="0" w:noHBand="0" w:noVBand="1"/>
      </w:tblPr>
      <w:tblGrid>
        <w:gridCol w:w="3753"/>
        <w:gridCol w:w="1236"/>
        <w:gridCol w:w="1236"/>
        <w:gridCol w:w="1006"/>
      </w:tblGrid>
      <w:tr w:rsidR="007C75F6" w:rsidRPr="00B664C6" w14:paraId="473B5FAD" w14:textId="77777777" w:rsidTr="00FA1E51">
        <w:trPr>
          <w:trHeight w:val="315"/>
        </w:trPr>
        <w:tc>
          <w:tcPr>
            <w:tcW w:w="3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E598F" w14:textId="77777777" w:rsidR="007C75F6" w:rsidRPr="00B664C6" w:rsidRDefault="007C75F6" w:rsidP="003F5F37">
            <w:pPr>
              <w:keepNext/>
              <w:suppressAutoHyphens w:val="0"/>
              <w:spacing w:line="240" w:lineRule="auto"/>
              <w:rPr>
                <w:rFonts w:eastAsia="Times New Roman"/>
                <w:b/>
                <w:bCs/>
                <w:spacing w:val="0"/>
                <w:w w:val="100"/>
                <w:kern w:val="0"/>
                <w:sz w:val="16"/>
                <w:szCs w:val="16"/>
              </w:rPr>
            </w:pP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5A9B08A6" w14:textId="77777777" w:rsidR="007C75F6" w:rsidRPr="00B664C6" w:rsidRDefault="007C75F6" w:rsidP="003F5F37">
            <w:pPr>
              <w:keepNext/>
              <w:suppressAutoHyphens w:val="0"/>
              <w:spacing w:line="240" w:lineRule="auto"/>
              <w:jc w:val="center"/>
              <w:rPr>
                <w:rFonts w:eastAsia="Times New Roman"/>
                <w:b/>
                <w:bCs/>
                <w:spacing w:val="0"/>
                <w:w w:val="100"/>
                <w:kern w:val="0"/>
                <w:sz w:val="16"/>
                <w:szCs w:val="16"/>
              </w:rPr>
            </w:pPr>
            <w:r w:rsidRPr="00B664C6">
              <w:rPr>
                <w:rFonts w:eastAsia="Times New Roman"/>
                <w:b/>
                <w:bCs/>
                <w:spacing w:val="0"/>
                <w:w w:val="100"/>
                <w:kern w:val="0"/>
                <w:sz w:val="16"/>
                <w:szCs w:val="16"/>
              </w:rPr>
              <w:t>Programme and project delivery</w:t>
            </w:r>
          </w:p>
          <w:p w14:paraId="332EB5F7" w14:textId="77777777" w:rsidR="00DC68B6" w:rsidRPr="00B664C6" w:rsidRDefault="00DC68B6" w:rsidP="003F5F37">
            <w:pPr>
              <w:keepNext/>
              <w:suppressAutoHyphens w:val="0"/>
              <w:spacing w:line="240" w:lineRule="auto"/>
              <w:jc w:val="center"/>
              <w:rPr>
                <w:rFonts w:eastAsia="Times New Roman"/>
                <w:b/>
                <w:bCs/>
                <w:spacing w:val="0"/>
                <w:w w:val="100"/>
                <w:kern w:val="0"/>
                <w:sz w:val="16"/>
                <w:szCs w:val="16"/>
              </w:rPr>
            </w:pP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2207979A" w14:textId="77777777" w:rsidR="007C75F6" w:rsidRPr="00B664C6" w:rsidRDefault="007C75F6" w:rsidP="003F5F37">
            <w:pPr>
              <w:keepNext/>
              <w:suppressAutoHyphens w:val="0"/>
              <w:spacing w:line="240" w:lineRule="auto"/>
              <w:jc w:val="center"/>
              <w:rPr>
                <w:rFonts w:eastAsia="Times New Roman"/>
                <w:b/>
                <w:bCs/>
                <w:spacing w:val="0"/>
                <w:w w:val="100"/>
                <w:kern w:val="0"/>
                <w:sz w:val="16"/>
                <w:szCs w:val="16"/>
              </w:rPr>
            </w:pPr>
            <w:r w:rsidRPr="00B664C6">
              <w:rPr>
                <w:rFonts w:eastAsia="Times New Roman"/>
                <w:b/>
                <w:bCs/>
                <w:spacing w:val="0"/>
                <w:w w:val="100"/>
                <w:kern w:val="0"/>
                <w:sz w:val="16"/>
                <w:szCs w:val="16"/>
              </w:rPr>
              <w:t>Reimbursable support services</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184FC4BE" w14:textId="77777777" w:rsidR="007C75F6" w:rsidRPr="00B664C6" w:rsidRDefault="007C75F6" w:rsidP="003F5F37">
            <w:pPr>
              <w:keepNext/>
              <w:suppressAutoHyphens w:val="0"/>
              <w:spacing w:line="240" w:lineRule="auto"/>
              <w:jc w:val="center"/>
              <w:rPr>
                <w:rFonts w:eastAsia="Times New Roman"/>
                <w:b/>
                <w:bCs/>
                <w:spacing w:val="0"/>
                <w:w w:val="100"/>
                <w:kern w:val="0"/>
                <w:sz w:val="16"/>
                <w:szCs w:val="16"/>
              </w:rPr>
            </w:pPr>
            <w:r w:rsidRPr="00B664C6">
              <w:rPr>
                <w:rFonts w:eastAsia="Times New Roman"/>
                <w:b/>
                <w:bCs/>
                <w:spacing w:val="0"/>
                <w:w w:val="100"/>
                <w:kern w:val="0"/>
                <w:sz w:val="16"/>
                <w:szCs w:val="16"/>
              </w:rPr>
              <w:t>Total</w:t>
            </w:r>
          </w:p>
        </w:tc>
      </w:tr>
      <w:tr w:rsidR="007C75F6" w:rsidRPr="00B664C6" w14:paraId="64CD6B89" w14:textId="77777777" w:rsidTr="00FA1E51">
        <w:trPr>
          <w:trHeight w:val="225"/>
        </w:trPr>
        <w:tc>
          <w:tcPr>
            <w:tcW w:w="3753" w:type="dxa"/>
            <w:tcBorders>
              <w:top w:val="nil"/>
              <w:left w:val="nil"/>
              <w:bottom w:val="nil"/>
              <w:right w:val="nil"/>
            </w:tcBorders>
            <w:shd w:val="clear" w:color="auto" w:fill="auto"/>
            <w:noWrap/>
            <w:vAlign w:val="center"/>
            <w:hideMark/>
          </w:tcPr>
          <w:p w14:paraId="4BD24198" w14:textId="77777777" w:rsidR="007C75F6" w:rsidRPr="00B664C6" w:rsidRDefault="007C75F6" w:rsidP="003F5F37">
            <w:pPr>
              <w:keepNext/>
              <w:suppressAutoHyphens w:val="0"/>
              <w:spacing w:line="240" w:lineRule="auto"/>
              <w:rPr>
                <w:rFonts w:eastAsia="Times New Roman"/>
                <w:b/>
                <w:bCs/>
                <w:i/>
                <w:iCs/>
                <w:spacing w:val="0"/>
                <w:w w:val="100"/>
                <w:kern w:val="0"/>
                <w:sz w:val="16"/>
                <w:szCs w:val="16"/>
              </w:rPr>
            </w:pPr>
            <w:r w:rsidRPr="00B664C6">
              <w:rPr>
                <w:rFonts w:eastAsia="Times New Roman"/>
                <w:b/>
                <w:bCs/>
                <w:i/>
                <w:iCs/>
                <w:spacing w:val="0"/>
                <w:w w:val="100"/>
                <w:kern w:val="0"/>
                <w:sz w:val="16"/>
                <w:szCs w:val="16"/>
              </w:rPr>
              <w:t>Revenue</w:t>
            </w:r>
          </w:p>
        </w:tc>
        <w:tc>
          <w:tcPr>
            <w:tcW w:w="1236" w:type="dxa"/>
            <w:tcBorders>
              <w:top w:val="nil"/>
              <w:left w:val="nil"/>
              <w:bottom w:val="nil"/>
              <w:right w:val="nil"/>
            </w:tcBorders>
            <w:shd w:val="clear" w:color="auto" w:fill="auto"/>
            <w:noWrap/>
            <w:vAlign w:val="center"/>
            <w:hideMark/>
          </w:tcPr>
          <w:p w14:paraId="5C2B4493" w14:textId="77777777" w:rsidR="007C75F6" w:rsidRPr="00B664C6" w:rsidRDefault="007C75F6" w:rsidP="003F5F37">
            <w:pPr>
              <w:keepNext/>
              <w:suppressAutoHyphens w:val="0"/>
              <w:spacing w:line="240" w:lineRule="auto"/>
              <w:rPr>
                <w:rFonts w:eastAsia="Times New Roman"/>
                <w:b/>
                <w:bCs/>
                <w:i/>
                <w:iCs/>
                <w:spacing w:val="0"/>
                <w:w w:val="100"/>
                <w:kern w:val="0"/>
                <w:sz w:val="16"/>
                <w:szCs w:val="16"/>
              </w:rPr>
            </w:pPr>
          </w:p>
        </w:tc>
        <w:tc>
          <w:tcPr>
            <w:tcW w:w="1236" w:type="dxa"/>
            <w:tcBorders>
              <w:top w:val="nil"/>
              <w:left w:val="nil"/>
              <w:bottom w:val="nil"/>
              <w:right w:val="nil"/>
            </w:tcBorders>
            <w:shd w:val="clear" w:color="auto" w:fill="auto"/>
            <w:noWrap/>
            <w:vAlign w:val="center"/>
            <w:hideMark/>
          </w:tcPr>
          <w:p w14:paraId="02F2ABE0" w14:textId="77777777" w:rsidR="007C75F6" w:rsidRPr="00B664C6" w:rsidRDefault="007C75F6" w:rsidP="003F5F37">
            <w:pPr>
              <w:keepNext/>
              <w:suppressAutoHyphens w:val="0"/>
              <w:spacing w:line="240" w:lineRule="auto"/>
              <w:jc w:val="center"/>
              <w:rPr>
                <w:rFonts w:eastAsia="Times New Roman"/>
                <w:spacing w:val="0"/>
                <w:w w:val="100"/>
                <w:kern w:val="0"/>
              </w:rPr>
            </w:pPr>
          </w:p>
        </w:tc>
        <w:tc>
          <w:tcPr>
            <w:tcW w:w="1006" w:type="dxa"/>
            <w:tcBorders>
              <w:top w:val="nil"/>
              <w:left w:val="nil"/>
              <w:bottom w:val="nil"/>
              <w:right w:val="nil"/>
            </w:tcBorders>
            <w:shd w:val="clear" w:color="auto" w:fill="auto"/>
            <w:noWrap/>
            <w:vAlign w:val="center"/>
            <w:hideMark/>
          </w:tcPr>
          <w:p w14:paraId="32B85624" w14:textId="77777777" w:rsidR="007C75F6" w:rsidRPr="00B664C6" w:rsidRDefault="007C75F6" w:rsidP="003F5F37">
            <w:pPr>
              <w:keepNext/>
              <w:suppressAutoHyphens w:val="0"/>
              <w:spacing w:line="240" w:lineRule="auto"/>
              <w:jc w:val="center"/>
              <w:rPr>
                <w:rFonts w:eastAsia="Times New Roman"/>
                <w:spacing w:val="0"/>
                <w:w w:val="100"/>
                <w:kern w:val="0"/>
              </w:rPr>
            </w:pPr>
          </w:p>
        </w:tc>
      </w:tr>
      <w:tr w:rsidR="007C75F6" w:rsidRPr="00B664C6" w14:paraId="0044D28E" w14:textId="77777777" w:rsidTr="00FA1E51">
        <w:trPr>
          <w:trHeight w:val="225"/>
        </w:trPr>
        <w:tc>
          <w:tcPr>
            <w:tcW w:w="3753" w:type="dxa"/>
            <w:tcBorders>
              <w:top w:val="single" w:sz="4" w:space="0" w:color="auto"/>
              <w:left w:val="single" w:sz="4" w:space="0" w:color="auto"/>
              <w:bottom w:val="nil"/>
              <w:right w:val="nil"/>
            </w:tcBorders>
            <w:shd w:val="clear" w:color="auto" w:fill="auto"/>
            <w:noWrap/>
            <w:vAlign w:val="center"/>
            <w:hideMark/>
          </w:tcPr>
          <w:p w14:paraId="37A34A0D" w14:textId="0A710D9A" w:rsidR="007C75F6" w:rsidRPr="00B664C6" w:rsidRDefault="007C75F6" w:rsidP="003F5F37">
            <w:pPr>
              <w:keepNext/>
              <w:suppressAutoHyphens w:val="0"/>
              <w:spacing w:line="240" w:lineRule="auto"/>
              <w:rPr>
                <w:rFonts w:eastAsia="Times New Roman"/>
                <w:spacing w:val="0"/>
                <w:w w:val="100"/>
                <w:kern w:val="0"/>
                <w:sz w:val="16"/>
                <w:szCs w:val="16"/>
              </w:rPr>
            </w:pPr>
            <w:r w:rsidRPr="00B664C6">
              <w:rPr>
                <w:rFonts w:eastAsia="Times New Roman"/>
                <w:spacing w:val="0"/>
                <w:w w:val="100"/>
                <w:kern w:val="0"/>
                <w:sz w:val="16"/>
                <w:szCs w:val="16"/>
              </w:rPr>
              <w:t>General management support services</w:t>
            </w:r>
          </w:p>
        </w:tc>
        <w:tc>
          <w:tcPr>
            <w:tcW w:w="1236" w:type="dxa"/>
            <w:tcBorders>
              <w:top w:val="single" w:sz="4" w:space="0" w:color="auto"/>
              <w:left w:val="single" w:sz="4" w:space="0" w:color="auto"/>
              <w:bottom w:val="nil"/>
              <w:right w:val="single" w:sz="4" w:space="0" w:color="auto"/>
            </w:tcBorders>
            <w:shd w:val="clear" w:color="auto" w:fill="auto"/>
            <w:noWrap/>
            <w:vAlign w:val="center"/>
            <w:hideMark/>
          </w:tcPr>
          <w:p w14:paraId="0E5CA20D" w14:textId="467750F9" w:rsidR="007C75F6" w:rsidRPr="00B664C6" w:rsidRDefault="007C75F6" w:rsidP="00B05ED0">
            <w:pPr>
              <w:keepNext/>
              <w:suppressAutoHyphens w:val="0"/>
              <w:spacing w:line="240" w:lineRule="auto"/>
              <w:jc w:val="right"/>
              <w:rPr>
                <w:rFonts w:eastAsia="Times New Roman"/>
                <w:spacing w:val="0"/>
                <w:w w:val="100"/>
                <w:kern w:val="0"/>
                <w:sz w:val="16"/>
                <w:szCs w:val="16"/>
              </w:rPr>
            </w:pPr>
            <w:r w:rsidRPr="00B664C6">
              <w:rPr>
                <w:rFonts w:eastAsia="Times New Roman"/>
                <w:spacing w:val="0"/>
                <w:w w:val="100"/>
                <w:kern w:val="0"/>
                <w:sz w:val="16"/>
                <w:szCs w:val="16"/>
              </w:rPr>
              <w:t xml:space="preserve">                 </w:t>
            </w:r>
            <w:r w:rsidR="00FD2FCD" w:rsidRPr="00B664C6">
              <w:rPr>
                <w:rFonts w:eastAsia="Times New Roman"/>
                <w:spacing w:val="0"/>
                <w:w w:val="100"/>
                <w:kern w:val="0"/>
                <w:sz w:val="16"/>
                <w:szCs w:val="16"/>
              </w:rPr>
              <w:t>236</w:t>
            </w:r>
            <w:r w:rsidRPr="00B664C6">
              <w:rPr>
                <w:rFonts w:eastAsia="Times New Roman"/>
                <w:spacing w:val="0"/>
                <w:w w:val="100"/>
                <w:kern w:val="0"/>
                <w:sz w:val="16"/>
                <w:szCs w:val="16"/>
              </w:rPr>
              <w:t xml:space="preserve"> </w:t>
            </w:r>
          </w:p>
        </w:tc>
        <w:tc>
          <w:tcPr>
            <w:tcW w:w="1236" w:type="dxa"/>
            <w:tcBorders>
              <w:top w:val="single" w:sz="4" w:space="0" w:color="auto"/>
              <w:left w:val="nil"/>
              <w:bottom w:val="nil"/>
              <w:right w:val="single" w:sz="4" w:space="0" w:color="auto"/>
            </w:tcBorders>
            <w:shd w:val="clear" w:color="auto" w:fill="auto"/>
            <w:noWrap/>
            <w:vAlign w:val="center"/>
            <w:hideMark/>
          </w:tcPr>
          <w:p w14:paraId="12C19196" w14:textId="77777777" w:rsidR="007C75F6" w:rsidRPr="00B664C6" w:rsidRDefault="007C75F6" w:rsidP="00B05ED0">
            <w:pPr>
              <w:keepNext/>
              <w:suppressAutoHyphens w:val="0"/>
              <w:spacing w:line="240" w:lineRule="auto"/>
              <w:jc w:val="right"/>
              <w:rPr>
                <w:rFonts w:eastAsia="Times New Roman"/>
                <w:spacing w:val="0"/>
                <w:w w:val="100"/>
                <w:kern w:val="0"/>
                <w:sz w:val="16"/>
                <w:szCs w:val="16"/>
              </w:rPr>
            </w:pPr>
            <w:r w:rsidRPr="00B664C6">
              <w:rPr>
                <w:rFonts w:eastAsia="Times New Roman"/>
                <w:spacing w:val="0"/>
                <w:w w:val="100"/>
                <w:kern w:val="0"/>
                <w:sz w:val="16"/>
                <w:szCs w:val="16"/>
              </w:rPr>
              <w:t xml:space="preserve">                    -   </w:t>
            </w:r>
          </w:p>
        </w:tc>
        <w:tc>
          <w:tcPr>
            <w:tcW w:w="1006" w:type="dxa"/>
            <w:tcBorders>
              <w:top w:val="single" w:sz="4" w:space="0" w:color="auto"/>
              <w:left w:val="nil"/>
              <w:bottom w:val="nil"/>
              <w:right w:val="single" w:sz="4" w:space="0" w:color="auto"/>
            </w:tcBorders>
            <w:shd w:val="clear" w:color="auto" w:fill="auto"/>
            <w:noWrap/>
            <w:vAlign w:val="center"/>
            <w:hideMark/>
          </w:tcPr>
          <w:p w14:paraId="26FAD833" w14:textId="065FBD66" w:rsidR="007C75F6" w:rsidRPr="00B664C6" w:rsidRDefault="007C75F6" w:rsidP="00B05ED0">
            <w:pPr>
              <w:keepNext/>
              <w:suppressAutoHyphens w:val="0"/>
              <w:spacing w:line="240" w:lineRule="auto"/>
              <w:jc w:val="right"/>
              <w:rPr>
                <w:rFonts w:eastAsia="Times New Roman"/>
                <w:spacing w:val="0"/>
                <w:w w:val="100"/>
                <w:kern w:val="0"/>
                <w:sz w:val="16"/>
                <w:szCs w:val="16"/>
              </w:rPr>
            </w:pPr>
            <w:r w:rsidRPr="00B664C6">
              <w:rPr>
                <w:rFonts w:eastAsia="Times New Roman"/>
                <w:spacing w:val="0"/>
                <w:w w:val="100"/>
                <w:kern w:val="0"/>
                <w:sz w:val="16"/>
                <w:szCs w:val="16"/>
              </w:rPr>
              <w:t xml:space="preserve">            </w:t>
            </w:r>
            <w:r w:rsidR="009B1354" w:rsidRPr="00B664C6">
              <w:rPr>
                <w:rFonts w:eastAsia="Times New Roman"/>
                <w:sz w:val="16"/>
                <w:szCs w:val="16"/>
              </w:rPr>
              <w:t>236</w:t>
            </w:r>
            <w:r w:rsidRPr="00B664C6">
              <w:rPr>
                <w:rFonts w:eastAsia="Times New Roman"/>
                <w:spacing w:val="0"/>
                <w:w w:val="100"/>
                <w:kern w:val="0"/>
                <w:sz w:val="16"/>
                <w:szCs w:val="16"/>
              </w:rPr>
              <w:t xml:space="preserve"> </w:t>
            </w:r>
          </w:p>
        </w:tc>
      </w:tr>
      <w:tr w:rsidR="007C75F6" w:rsidRPr="00B664C6" w14:paraId="0829F9A7" w14:textId="77777777" w:rsidTr="00FA1E51">
        <w:trPr>
          <w:trHeight w:val="225"/>
        </w:trPr>
        <w:tc>
          <w:tcPr>
            <w:tcW w:w="3753" w:type="dxa"/>
            <w:tcBorders>
              <w:top w:val="nil"/>
              <w:left w:val="single" w:sz="4" w:space="0" w:color="auto"/>
              <w:bottom w:val="nil"/>
              <w:right w:val="nil"/>
            </w:tcBorders>
            <w:shd w:val="clear" w:color="auto" w:fill="auto"/>
            <w:noWrap/>
            <w:vAlign w:val="center"/>
            <w:hideMark/>
          </w:tcPr>
          <w:p w14:paraId="6B4E43A3" w14:textId="23197FE0" w:rsidR="007C75F6" w:rsidRPr="00B664C6" w:rsidRDefault="007C75F6" w:rsidP="003F5F37">
            <w:pPr>
              <w:keepNext/>
              <w:suppressAutoHyphens w:val="0"/>
              <w:spacing w:line="240" w:lineRule="auto"/>
              <w:rPr>
                <w:rFonts w:eastAsia="Times New Roman"/>
                <w:spacing w:val="0"/>
                <w:w w:val="100"/>
                <w:kern w:val="0"/>
                <w:sz w:val="16"/>
                <w:szCs w:val="16"/>
              </w:rPr>
            </w:pPr>
            <w:r w:rsidRPr="00B664C6">
              <w:rPr>
                <w:rFonts w:eastAsia="Times New Roman"/>
                <w:spacing w:val="0"/>
                <w:w w:val="100"/>
                <w:kern w:val="0"/>
                <w:sz w:val="16"/>
                <w:szCs w:val="16"/>
              </w:rPr>
              <w:t xml:space="preserve">United Nations organizations </w:t>
            </w:r>
            <w:r w:rsidR="00DC68B6" w:rsidRPr="00B664C6">
              <w:rPr>
                <w:rFonts w:eastAsia="Times New Roman"/>
                <w:spacing w:val="0"/>
                <w:w w:val="100"/>
                <w:kern w:val="0"/>
                <w:sz w:val="16"/>
                <w:szCs w:val="16"/>
              </w:rPr>
              <w:t xml:space="preserve">– </w:t>
            </w:r>
            <w:r w:rsidRPr="00B664C6">
              <w:rPr>
                <w:rFonts w:eastAsia="Times New Roman"/>
                <w:spacing w:val="0"/>
                <w:w w:val="100"/>
                <w:kern w:val="0"/>
                <w:sz w:val="16"/>
                <w:szCs w:val="16"/>
              </w:rPr>
              <w:t>reimbursable services</w:t>
            </w:r>
          </w:p>
        </w:tc>
        <w:tc>
          <w:tcPr>
            <w:tcW w:w="1236" w:type="dxa"/>
            <w:tcBorders>
              <w:top w:val="nil"/>
              <w:left w:val="single" w:sz="4" w:space="0" w:color="auto"/>
              <w:bottom w:val="nil"/>
              <w:right w:val="single" w:sz="4" w:space="0" w:color="auto"/>
            </w:tcBorders>
            <w:shd w:val="clear" w:color="auto" w:fill="auto"/>
            <w:noWrap/>
            <w:vAlign w:val="center"/>
            <w:hideMark/>
          </w:tcPr>
          <w:p w14:paraId="3485AAF2" w14:textId="1F60E742" w:rsidR="007C75F6" w:rsidRPr="00B664C6" w:rsidRDefault="007C75F6" w:rsidP="00B05ED0">
            <w:pPr>
              <w:keepNext/>
              <w:suppressAutoHyphens w:val="0"/>
              <w:spacing w:line="240" w:lineRule="auto"/>
              <w:jc w:val="right"/>
              <w:rPr>
                <w:rFonts w:eastAsia="Times New Roman"/>
                <w:spacing w:val="0"/>
                <w:w w:val="100"/>
                <w:kern w:val="0"/>
                <w:sz w:val="16"/>
                <w:szCs w:val="16"/>
              </w:rPr>
            </w:pPr>
            <w:r w:rsidRPr="00B664C6">
              <w:rPr>
                <w:rFonts w:eastAsia="Times New Roman"/>
                <w:spacing w:val="0"/>
                <w:w w:val="100"/>
                <w:kern w:val="0"/>
                <w:sz w:val="16"/>
                <w:szCs w:val="16"/>
              </w:rPr>
              <w:t xml:space="preserve">                   </w:t>
            </w:r>
            <w:r w:rsidR="004D2DF0" w:rsidRPr="00B664C6">
              <w:rPr>
                <w:rFonts w:eastAsia="Times New Roman"/>
                <w:spacing w:val="0"/>
                <w:w w:val="100"/>
                <w:kern w:val="0"/>
                <w:sz w:val="16"/>
                <w:szCs w:val="16"/>
              </w:rPr>
              <w:t>-</w:t>
            </w:r>
            <w:r w:rsidRPr="00B664C6">
              <w:rPr>
                <w:rFonts w:eastAsia="Times New Roman"/>
                <w:spacing w:val="0"/>
                <w:w w:val="100"/>
                <w:kern w:val="0"/>
                <w:sz w:val="16"/>
                <w:szCs w:val="16"/>
              </w:rPr>
              <w:t xml:space="preserve"> </w:t>
            </w:r>
          </w:p>
        </w:tc>
        <w:tc>
          <w:tcPr>
            <w:tcW w:w="1236" w:type="dxa"/>
            <w:tcBorders>
              <w:top w:val="nil"/>
              <w:left w:val="nil"/>
              <w:bottom w:val="nil"/>
              <w:right w:val="single" w:sz="4" w:space="0" w:color="auto"/>
            </w:tcBorders>
            <w:shd w:val="clear" w:color="auto" w:fill="auto"/>
            <w:noWrap/>
            <w:vAlign w:val="center"/>
            <w:hideMark/>
          </w:tcPr>
          <w:p w14:paraId="06FBC8FB" w14:textId="454FD6ED" w:rsidR="007C75F6" w:rsidRPr="00B664C6" w:rsidRDefault="007C75F6" w:rsidP="00B05ED0">
            <w:pPr>
              <w:keepNext/>
              <w:suppressAutoHyphens w:val="0"/>
              <w:spacing w:line="240" w:lineRule="auto"/>
              <w:jc w:val="right"/>
              <w:rPr>
                <w:rFonts w:eastAsia="Times New Roman"/>
                <w:spacing w:val="0"/>
                <w:w w:val="100"/>
                <w:kern w:val="0"/>
                <w:sz w:val="16"/>
                <w:szCs w:val="16"/>
              </w:rPr>
            </w:pPr>
            <w:r w:rsidRPr="00B664C6">
              <w:rPr>
                <w:rFonts w:eastAsia="Times New Roman"/>
                <w:spacing w:val="0"/>
                <w:w w:val="100"/>
                <w:kern w:val="0"/>
                <w:sz w:val="16"/>
                <w:szCs w:val="16"/>
              </w:rPr>
              <w:t xml:space="preserve">                   </w:t>
            </w:r>
            <w:r w:rsidR="004D2DF0" w:rsidRPr="00B664C6">
              <w:rPr>
                <w:rFonts w:eastAsia="Times New Roman"/>
                <w:spacing w:val="0"/>
                <w:w w:val="100"/>
                <w:kern w:val="0"/>
                <w:sz w:val="16"/>
                <w:szCs w:val="16"/>
              </w:rPr>
              <w:t>55</w:t>
            </w:r>
            <w:r w:rsidRPr="00B664C6">
              <w:rPr>
                <w:rFonts w:eastAsia="Times New Roman"/>
                <w:spacing w:val="0"/>
                <w:w w:val="100"/>
                <w:kern w:val="0"/>
                <w:sz w:val="16"/>
                <w:szCs w:val="16"/>
              </w:rPr>
              <w:t xml:space="preserve"> </w:t>
            </w:r>
          </w:p>
        </w:tc>
        <w:tc>
          <w:tcPr>
            <w:tcW w:w="1006" w:type="dxa"/>
            <w:tcBorders>
              <w:top w:val="nil"/>
              <w:left w:val="nil"/>
              <w:bottom w:val="nil"/>
              <w:right w:val="single" w:sz="4" w:space="0" w:color="auto"/>
            </w:tcBorders>
            <w:shd w:val="clear" w:color="auto" w:fill="auto"/>
            <w:noWrap/>
            <w:vAlign w:val="center"/>
            <w:hideMark/>
          </w:tcPr>
          <w:p w14:paraId="0459E81B" w14:textId="73DD0C5C" w:rsidR="007C75F6" w:rsidRPr="00B664C6" w:rsidRDefault="007C75F6" w:rsidP="00B05ED0">
            <w:pPr>
              <w:keepNext/>
              <w:suppressAutoHyphens w:val="0"/>
              <w:spacing w:line="240" w:lineRule="auto"/>
              <w:jc w:val="right"/>
              <w:rPr>
                <w:rFonts w:eastAsia="Times New Roman"/>
                <w:spacing w:val="0"/>
                <w:w w:val="100"/>
                <w:kern w:val="0"/>
                <w:sz w:val="16"/>
                <w:szCs w:val="16"/>
              </w:rPr>
            </w:pPr>
            <w:r w:rsidRPr="00B664C6">
              <w:rPr>
                <w:rFonts w:eastAsia="Times New Roman"/>
                <w:spacing w:val="0"/>
                <w:w w:val="100"/>
                <w:kern w:val="0"/>
                <w:sz w:val="16"/>
                <w:szCs w:val="16"/>
              </w:rPr>
              <w:t xml:space="preserve">              </w:t>
            </w:r>
            <w:r w:rsidR="009B1354" w:rsidRPr="00B664C6">
              <w:rPr>
                <w:rFonts w:eastAsia="Times New Roman"/>
                <w:spacing w:val="0"/>
                <w:w w:val="100"/>
                <w:kern w:val="0"/>
                <w:sz w:val="16"/>
                <w:szCs w:val="16"/>
              </w:rPr>
              <w:t>55</w:t>
            </w:r>
            <w:r w:rsidRPr="00B664C6">
              <w:rPr>
                <w:rFonts w:eastAsia="Times New Roman"/>
                <w:spacing w:val="0"/>
                <w:w w:val="100"/>
                <w:kern w:val="0"/>
                <w:sz w:val="16"/>
                <w:szCs w:val="16"/>
              </w:rPr>
              <w:t xml:space="preserve"> </w:t>
            </w:r>
          </w:p>
        </w:tc>
      </w:tr>
      <w:tr w:rsidR="007C75F6" w:rsidRPr="00B664C6" w14:paraId="4D88BE9D" w14:textId="77777777" w:rsidTr="00FA1E51">
        <w:trPr>
          <w:trHeight w:val="225"/>
        </w:trPr>
        <w:tc>
          <w:tcPr>
            <w:tcW w:w="3753" w:type="dxa"/>
            <w:tcBorders>
              <w:top w:val="nil"/>
              <w:left w:val="single" w:sz="4" w:space="0" w:color="auto"/>
              <w:bottom w:val="nil"/>
              <w:right w:val="nil"/>
            </w:tcBorders>
            <w:shd w:val="clear" w:color="auto" w:fill="auto"/>
            <w:noWrap/>
            <w:vAlign w:val="center"/>
            <w:hideMark/>
          </w:tcPr>
          <w:p w14:paraId="4D5B24BA" w14:textId="77777777" w:rsidR="007C75F6" w:rsidRPr="00B664C6" w:rsidRDefault="007C75F6" w:rsidP="003F5F37">
            <w:pPr>
              <w:keepNext/>
              <w:suppressAutoHyphens w:val="0"/>
              <w:spacing w:line="240" w:lineRule="auto"/>
              <w:rPr>
                <w:rFonts w:eastAsia="Times New Roman"/>
                <w:spacing w:val="0"/>
                <w:w w:val="100"/>
                <w:kern w:val="0"/>
                <w:sz w:val="16"/>
                <w:szCs w:val="16"/>
              </w:rPr>
            </w:pPr>
            <w:r w:rsidRPr="00B664C6">
              <w:rPr>
                <w:rFonts w:eastAsia="Times New Roman"/>
                <w:spacing w:val="0"/>
                <w:w w:val="100"/>
                <w:kern w:val="0"/>
                <w:sz w:val="16"/>
                <w:szCs w:val="16"/>
              </w:rPr>
              <w:t>Administrative agent fees</w:t>
            </w:r>
          </w:p>
        </w:tc>
        <w:tc>
          <w:tcPr>
            <w:tcW w:w="1236" w:type="dxa"/>
            <w:tcBorders>
              <w:top w:val="nil"/>
              <w:left w:val="single" w:sz="4" w:space="0" w:color="auto"/>
              <w:bottom w:val="nil"/>
              <w:right w:val="single" w:sz="4" w:space="0" w:color="auto"/>
            </w:tcBorders>
            <w:shd w:val="clear" w:color="auto" w:fill="auto"/>
            <w:noWrap/>
            <w:vAlign w:val="center"/>
            <w:hideMark/>
          </w:tcPr>
          <w:p w14:paraId="3C9CE217" w14:textId="02301F42" w:rsidR="007C75F6" w:rsidRPr="00B664C6" w:rsidRDefault="007C75F6" w:rsidP="00B05ED0">
            <w:pPr>
              <w:keepNext/>
              <w:suppressAutoHyphens w:val="0"/>
              <w:spacing w:line="240" w:lineRule="auto"/>
              <w:jc w:val="right"/>
              <w:rPr>
                <w:rFonts w:eastAsia="Times New Roman"/>
                <w:spacing w:val="0"/>
                <w:w w:val="100"/>
                <w:kern w:val="0"/>
                <w:sz w:val="16"/>
                <w:szCs w:val="16"/>
              </w:rPr>
            </w:pPr>
            <w:r w:rsidRPr="00B664C6">
              <w:rPr>
                <w:rFonts w:eastAsia="Times New Roman"/>
                <w:spacing w:val="0"/>
                <w:w w:val="100"/>
                <w:kern w:val="0"/>
                <w:sz w:val="16"/>
                <w:szCs w:val="16"/>
              </w:rPr>
              <w:t xml:space="preserve">                     </w:t>
            </w:r>
            <w:r w:rsidR="00FD2FCD" w:rsidRPr="00B664C6">
              <w:rPr>
                <w:rFonts w:eastAsia="Times New Roman"/>
                <w:spacing w:val="0"/>
                <w:w w:val="100"/>
                <w:kern w:val="0"/>
                <w:sz w:val="16"/>
                <w:szCs w:val="16"/>
              </w:rPr>
              <w:t>9</w:t>
            </w:r>
            <w:r w:rsidRPr="00B664C6">
              <w:rPr>
                <w:rFonts w:eastAsia="Times New Roman"/>
                <w:spacing w:val="0"/>
                <w:w w:val="100"/>
                <w:kern w:val="0"/>
                <w:sz w:val="16"/>
                <w:szCs w:val="16"/>
              </w:rPr>
              <w:t xml:space="preserve"> </w:t>
            </w:r>
          </w:p>
        </w:tc>
        <w:tc>
          <w:tcPr>
            <w:tcW w:w="1236" w:type="dxa"/>
            <w:tcBorders>
              <w:top w:val="nil"/>
              <w:left w:val="nil"/>
              <w:bottom w:val="nil"/>
              <w:right w:val="single" w:sz="4" w:space="0" w:color="auto"/>
            </w:tcBorders>
            <w:shd w:val="clear" w:color="auto" w:fill="auto"/>
            <w:noWrap/>
            <w:vAlign w:val="center"/>
            <w:hideMark/>
          </w:tcPr>
          <w:p w14:paraId="699A631F" w14:textId="77777777" w:rsidR="007C75F6" w:rsidRPr="00B664C6" w:rsidRDefault="007C75F6" w:rsidP="00B05ED0">
            <w:pPr>
              <w:keepNext/>
              <w:suppressAutoHyphens w:val="0"/>
              <w:spacing w:line="240" w:lineRule="auto"/>
              <w:jc w:val="right"/>
              <w:rPr>
                <w:rFonts w:eastAsia="Times New Roman"/>
                <w:spacing w:val="0"/>
                <w:w w:val="100"/>
                <w:kern w:val="0"/>
                <w:sz w:val="16"/>
                <w:szCs w:val="16"/>
              </w:rPr>
            </w:pPr>
            <w:r w:rsidRPr="00B664C6">
              <w:rPr>
                <w:rFonts w:eastAsia="Times New Roman"/>
                <w:spacing w:val="0"/>
                <w:w w:val="100"/>
                <w:kern w:val="0"/>
                <w:sz w:val="16"/>
                <w:szCs w:val="16"/>
              </w:rPr>
              <w:t xml:space="preserve">                    -   </w:t>
            </w:r>
          </w:p>
        </w:tc>
        <w:tc>
          <w:tcPr>
            <w:tcW w:w="1006" w:type="dxa"/>
            <w:tcBorders>
              <w:top w:val="nil"/>
              <w:left w:val="nil"/>
              <w:bottom w:val="nil"/>
              <w:right w:val="single" w:sz="4" w:space="0" w:color="auto"/>
            </w:tcBorders>
            <w:shd w:val="clear" w:color="auto" w:fill="auto"/>
            <w:noWrap/>
            <w:vAlign w:val="center"/>
            <w:hideMark/>
          </w:tcPr>
          <w:p w14:paraId="62D98323" w14:textId="0B2BE7F1" w:rsidR="007C75F6" w:rsidRPr="00B664C6" w:rsidRDefault="007C75F6" w:rsidP="00B05ED0">
            <w:pPr>
              <w:keepNext/>
              <w:suppressAutoHyphens w:val="0"/>
              <w:spacing w:line="240" w:lineRule="auto"/>
              <w:jc w:val="right"/>
              <w:rPr>
                <w:rFonts w:eastAsia="Times New Roman"/>
                <w:spacing w:val="0"/>
                <w:w w:val="100"/>
                <w:kern w:val="0"/>
                <w:sz w:val="16"/>
                <w:szCs w:val="16"/>
              </w:rPr>
            </w:pPr>
            <w:r w:rsidRPr="00B664C6">
              <w:rPr>
                <w:rFonts w:eastAsia="Times New Roman"/>
                <w:spacing w:val="0"/>
                <w:w w:val="100"/>
                <w:kern w:val="0"/>
                <w:sz w:val="16"/>
                <w:szCs w:val="16"/>
              </w:rPr>
              <w:t xml:space="preserve">                </w:t>
            </w:r>
            <w:r w:rsidR="009B1354" w:rsidRPr="00B664C6">
              <w:rPr>
                <w:rFonts w:eastAsia="Times New Roman"/>
                <w:spacing w:val="0"/>
                <w:w w:val="100"/>
                <w:kern w:val="0"/>
                <w:sz w:val="16"/>
                <w:szCs w:val="16"/>
              </w:rPr>
              <w:t>9</w:t>
            </w:r>
            <w:r w:rsidRPr="00B664C6">
              <w:rPr>
                <w:rFonts w:eastAsia="Times New Roman"/>
                <w:spacing w:val="0"/>
                <w:w w:val="100"/>
                <w:kern w:val="0"/>
                <w:sz w:val="16"/>
                <w:szCs w:val="16"/>
              </w:rPr>
              <w:t xml:space="preserve"> </w:t>
            </w:r>
          </w:p>
        </w:tc>
      </w:tr>
      <w:tr w:rsidR="007C75F6" w:rsidRPr="00B664C6" w14:paraId="3EA42B88" w14:textId="77777777" w:rsidTr="00FA1E51">
        <w:trPr>
          <w:trHeight w:val="225"/>
        </w:trPr>
        <w:tc>
          <w:tcPr>
            <w:tcW w:w="3753" w:type="dxa"/>
            <w:tcBorders>
              <w:top w:val="nil"/>
              <w:left w:val="single" w:sz="4" w:space="0" w:color="auto"/>
              <w:bottom w:val="nil"/>
              <w:right w:val="nil"/>
            </w:tcBorders>
            <w:shd w:val="clear" w:color="auto" w:fill="auto"/>
            <w:noWrap/>
            <w:vAlign w:val="center"/>
            <w:hideMark/>
          </w:tcPr>
          <w:p w14:paraId="12057244" w14:textId="77777777" w:rsidR="007C75F6" w:rsidRPr="00B664C6" w:rsidRDefault="007C75F6" w:rsidP="003F5F37">
            <w:pPr>
              <w:keepNext/>
              <w:suppressAutoHyphens w:val="0"/>
              <w:spacing w:line="240" w:lineRule="auto"/>
              <w:rPr>
                <w:rFonts w:eastAsia="Times New Roman"/>
                <w:spacing w:val="0"/>
                <w:w w:val="100"/>
                <w:kern w:val="0"/>
                <w:sz w:val="16"/>
                <w:szCs w:val="16"/>
              </w:rPr>
            </w:pPr>
            <w:r w:rsidRPr="00B664C6">
              <w:rPr>
                <w:rFonts w:eastAsia="Times New Roman"/>
                <w:spacing w:val="0"/>
                <w:w w:val="100"/>
                <w:kern w:val="0"/>
                <w:sz w:val="16"/>
                <w:szCs w:val="16"/>
              </w:rPr>
              <w:t xml:space="preserve">NCC contributions </w:t>
            </w:r>
          </w:p>
        </w:tc>
        <w:tc>
          <w:tcPr>
            <w:tcW w:w="1236" w:type="dxa"/>
            <w:tcBorders>
              <w:top w:val="nil"/>
              <w:left w:val="single" w:sz="4" w:space="0" w:color="auto"/>
              <w:bottom w:val="nil"/>
              <w:right w:val="single" w:sz="4" w:space="0" w:color="auto"/>
            </w:tcBorders>
            <w:shd w:val="clear" w:color="auto" w:fill="auto"/>
            <w:noWrap/>
            <w:vAlign w:val="center"/>
            <w:hideMark/>
          </w:tcPr>
          <w:p w14:paraId="75FD5D63" w14:textId="2E6DCE8A" w:rsidR="007C75F6" w:rsidRPr="00B664C6" w:rsidRDefault="007C75F6" w:rsidP="00B05ED0">
            <w:pPr>
              <w:keepNext/>
              <w:suppressAutoHyphens w:val="0"/>
              <w:spacing w:line="240" w:lineRule="auto"/>
              <w:jc w:val="right"/>
              <w:rPr>
                <w:rFonts w:eastAsia="Times New Roman"/>
                <w:spacing w:val="0"/>
                <w:w w:val="100"/>
                <w:kern w:val="0"/>
                <w:sz w:val="16"/>
                <w:szCs w:val="16"/>
              </w:rPr>
            </w:pPr>
            <w:r w:rsidRPr="00B664C6">
              <w:rPr>
                <w:rFonts w:eastAsia="Times New Roman"/>
                <w:spacing w:val="0"/>
                <w:w w:val="100"/>
                <w:kern w:val="0"/>
                <w:sz w:val="16"/>
                <w:szCs w:val="16"/>
              </w:rPr>
              <w:t xml:space="preserve">                  </w:t>
            </w:r>
            <w:r w:rsidR="00FD2FCD" w:rsidRPr="00B664C6">
              <w:rPr>
                <w:rFonts w:eastAsia="Times New Roman"/>
                <w:spacing w:val="0"/>
                <w:w w:val="100"/>
                <w:kern w:val="0"/>
                <w:sz w:val="16"/>
                <w:szCs w:val="16"/>
              </w:rPr>
              <w:t>7</w:t>
            </w:r>
            <w:r w:rsidRPr="00B664C6">
              <w:rPr>
                <w:rFonts w:eastAsia="Times New Roman"/>
                <w:spacing w:val="0"/>
                <w:w w:val="100"/>
                <w:kern w:val="0"/>
                <w:sz w:val="16"/>
                <w:szCs w:val="16"/>
              </w:rPr>
              <w:t xml:space="preserve"> </w:t>
            </w:r>
          </w:p>
        </w:tc>
        <w:tc>
          <w:tcPr>
            <w:tcW w:w="1236" w:type="dxa"/>
            <w:tcBorders>
              <w:top w:val="nil"/>
              <w:left w:val="nil"/>
              <w:bottom w:val="nil"/>
              <w:right w:val="single" w:sz="4" w:space="0" w:color="auto"/>
            </w:tcBorders>
            <w:shd w:val="clear" w:color="auto" w:fill="auto"/>
            <w:noWrap/>
            <w:vAlign w:val="center"/>
            <w:hideMark/>
          </w:tcPr>
          <w:p w14:paraId="13F49222" w14:textId="77777777" w:rsidR="007C75F6" w:rsidRPr="00B664C6" w:rsidRDefault="007C75F6" w:rsidP="00B05ED0">
            <w:pPr>
              <w:keepNext/>
              <w:suppressAutoHyphens w:val="0"/>
              <w:spacing w:line="240" w:lineRule="auto"/>
              <w:jc w:val="right"/>
              <w:rPr>
                <w:rFonts w:eastAsia="Times New Roman"/>
                <w:spacing w:val="0"/>
                <w:w w:val="100"/>
                <w:kern w:val="0"/>
                <w:sz w:val="16"/>
                <w:szCs w:val="16"/>
              </w:rPr>
            </w:pPr>
            <w:r w:rsidRPr="00B664C6">
              <w:rPr>
                <w:rFonts w:eastAsia="Times New Roman"/>
                <w:spacing w:val="0"/>
                <w:w w:val="100"/>
                <w:kern w:val="0"/>
                <w:sz w:val="16"/>
                <w:szCs w:val="16"/>
              </w:rPr>
              <w:t xml:space="preserve">                    -   </w:t>
            </w:r>
          </w:p>
        </w:tc>
        <w:tc>
          <w:tcPr>
            <w:tcW w:w="1006" w:type="dxa"/>
            <w:tcBorders>
              <w:top w:val="nil"/>
              <w:left w:val="nil"/>
              <w:bottom w:val="nil"/>
              <w:right w:val="single" w:sz="4" w:space="0" w:color="auto"/>
            </w:tcBorders>
            <w:shd w:val="clear" w:color="auto" w:fill="auto"/>
            <w:noWrap/>
            <w:vAlign w:val="center"/>
            <w:hideMark/>
          </w:tcPr>
          <w:p w14:paraId="2896DCDF" w14:textId="45994144" w:rsidR="007C75F6" w:rsidRPr="00B664C6" w:rsidRDefault="007C75F6" w:rsidP="00B05ED0">
            <w:pPr>
              <w:keepNext/>
              <w:suppressAutoHyphens w:val="0"/>
              <w:spacing w:line="240" w:lineRule="auto"/>
              <w:jc w:val="right"/>
              <w:rPr>
                <w:rFonts w:eastAsia="Times New Roman"/>
                <w:spacing w:val="0"/>
                <w:w w:val="100"/>
                <w:kern w:val="0"/>
                <w:sz w:val="16"/>
                <w:szCs w:val="16"/>
              </w:rPr>
            </w:pPr>
            <w:r w:rsidRPr="00B664C6">
              <w:rPr>
                <w:rFonts w:eastAsia="Times New Roman"/>
                <w:spacing w:val="0"/>
                <w:w w:val="100"/>
                <w:kern w:val="0"/>
                <w:sz w:val="16"/>
                <w:szCs w:val="16"/>
              </w:rPr>
              <w:t xml:space="preserve">              </w:t>
            </w:r>
            <w:r w:rsidR="009B1354" w:rsidRPr="00B664C6">
              <w:rPr>
                <w:rFonts w:eastAsia="Times New Roman"/>
                <w:spacing w:val="0"/>
                <w:w w:val="100"/>
                <w:kern w:val="0"/>
                <w:sz w:val="16"/>
                <w:szCs w:val="16"/>
              </w:rPr>
              <w:t>7</w:t>
            </w:r>
            <w:r w:rsidRPr="00B664C6">
              <w:rPr>
                <w:rFonts w:eastAsia="Times New Roman"/>
                <w:spacing w:val="0"/>
                <w:w w:val="100"/>
                <w:kern w:val="0"/>
                <w:sz w:val="16"/>
                <w:szCs w:val="16"/>
              </w:rPr>
              <w:t xml:space="preserve"> </w:t>
            </w:r>
          </w:p>
        </w:tc>
      </w:tr>
      <w:tr w:rsidR="007C75F6" w:rsidRPr="00B664C6" w14:paraId="690CB877" w14:textId="77777777" w:rsidTr="00FA1E51">
        <w:trPr>
          <w:trHeight w:val="225"/>
        </w:trPr>
        <w:tc>
          <w:tcPr>
            <w:tcW w:w="3753" w:type="dxa"/>
            <w:tcBorders>
              <w:top w:val="nil"/>
              <w:left w:val="single" w:sz="4" w:space="0" w:color="auto"/>
              <w:bottom w:val="nil"/>
              <w:right w:val="nil"/>
            </w:tcBorders>
            <w:shd w:val="clear" w:color="auto" w:fill="auto"/>
            <w:noWrap/>
            <w:vAlign w:val="center"/>
          </w:tcPr>
          <w:p w14:paraId="3B26D60D" w14:textId="244B6CCC" w:rsidR="007C75F6" w:rsidRPr="00B664C6" w:rsidRDefault="007C75F6" w:rsidP="003F5F37">
            <w:pPr>
              <w:keepNext/>
              <w:suppressAutoHyphens w:val="0"/>
              <w:spacing w:line="240" w:lineRule="auto"/>
              <w:rPr>
                <w:rFonts w:eastAsia="Times New Roman"/>
                <w:spacing w:val="0"/>
                <w:w w:val="100"/>
                <w:kern w:val="0"/>
                <w:sz w:val="16"/>
                <w:szCs w:val="16"/>
              </w:rPr>
            </w:pPr>
            <w:r w:rsidRPr="00B664C6">
              <w:rPr>
                <w:rFonts w:eastAsia="Times New Roman"/>
                <w:spacing w:val="0"/>
                <w:w w:val="100"/>
                <w:kern w:val="0"/>
                <w:sz w:val="16"/>
                <w:szCs w:val="16"/>
              </w:rPr>
              <w:t>U</w:t>
            </w:r>
            <w:r w:rsidR="00DC68B6" w:rsidRPr="00B664C6">
              <w:rPr>
                <w:rFonts w:eastAsia="Times New Roman"/>
                <w:spacing w:val="0"/>
                <w:w w:val="100"/>
                <w:kern w:val="0"/>
                <w:sz w:val="16"/>
                <w:szCs w:val="16"/>
              </w:rPr>
              <w:t xml:space="preserve">pper </w:t>
            </w:r>
            <w:r w:rsidRPr="00B664C6">
              <w:rPr>
                <w:rFonts w:eastAsia="Times New Roman"/>
                <w:spacing w:val="0"/>
                <w:w w:val="100"/>
                <w:kern w:val="0"/>
                <w:sz w:val="16"/>
                <w:szCs w:val="16"/>
              </w:rPr>
              <w:t>MIC contributions</w:t>
            </w:r>
          </w:p>
        </w:tc>
        <w:tc>
          <w:tcPr>
            <w:tcW w:w="1236" w:type="dxa"/>
            <w:tcBorders>
              <w:top w:val="nil"/>
              <w:left w:val="single" w:sz="4" w:space="0" w:color="auto"/>
              <w:bottom w:val="nil"/>
              <w:right w:val="single" w:sz="4" w:space="0" w:color="auto"/>
            </w:tcBorders>
            <w:shd w:val="clear" w:color="auto" w:fill="auto"/>
            <w:noWrap/>
            <w:vAlign w:val="center"/>
          </w:tcPr>
          <w:p w14:paraId="5BEE7BCD" w14:textId="2369A0B0" w:rsidR="007C75F6" w:rsidRPr="00B664C6" w:rsidRDefault="00FD2FCD" w:rsidP="00B05ED0">
            <w:pPr>
              <w:keepNext/>
              <w:suppressAutoHyphens w:val="0"/>
              <w:spacing w:line="240" w:lineRule="auto"/>
              <w:jc w:val="right"/>
              <w:rPr>
                <w:rFonts w:eastAsia="Times New Roman"/>
                <w:spacing w:val="0"/>
                <w:w w:val="100"/>
                <w:kern w:val="0"/>
                <w:sz w:val="16"/>
                <w:szCs w:val="16"/>
              </w:rPr>
            </w:pPr>
            <w:r w:rsidRPr="00B664C6">
              <w:rPr>
                <w:rFonts w:eastAsia="Times New Roman"/>
                <w:spacing w:val="0"/>
                <w:w w:val="100"/>
                <w:kern w:val="0"/>
                <w:sz w:val="16"/>
                <w:szCs w:val="16"/>
              </w:rPr>
              <w:t>9</w:t>
            </w:r>
          </w:p>
        </w:tc>
        <w:tc>
          <w:tcPr>
            <w:tcW w:w="1236" w:type="dxa"/>
            <w:tcBorders>
              <w:top w:val="nil"/>
              <w:left w:val="nil"/>
              <w:bottom w:val="nil"/>
              <w:right w:val="single" w:sz="4" w:space="0" w:color="auto"/>
            </w:tcBorders>
            <w:shd w:val="clear" w:color="auto" w:fill="auto"/>
            <w:noWrap/>
            <w:vAlign w:val="center"/>
          </w:tcPr>
          <w:p w14:paraId="67104176" w14:textId="77777777" w:rsidR="007C75F6" w:rsidRPr="00B664C6" w:rsidRDefault="007C75F6" w:rsidP="00B05ED0">
            <w:pPr>
              <w:keepNext/>
              <w:suppressAutoHyphens w:val="0"/>
              <w:spacing w:line="240" w:lineRule="auto"/>
              <w:jc w:val="right"/>
              <w:rPr>
                <w:rFonts w:eastAsia="Times New Roman"/>
                <w:spacing w:val="0"/>
                <w:w w:val="100"/>
                <w:kern w:val="0"/>
                <w:sz w:val="16"/>
                <w:szCs w:val="16"/>
              </w:rPr>
            </w:pPr>
            <w:r w:rsidRPr="00B664C6">
              <w:rPr>
                <w:rFonts w:eastAsia="Times New Roman"/>
                <w:spacing w:val="0"/>
                <w:w w:val="100"/>
                <w:kern w:val="0"/>
                <w:sz w:val="16"/>
                <w:szCs w:val="16"/>
              </w:rPr>
              <w:t>-</w:t>
            </w:r>
          </w:p>
        </w:tc>
        <w:tc>
          <w:tcPr>
            <w:tcW w:w="1006" w:type="dxa"/>
            <w:tcBorders>
              <w:top w:val="nil"/>
              <w:left w:val="nil"/>
              <w:bottom w:val="nil"/>
              <w:right w:val="single" w:sz="4" w:space="0" w:color="auto"/>
            </w:tcBorders>
            <w:shd w:val="clear" w:color="auto" w:fill="auto"/>
            <w:noWrap/>
            <w:vAlign w:val="center"/>
          </w:tcPr>
          <w:p w14:paraId="75AC2B79" w14:textId="6BC96F51" w:rsidR="007C75F6" w:rsidRPr="00B664C6" w:rsidRDefault="008F3B8D" w:rsidP="00B05ED0">
            <w:pPr>
              <w:keepNext/>
              <w:suppressAutoHyphens w:val="0"/>
              <w:spacing w:line="240" w:lineRule="auto"/>
              <w:jc w:val="right"/>
              <w:rPr>
                <w:rFonts w:eastAsia="Times New Roman"/>
                <w:spacing w:val="0"/>
                <w:w w:val="100"/>
                <w:kern w:val="0"/>
                <w:sz w:val="16"/>
                <w:szCs w:val="16"/>
              </w:rPr>
            </w:pPr>
            <w:r w:rsidRPr="00B664C6">
              <w:rPr>
                <w:rFonts w:eastAsia="Times New Roman"/>
                <w:spacing w:val="0"/>
                <w:w w:val="100"/>
                <w:kern w:val="0"/>
                <w:sz w:val="16"/>
                <w:szCs w:val="16"/>
              </w:rPr>
              <w:t>9</w:t>
            </w:r>
          </w:p>
        </w:tc>
      </w:tr>
      <w:tr w:rsidR="007C75F6" w:rsidRPr="00B664C6" w14:paraId="672D6A2E" w14:textId="77777777" w:rsidTr="00FA1E51">
        <w:trPr>
          <w:trHeight w:val="225"/>
        </w:trPr>
        <w:tc>
          <w:tcPr>
            <w:tcW w:w="3753" w:type="dxa"/>
            <w:tcBorders>
              <w:top w:val="nil"/>
              <w:left w:val="single" w:sz="4" w:space="0" w:color="auto"/>
              <w:bottom w:val="nil"/>
              <w:right w:val="nil"/>
            </w:tcBorders>
            <w:shd w:val="clear" w:color="auto" w:fill="auto"/>
            <w:noWrap/>
            <w:vAlign w:val="center"/>
            <w:hideMark/>
          </w:tcPr>
          <w:p w14:paraId="280DA2A5" w14:textId="77777777" w:rsidR="007C75F6" w:rsidRPr="00B664C6" w:rsidRDefault="007C75F6" w:rsidP="003F5F37">
            <w:pPr>
              <w:keepNext/>
              <w:suppressAutoHyphens w:val="0"/>
              <w:spacing w:line="240" w:lineRule="auto"/>
              <w:rPr>
                <w:rFonts w:eastAsia="Times New Roman"/>
                <w:spacing w:val="0"/>
                <w:w w:val="100"/>
                <w:kern w:val="0"/>
                <w:sz w:val="16"/>
                <w:szCs w:val="16"/>
              </w:rPr>
            </w:pPr>
            <w:r w:rsidRPr="00B664C6">
              <w:rPr>
                <w:rFonts w:eastAsia="Times New Roman"/>
                <w:spacing w:val="0"/>
                <w:w w:val="100"/>
                <w:kern w:val="0"/>
                <w:sz w:val="16"/>
                <w:szCs w:val="16"/>
              </w:rPr>
              <w:t>Interest</w:t>
            </w:r>
          </w:p>
        </w:tc>
        <w:tc>
          <w:tcPr>
            <w:tcW w:w="1236" w:type="dxa"/>
            <w:tcBorders>
              <w:top w:val="nil"/>
              <w:left w:val="single" w:sz="4" w:space="0" w:color="auto"/>
              <w:bottom w:val="nil"/>
              <w:right w:val="single" w:sz="4" w:space="0" w:color="auto"/>
            </w:tcBorders>
            <w:shd w:val="clear" w:color="auto" w:fill="auto"/>
            <w:noWrap/>
            <w:vAlign w:val="center"/>
            <w:hideMark/>
          </w:tcPr>
          <w:p w14:paraId="2E255F9F" w14:textId="26464CF7" w:rsidR="007C75F6" w:rsidRPr="00B664C6" w:rsidRDefault="007C75F6" w:rsidP="00B05ED0">
            <w:pPr>
              <w:keepNext/>
              <w:suppressAutoHyphens w:val="0"/>
              <w:spacing w:line="240" w:lineRule="auto"/>
              <w:jc w:val="right"/>
              <w:rPr>
                <w:rFonts w:eastAsia="Times New Roman"/>
                <w:spacing w:val="0"/>
                <w:w w:val="100"/>
                <w:kern w:val="0"/>
                <w:sz w:val="16"/>
                <w:szCs w:val="16"/>
              </w:rPr>
            </w:pPr>
            <w:r w:rsidRPr="00B664C6">
              <w:rPr>
                <w:rFonts w:eastAsia="Times New Roman"/>
                <w:spacing w:val="0"/>
                <w:w w:val="100"/>
                <w:kern w:val="0"/>
                <w:sz w:val="16"/>
                <w:szCs w:val="16"/>
              </w:rPr>
              <w:t xml:space="preserve">                     </w:t>
            </w:r>
            <w:r w:rsidR="00FD2FCD" w:rsidRPr="00B664C6">
              <w:rPr>
                <w:rFonts w:eastAsia="Times New Roman"/>
                <w:spacing w:val="0"/>
                <w:w w:val="100"/>
                <w:kern w:val="0"/>
                <w:sz w:val="16"/>
                <w:szCs w:val="16"/>
              </w:rPr>
              <w:t>7</w:t>
            </w:r>
            <w:r w:rsidRPr="00B664C6">
              <w:rPr>
                <w:rFonts w:eastAsia="Times New Roman"/>
                <w:spacing w:val="0"/>
                <w:w w:val="100"/>
                <w:kern w:val="0"/>
                <w:sz w:val="16"/>
                <w:szCs w:val="16"/>
              </w:rPr>
              <w:t xml:space="preserve"> </w:t>
            </w:r>
          </w:p>
        </w:tc>
        <w:tc>
          <w:tcPr>
            <w:tcW w:w="1236" w:type="dxa"/>
            <w:tcBorders>
              <w:top w:val="nil"/>
              <w:left w:val="nil"/>
              <w:bottom w:val="nil"/>
              <w:right w:val="single" w:sz="4" w:space="0" w:color="auto"/>
            </w:tcBorders>
            <w:shd w:val="clear" w:color="auto" w:fill="auto"/>
            <w:noWrap/>
            <w:vAlign w:val="center"/>
            <w:hideMark/>
          </w:tcPr>
          <w:p w14:paraId="6AD21BC5" w14:textId="77777777" w:rsidR="007C75F6" w:rsidRPr="00B664C6" w:rsidRDefault="007C75F6" w:rsidP="00B05ED0">
            <w:pPr>
              <w:keepNext/>
              <w:suppressAutoHyphens w:val="0"/>
              <w:spacing w:line="240" w:lineRule="auto"/>
              <w:jc w:val="right"/>
              <w:rPr>
                <w:rFonts w:eastAsia="Times New Roman"/>
                <w:spacing w:val="0"/>
                <w:w w:val="100"/>
                <w:kern w:val="0"/>
                <w:sz w:val="16"/>
                <w:szCs w:val="16"/>
              </w:rPr>
            </w:pPr>
            <w:r w:rsidRPr="00B664C6">
              <w:rPr>
                <w:rFonts w:eastAsia="Times New Roman"/>
                <w:spacing w:val="0"/>
                <w:w w:val="100"/>
                <w:kern w:val="0"/>
                <w:sz w:val="16"/>
                <w:szCs w:val="16"/>
              </w:rPr>
              <w:t xml:space="preserve">                    -   </w:t>
            </w:r>
          </w:p>
        </w:tc>
        <w:tc>
          <w:tcPr>
            <w:tcW w:w="1006" w:type="dxa"/>
            <w:tcBorders>
              <w:top w:val="nil"/>
              <w:left w:val="nil"/>
              <w:bottom w:val="nil"/>
              <w:right w:val="single" w:sz="4" w:space="0" w:color="auto"/>
            </w:tcBorders>
            <w:shd w:val="clear" w:color="auto" w:fill="auto"/>
            <w:noWrap/>
            <w:vAlign w:val="center"/>
            <w:hideMark/>
          </w:tcPr>
          <w:p w14:paraId="19803993" w14:textId="72036F14" w:rsidR="007C75F6" w:rsidRPr="00B664C6" w:rsidRDefault="007C75F6" w:rsidP="00B05ED0">
            <w:pPr>
              <w:keepNext/>
              <w:suppressAutoHyphens w:val="0"/>
              <w:spacing w:line="240" w:lineRule="auto"/>
              <w:jc w:val="right"/>
              <w:rPr>
                <w:rFonts w:eastAsia="Times New Roman"/>
                <w:spacing w:val="0"/>
                <w:w w:val="100"/>
                <w:kern w:val="0"/>
                <w:sz w:val="16"/>
                <w:szCs w:val="16"/>
              </w:rPr>
            </w:pPr>
            <w:r w:rsidRPr="00B664C6">
              <w:rPr>
                <w:rFonts w:eastAsia="Times New Roman"/>
                <w:spacing w:val="0"/>
                <w:w w:val="100"/>
                <w:kern w:val="0"/>
                <w:sz w:val="16"/>
                <w:szCs w:val="16"/>
              </w:rPr>
              <w:t xml:space="preserve">               </w:t>
            </w:r>
            <w:r w:rsidR="009B1354" w:rsidRPr="00B664C6">
              <w:rPr>
                <w:rFonts w:eastAsia="Times New Roman"/>
                <w:spacing w:val="0"/>
                <w:w w:val="100"/>
                <w:kern w:val="0"/>
                <w:sz w:val="16"/>
                <w:szCs w:val="16"/>
              </w:rPr>
              <w:t>7</w:t>
            </w:r>
            <w:r w:rsidRPr="00B664C6">
              <w:rPr>
                <w:rFonts w:eastAsia="Times New Roman"/>
                <w:spacing w:val="0"/>
                <w:w w:val="100"/>
                <w:kern w:val="0"/>
                <w:sz w:val="16"/>
                <w:szCs w:val="16"/>
              </w:rPr>
              <w:t xml:space="preserve"> </w:t>
            </w:r>
          </w:p>
        </w:tc>
      </w:tr>
      <w:tr w:rsidR="007C75F6" w:rsidRPr="00B664C6" w14:paraId="6E27E76A" w14:textId="77777777" w:rsidTr="00FA1E51">
        <w:trPr>
          <w:trHeight w:val="225"/>
        </w:trPr>
        <w:tc>
          <w:tcPr>
            <w:tcW w:w="3753" w:type="dxa"/>
            <w:tcBorders>
              <w:top w:val="nil"/>
              <w:left w:val="single" w:sz="4" w:space="0" w:color="auto"/>
              <w:bottom w:val="single" w:sz="4" w:space="0" w:color="auto"/>
              <w:right w:val="nil"/>
            </w:tcBorders>
            <w:shd w:val="clear" w:color="auto" w:fill="auto"/>
            <w:noWrap/>
            <w:vAlign w:val="center"/>
            <w:hideMark/>
          </w:tcPr>
          <w:p w14:paraId="544F663D" w14:textId="77777777" w:rsidR="007C75F6" w:rsidRPr="00B664C6" w:rsidRDefault="007C75F6" w:rsidP="003F5F37">
            <w:pPr>
              <w:keepNext/>
              <w:suppressAutoHyphens w:val="0"/>
              <w:spacing w:line="240" w:lineRule="auto"/>
              <w:rPr>
                <w:rFonts w:eastAsia="Times New Roman"/>
                <w:spacing w:val="0"/>
                <w:w w:val="100"/>
                <w:kern w:val="0"/>
                <w:sz w:val="16"/>
                <w:szCs w:val="16"/>
              </w:rPr>
            </w:pPr>
            <w:r w:rsidRPr="00B664C6">
              <w:rPr>
                <w:rFonts w:eastAsia="Times New Roman"/>
                <w:spacing w:val="0"/>
                <w:w w:val="100"/>
                <w:kern w:val="0"/>
                <w:sz w:val="16"/>
                <w:szCs w:val="16"/>
              </w:rPr>
              <w:t>Other</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14:paraId="051211D9" w14:textId="3D7682C8" w:rsidR="007C75F6" w:rsidRPr="00B664C6" w:rsidRDefault="007C75F6" w:rsidP="00B05ED0">
            <w:pPr>
              <w:keepNext/>
              <w:suppressAutoHyphens w:val="0"/>
              <w:spacing w:line="240" w:lineRule="auto"/>
              <w:jc w:val="right"/>
              <w:rPr>
                <w:rFonts w:eastAsia="Times New Roman"/>
                <w:spacing w:val="0"/>
                <w:w w:val="100"/>
                <w:kern w:val="0"/>
                <w:sz w:val="16"/>
                <w:szCs w:val="16"/>
              </w:rPr>
            </w:pPr>
            <w:r w:rsidRPr="00B664C6">
              <w:rPr>
                <w:rFonts w:eastAsia="Times New Roman"/>
                <w:spacing w:val="0"/>
                <w:w w:val="100"/>
                <w:kern w:val="0"/>
                <w:sz w:val="16"/>
                <w:szCs w:val="16"/>
              </w:rPr>
              <w:t xml:space="preserve">                   </w:t>
            </w:r>
            <w:r w:rsidR="000C7443" w:rsidRPr="00B664C6">
              <w:rPr>
                <w:rFonts w:eastAsia="Times New Roman"/>
                <w:spacing w:val="0"/>
                <w:w w:val="100"/>
                <w:kern w:val="0"/>
                <w:sz w:val="16"/>
                <w:szCs w:val="16"/>
              </w:rPr>
              <w:t>2</w:t>
            </w:r>
            <w:r w:rsidR="0064457E" w:rsidRPr="00B664C6">
              <w:rPr>
                <w:rFonts w:eastAsia="Times New Roman"/>
                <w:spacing w:val="0"/>
                <w:w w:val="100"/>
                <w:kern w:val="0"/>
                <w:sz w:val="16"/>
                <w:szCs w:val="16"/>
              </w:rPr>
              <w:t>1</w:t>
            </w:r>
            <w:r w:rsidRPr="00B664C6">
              <w:rPr>
                <w:rFonts w:eastAsia="Times New Roman"/>
                <w:spacing w:val="0"/>
                <w:w w:val="100"/>
                <w:kern w:val="0"/>
                <w:sz w:val="16"/>
                <w:szCs w:val="16"/>
              </w:rPr>
              <w:t xml:space="preserve"> </w:t>
            </w:r>
          </w:p>
        </w:tc>
        <w:tc>
          <w:tcPr>
            <w:tcW w:w="1236" w:type="dxa"/>
            <w:tcBorders>
              <w:top w:val="nil"/>
              <w:left w:val="nil"/>
              <w:bottom w:val="single" w:sz="4" w:space="0" w:color="auto"/>
              <w:right w:val="single" w:sz="4" w:space="0" w:color="auto"/>
            </w:tcBorders>
            <w:shd w:val="clear" w:color="auto" w:fill="auto"/>
            <w:noWrap/>
            <w:vAlign w:val="center"/>
            <w:hideMark/>
          </w:tcPr>
          <w:p w14:paraId="21436396" w14:textId="77777777" w:rsidR="007C75F6" w:rsidRPr="00B664C6" w:rsidRDefault="007C75F6" w:rsidP="00B05ED0">
            <w:pPr>
              <w:keepNext/>
              <w:suppressAutoHyphens w:val="0"/>
              <w:spacing w:line="240" w:lineRule="auto"/>
              <w:jc w:val="right"/>
              <w:rPr>
                <w:rFonts w:eastAsia="Times New Roman"/>
                <w:spacing w:val="0"/>
                <w:w w:val="100"/>
                <w:kern w:val="0"/>
                <w:sz w:val="16"/>
                <w:szCs w:val="16"/>
              </w:rPr>
            </w:pPr>
            <w:r w:rsidRPr="00B664C6">
              <w:rPr>
                <w:rFonts w:eastAsia="Times New Roman"/>
                <w:spacing w:val="0"/>
                <w:w w:val="100"/>
                <w:kern w:val="0"/>
                <w:sz w:val="16"/>
                <w:szCs w:val="16"/>
              </w:rPr>
              <w:t xml:space="preserve">                    -   </w:t>
            </w:r>
          </w:p>
        </w:tc>
        <w:tc>
          <w:tcPr>
            <w:tcW w:w="1006" w:type="dxa"/>
            <w:tcBorders>
              <w:top w:val="nil"/>
              <w:left w:val="nil"/>
              <w:bottom w:val="single" w:sz="4" w:space="0" w:color="auto"/>
              <w:right w:val="single" w:sz="4" w:space="0" w:color="auto"/>
            </w:tcBorders>
            <w:shd w:val="clear" w:color="auto" w:fill="auto"/>
            <w:noWrap/>
            <w:vAlign w:val="center"/>
            <w:hideMark/>
          </w:tcPr>
          <w:p w14:paraId="31503C59" w14:textId="08C939D2" w:rsidR="007C75F6" w:rsidRPr="00B664C6" w:rsidRDefault="007C75F6" w:rsidP="00B05ED0">
            <w:pPr>
              <w:keepNext/>
              <w:suppressAutoHyphens w:val="0"/>
              <w:spacing w:line="240" w:lineRule="auto"/>
              <w:jc w:val="right"/>
              <w:rPr>
                <w:rFonts w:eastAsia="Times New Roman"/>
                <w:spacing w:val="0"/>
                <w:w w:val="100"/>
                <w:kern w:val="0"/>
                <w:sz w:val="16"/>
                <w:szCs w:val="16"/>
              </w:rPr>
            </w:pPr>
            <w:r w:rsidRPr="00B664C6">
              <w:rPr>
                <w:rFonts w:eastAsia="Times New Roman"/>
                <w:spacing w:val="0"/>
                <w:w w:val="100"/>
                <w:kern w:val="0"/>
                <w:sz w:val="16"/>
                <w:szCs w:val="16"/>
              </w:rPr>
              <w:t xml:space="preserve">              </w:t>
            </w:r>
            <w:r w:rsidR="000C7443" w:rsidRPr="00B664C6">
              <w:rPr>
                <w:rFonts w:eastAsia="Times New Roman"/>
                <w:spacing w:val="0"/>
                <w:w w:val="100"/>
                <w:kern w:val="0"/>
                <w:sz w:val="16"/>
                <w:szCs w:val="16"/>
              </w:rPr>
              <w:t>2</w:t>
            </w:r>
            <w:r w:rsidR="009B1354" w:rsidRPr="00B664C6">
              <w:rPr>
                <w:rFonts w:eastAsia="Times New Roman"/>
                <w:spacing w:val="0"/>
                <w:w w:val="100"/>
                <w:kern w:val="0"/>
                <w:sz w:val="16"/>
                <w:szCs w:val="16"/>
              </w:rPr>
              <w:t>1</w:t>
            </w:r>
            <w:r w:rsidRPr="00B664C6">
              <w:rPr>
                <w:rFonts w:eastAsia="Times New Roman"/>
                <w:spacing w:val="0"/>
                <w:w w:val="100"/>
                <w:kern w:val="0"/>
                <w:sz w:val="16"/>
                <w:szCs w:val="16"/>
              </w:rPr>
              <w:t xml:space="preserve"> </w:t>
            </w:r>
          </w:p>
        </w:tc>
      </w:tr>
      <w:tr w:rsidR="007C75F6" w:rsidRPr="00B664C6" w14:paraId="741EA4DB" w14:textId="77777777" w:rsidTr="00FA1E51">
        <w:trPr>
          <w:trHeight w:val="284"/>
        </w:trPr>
        <w:tc>
          <w:tcPr>
            <w:tcW w:w="3753" w:type="dxa"/>
            <w:tcBorders>
              <w:top w:val="nil"/>
              <w:left w:val="single" w:sz="4" w:space="0" w:color="auto"/>
              <w:bottom w:val="single" w:sz="4" w:space="0" w:color="auto"/>
              <w:right w:val="nil"/>
            </w:tcBorders>
            <w:shd w:val="clear" w:color="auto" w:fill="auto"/>
            <w:noWrap/>
            <w:vAlign w:val="center"/>
            <w:hideMark/>
          </w:tcPr>
          <w:p w14:paraId="0BE5B97C" w14:textId="77777777" w:rsidR="007C75F6" w:rsidRPr="00B664C6" w:rsidRDefault="007C75F6" w:rsidP="003F5F37">
            <w:pPr>
              <w:keepNext/>
              <w:suppressAutoHyphens w:val="0"/>
              <w:spacing w:line="240" w:lineRule="auto"/>
              <w:rPr>
                <w:rFonts w:eastAsia="Times New Roman"/>
                <w:b/>
                <w:bCs/>
                <w:spacing w:val="0"/>
                <w:w w:val="100"/>
                <w:kern w:val="0"/>
                <w:sz w:val="16"/>
                <w:szCs w:val="16"/>
              </w:rPr>
            </w:pPr>
            <w:r w:rsidRPr="00B664C6">
              <w:rPr>
                <w:rFonts w:eastAsia="Times New Roman"/>
                <w:b/>
                <w:bCs/>
                <w:spacing w:val="0"/>
                <w:w w:val="100"/>
                <w:kern w:val="0"/>
                <w:sz w:val="16"/>
                <w:szCs w:val="16"/>
              </w:rPr>
              <w:t>Total revenue</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14:paraId="070973C9" w14:textId="1E7682EB" w:rsidR="007C75F6" w:rsidRPr="00B664C6" w:rsidRDefault="007C75F6" w:rsidP="00B05ED0">
            <w:pPr>
              <w:keepNext/>
              <w:suppressAutoHyphens w:val="0"/>
              <w:spacing w:line="240" w:lineRule="auto"/>
              <w:jc w:val="right"/>
              <w:rPr>
                <w:rFonts w:eastAsia="Times New Roman"/>
                <w:b/>
                <w:bCs/>
                <w:spacing w:val="0"/>
                <w:w w:val="100"/>
                <w:kern w:val="0"/>
                <w:sz w:val="16"/>
                <w:szCs w:val="16"/>
              </w:rPr>
            </w:pPr>
            <w:r w:rsidRPr="00B664C6">
              <w:rPr>
                <w:rFonts w:eastAsia="Times New Roman"/>
                <w:b/>
                <w:bCs/>
                <w:spacing w:val="0"/>
                <w:w w:val="100"/>
                <w:kern w:val="0"/>
                <w:sz w:val="16"/>
                <w:szCs w:val="16"/>
              </w:rPr>
              <w:t xml:space="preserve">                 </w:t>
            </w:r>
            <w:r w:rsidR="004D2DF0" w:rsidRPr="00B664C6">
              <w:rPr>
                <w:rFonts w:eastAsia="Times New Roman"/>
                <w:b/>
                <w:bCs/>
                <w:spacing w:val="0"/>
                <w:w w:val="100"/>
                <w:kern w:val="0"/>
                <w:sz w:val="16"/>
                <w:szCs w:val="16"/>
              </w:rPr>
              <w:t>289</w:t>
            </w:r>
            <w:r w:rsidRPr="00B664C6">
              <w:rPr>
                <w:rFonts w:eastAsia="Times New Roman"/>
                <w:b/>
                <w:bCs/>
                <w:spacing w:val="0"/>
                <w:w w:val="100"/>
                <w:kern w:val="0"/>
                <w:sz w:val="16"/>
                <w:szCs w:val="16"/>
              </w:rPr>
              <w:t xml:space="preserve"> </w:t>
            </w:r>
          </w:p>
        </w:tc>
        <w:tc>
          <w:tcPr>
            <w:tcW w:w="1236" w:type="dxa"/>
            <w:tcBorders>
              <w:top w:val="nil"/>
              <w:left w:val="nil"/>
              <w:bottom w:val="single" w:sz="4" w:space="0" w:color="auto"/>
              <w:right w:val="single" w:sz="4" w:space="0" w:color="auto"/>
            </w:tcBorders>
            <w:shd w:val="clear" w:color="auto" w:fill="auto"/>
            <w:noWrap/>
            <w:vAlign w:val="center"/>
            <w:hideMark/>
          </w:tcPr>
          <w:p w14:paraId="10ABA02B" w14:textId="3E5D6A09" w:rsidR="007C75F6" w:rsidRPr="00B664C6" w:rsidRDefault="007C75F6" w:rsidP="00B05ED0">
            <w:pPr>
              <w:keepNext/>
              <w:suppressAutoHyphens w:val="0"/>
              <w:spacing w:line="240" w:lineRule="auto"/>
              <w:jc w:val="right"/>
              <w:rPr>
                <w:rFonts w:eastAsia="Times New Roman"/>
                <w:b/>
                <w:bCs/>
                <w:spacing w:val="0"/>
                <w:w w:val="100"/>
                <w:kern w:val="0"/>
                <w:sz w:val="16"/>
                <w:szCs w:val="16"/>
              </w:rPr>
            </w:pPr>
            <w:r w:rsidRPr="00B664C6">
              <w:rPr>
                <w:rFonts w:eastAsia="Times New Roman"/>
                <w:b/>
                <w:bCs/>
                <w:spacing w:val="0"/>
                <w:w w:val="100"/>
                <w:kern w:val="0"/>
                <w:sz w:val="16"/>
                <w:szCs w:val="16"/>
              </w:rPr>
              <w:t xml:space="preserve">                   </w:t>
            </w:r>
            <w:r w:rsidR="004D2DF0" w:rsidRPr="00B664C6">
              <w:rPr>
                <w:rFonts w:eastAsia="Times New Roman"/>
                <w:b/>
                <w:bCs/>
                <w:spacing w:val="0"/>
                <w:w w:val="100"/>
                <w:kern w:val="0"/>
                <w:sz w:val="16"/>
                <w:szCs w:val="16"/>
              </w:rPr>
              <w:t>55</w:t>
            </w:r>
            <w:r w:rsidRPr="00B664C6">
              <w:rPr>
                <w:rFonts w:eastAsia="Times New Roman"/>
                <w:b/>
                <w:bCs/>
                <w:spacing w:val="0"/>
                <w:w w:val="100"/>
                <w:kern w:val="0"/>
                <w:sz w:val="16"/>
                <w:szCs w:val="16"/>
              </w:rPr>
              <w:t xml:space="preserve"> </w:t>
            </w:r>
          </w:p>
        </w:tc>
        <w:tc>
          <w:tcPr>
            <w:tcW w:w="1006" w:type="dxa"/>
            <w:tcBorders>
              <w:top w:val="nil"/>
              <w:left w:val="nil"/>
              <w:bottom w:val="single" w:sz="4" w:space="0" w:color="auto"/>
              <w:right w:val="single" w:sz="4" w:space="0" w:color="auto"/>
            </w:tcBorders>
            <w:shd w:val="clear" w:color="auto" w:fill="auto"/>
            <w:noWrap/>
            <w:vAlign w:val="center"/>
            <w:hideMark/>
          </w:tcPr>
          <w:p w14:paraId="232C434D" w14:textId="22837325" w:rsidR="007C75F6" w:rsidRPr="00B664C6" w:rsidRDefault="007C75F6" w:rsidP="00B05ED0">
            <w:pPr>
              <w:keepNext/>
              <w:suppressAutoHyphens w:val="0"/>
              <w:spacing w:line="240" w:lineRule="auto"/>
              <w:jc w:val="right"/>
              <w:rPr>
                <w:rFonts w:eastAsia="Times New Roman"/>
                <w:b/>
                <w:bCs/>
                <w:spacing w:val="0"/>
                <w:w w:val="100"/>
                <w:kern w:val="0"/>
                <w:sz w:val="16"/>
                <w:szCs w:val="16"/>
              </w:rPr>
            </w:pPr>
            <w:r w:rsidRPr="00B664C6">
              <w:rPr>
                <w:rFonts w:eastAsia="Times New Roman"/>
                <w:b/>
                <w:bCs/>
                <w:spacing w:val="0"/>
                <w:w w:val="100"/>
                <w:kern w:val="0"/>
                <w:sz w:val="16"/>
                <w:szCs w:val="16"/>
              </w:rPr>
              <w:t xml:space="preserve">            </w:t>
            </w:r>
            <w:r w:rsidR="007417E2" w:rsidRPr="00B664C6">
              <w:rPr>
                <w:rFonts w:eastAsia="Times New Roman"/>
                <w:b/>
                <w:bCs/>
                <w:spacing w:val="0"/>
                <w:w w:val="100"/>
                <w:kern w:val="0"/>
                <w:sz w:val="16"/>
                <w:szCs w:val="16"/>
              </w:rPr>
              <w:t>3</w:t>
            </w:r>
            <w:r w:rsidR="009B1354" w:rsidRPr="00B664C6">
              <w:rPr>
                <w:rFonts w:eastAsia="Times New Roman"/>
                <w:b/>
                <w:bCs/>
                <w:spacing w:val="0"/>
                <w:w w:val="100"/>
                <w:kern w:val="0"/>
                <w:sz w:val="16"/>
                <w:szCs w:val="16"/>
              </w:rPr>
              <w:t>44</w:t>
            </w:r>
            <w:r w:rsidRPr="00B664C6">
              <w:rPr>
                <w:rFonts w:eastAsia="Times New Roman"/>
                <w:b/>
                <w:bCs/>
                <w:spacing w:val="0"/>
                <w:w w:val="100"/>
                <w:kern w:val="0"/>
                <w:sz w:val="16"/>
                <w:szCs w:val="16"/>
              </w:rPr>
              <w:t xml:space="preserve"> </w:t>
            </w:r>
          </w:p>
        </w:tc>
      </w:tr>
      <w:tr w:rsidR="007C75F6" w:rsidRPr="00B664C6" w14:paraId="5EA1642E" w14:textId="77777777" w:rsidTr="00FA1E51">
        <w:trPr>
          <w:trHeight w:val="225"/>
        </w:trPr>
        <w:tc>
          <w:tcPr>
            <w:tcW w:w="3753" w:type="dxa"/>
            <w:tcBorders>
              <w:top w:val="nil"/>
              <w:left w:val="nil"/>
              <w:bottom w:val="nil"/>
              <w:right w:val="nil"/>
            </w:tcBorders>
            <w:shd w:val="clear" w:color="auto" w:fill="auto"/>
            <w:noWrap/>
            <w:vAlign w:val="center"/>
            <w:hideMark/>
          </w:tcPr>
          <w:p w14:paraId="56A75520" w14:textId="77777777" w:rsidR="007C75F6" w:rsidRPr="00B664C6" w:rsidRDefault="007C75F6" w:rsidP="003F5F37">
            <w:pPr>
              <w:keepNext/>
              <w:suppressAutoHyphens w:val="0"/>
              <w:spacing w:line="240" w:lineRule="auto"/>
              <w:rPr>
                <w:rFonts w:eastAsia="Times New Roman"/>
                <w:b/>
                <w:bCs/>
                <w:i/>
                <w:iCs/>
                <w:spacing w:val="0"/>
                <w:w w:val="100"/>
                <w:kern w:val="0"/>
                <w:sz w:val="16"/>
                <w:szCs w:val="16"/>
              </w:rPr>
            </w:pPr>
            <w:r w:rsidRPr="00B664C6">
              <w:rPr>
                <w:rFonts w:eastAsia="Times New Roman"/>
                <w:b/>
                <w:bCs/>
                <w:i/>
                <w:iCs/>
                <w:spacing w:val="0"/>
                <w:w w:val="100"/>
                <w:kern w:val="0"/>
                <w:sz w:val="16"/>
                <w:szCs w:val="16"/>
              </w:rPr>
              <w:t>Expenditure</w:t>
            </w:r>
          </w:p>
        </w:tc>
        <w:tc>
          <w:tcPr>
            <w:tcW w:w="1236" w:type="dxa"/>
            <w:tcBorders>
              <w:top w:val="nil"/>
              <w:left w:val="nil"/>
              <w:bottom w:val="nil"/>
              <w:right w:val="nil"/>
            </w:tcBorders>
            <w:shd w:val="clear" w:color="auto" w:fill="auto"/>
            <w:noWrap/>
            <w:vAlign w:val="center"/>
            <w:hideMark/>
          </w:tcPr>
          <w:p w14:paraId="6C79984B" w14:textId="77777777" w:rsidR="007C75F6" w:rsidRPr="00B664C6" w:rsidRDefault="007C75F6" w:rsidP="00B05ED0">
            <w:pPr>
              <w:keepNext/>
              <w:suppressAutoHyphens w:val="0"/>
              <w:spacing w:line="240" w:lineRule="auto"/>
              <w:jc w:val="right"/>
              <w:rPr>
                <w:rFonts w:eastAsia="Times New Roman"/>
                <w:b/>
                <w:bCs/>
                <w:i/>
                <w:iCs/>
                <w:spacing w:val="0"/>
                <w:w w:val="100"/>
                <w:kern w:val="0"/>
                <w:sz w:val="16"/>
                <w:szCs w:val="16"/>
              </w:rPr>
            </w:pPr>
          </w:p>
        </w:tc>
        <w:tc>
          <w:tcPr>
            <w:tcW w:w="1236" w:type="dxa"/>
            <w:tcBorders>
              <w:top w:val="nil"/>
              <w:left w:val="nil"/>
              <w:bottom w:val="nil"/>
              <w:right w:val="nil"/>
            </w:tcBorders>
            <w:shd w:val="clear" w:color="auto" w:fill="auto"/>
            <w:noWrap/>
            <w:vAlign w:val="center"/>
            <w:hideMark/>
          </w:tcPr>
          <w:p w14:paraId="0FD47620" w14:textId="77777777" w:rsidR="007C75F6" w:rsidRPr="00B664C6" w:rsidRDefault="007C75F6" w:rsidP="00B05ED0">
            <w:pPr>
              <w:keepNext/>
              <w:suppressAutoHyphens w:val="0"/>
              <w:spacing w:line="240" w:lineRule="auto"/>
              <w:jc w:val="right"/>
              <w:rPr>
                <w:rFonts w:eastAsia="Times New Roman"/>
                <w:spacing w:val="0"/>
                <w:w w:val="100"/>
                <w:kern w:val="0"/>
              </w:rPr>
            </w:pPr>
          </w:p>
        </w:tc>
        <w:tc>
          <w:tcPr>
            <w:tcW w:w="1006" w:type="dxa"/>
            <w:tcBorders>
              <w:top w:val="nil"/>
              <w:left w:val="nil"/>
              <w:bottom w:val="nil"/>
              <w:right w:val="nil"/>
            </w:tcBorders>
            <w:shd w:val="clear" w:color="auto" w:fill="auto"/>
            <w:noWrap/>
            <w:vAlign w:val="center"/>
            <w:hideMark/>
          </w:tcPr>
          <w:p w14:paraId="64C46D49" w14:textId="77777777" w:rsidR="007C75F6" w:rsidRPr="00B664C6" w:rsidRDefault="007C75F6" w:rsidP="00B05ED0">
            <w:pPr>
              <w:keepNext/>
              <w:suppressAutoHyphens w:val="0"/>
              <w:spacing w:line="240" w:lineRule="auto"/>
              <w:jc w:val="right"/>
              <w:rPr>
                <w:rFonts w:eastAsia="Times New Roman"/>
                <w:spacing w:val="0"/>
                <w:w w:val="100"/>
                <w:kern w:val="0"/>
              </w:rPr>
            </w:pPr>
          </w:p>
        </w:tc>
      </w:tr>
      <w:tr w:rsidR="007C75F6" w:rsidRPr="00B664C6" w14:paraId="7EAC4104" w14:textId="77777777" w:rsidTr="00FA1E51">
        <w:trPr>
          <w:trHeight w:val="284"/>
        </w:trPr>
        <w:tc>
          <w:tcPr>
            <w:tcW w:w="3753" w:type="dxa"/>
            <w:tcBorders>
              <w:top w:val="single" w:sz="4" w:space="0" w:color="auto"/>
              <w:left w:val="single" w:sz="4" w:space="0" w:color="auto"/>
              <w:bottom w:val="single" w:sz="4" w:space="0" w:color="auto"/>
              <w:right w:val="nil"/>
            </w:tcBorders>
            <w:shd w:val="clear" w:color="auto" w:fill="auto"/>
            <w:noWrap/>
            <w:vAlign w:val="center"/>
            <w:hideMark/>
          </w:tcPr>
          <w:p w14:paraId="708D30AB" w14:textId="77777777" w:rsidR="007C75F6" w:rsidRPr="00B664C6" w:rsidRDefault="007C75F6" w:rsidP="003F5F37">
            <w:pPr>
              <w:keepNext/>
              <w:suppressAutoHyphens w:val="0"/>
              <w:spacing w:line="240" w:lineRule="auto"/>
              <w:rPr>
                <w:rFonts w:eastAsia="Times New Roman"/>
                <w:b/>
                <w:bCs/>
                <w:spacing w:val="0"/>
                <w:w w:val="100"/>
                <w:kern w:val="0"/>
                <w:sz w:val="16"/>
                <w:szCs w:val="16"/>
              </w:rPr>
            </w:pPr>
            <w:r w:rsidRPr="00B664C6">
              <w:rPr>
                <w:rFonts w:eastAsia="Times New Roman"/>
                <w:b/>
                <w:bCs/>
                <w:spacing w:val="0"/>
                <w:w w:val="100"/>
                <w:kern w:val="0"/>
                <w:sz w:val="16"/>
                <w:szCs w:val="16"/>
              </w:rPr>
              <w:t>Total expenditure</w:t>
            </w:r>
          </w:p>
        </w:tc>
        <w:tc>
          <w:tcPr>
            <w:tcW w:w="1236" w:type="dxa"/>
            <w:tcBorders>
              <w:top w:val="single" w:sz="4" w:space="0" w:color="auto"/>
              <w:left w:val="single" w:sz="4" w:space="0" w:color="auto"/>
              <w:bottom w:val="single" w:sz="4" w:space="0" w:color="auto"/>
              <w:right w:val="nil"/>
            </w:tcBorders>
            <w:shd w:val="clear" w:color="auto" w:fill="auto"/>
            <w:noWrap/>
            <w:vAlign w:val="center"/>
            <w:hideMark/>
          </w:tcPr>
          <w:p w14:paraId="739108E7" w14:textId="5FB3209E" w:rsidR="007C75F6" w:rsidRPr="00B664C6" w:rsidRDefault="007C75F6" w:rsidP="00B05ED0">
            <w:pPr>
              <w:keepNext/>
              <w:suppressAutoHyphens w:val="0"/>
              <w:spacing w:line="240" w:lineRule="auto"/>
              <w:jc w:val="right"/>
              <w:rPr>
                <w:rFonts w:eastAsia="Times New Roman"/>
                <w:b/>
                <w:bCs/>
                <w:spacing w:val="0"/>
                <w:w w:val="100"/>
                <w:kern w:val="0"/>
                <w:sz w:val="16"/>
                <w:szCs w:val="16"/>
              </w:rPr>
            </w:pPr>
            <w:r w:rsidRPr="00B664C6">
              <w:rPr>
                <w:rFonts w:eastAsia="Times New Roman"/>
                <w:b/>
                <w:bCs/>
                <w:spacing w:val="0"/>
                <w:w w:val="100"/>
                <w:kern w:val="0"/>
                <w:sz w:val="16"/>
                <w:szCs w:val="16"/>
              </w:rPr>
              <w:t xml:space="preserve">                 </w:t>
            </w:r>
            <w:r w:rsidR="00BA4955" w:rsidRPr="00B664C6">
              <w:rPr>
                <w:rFonts w:eastAsia="Times New Roman"/>
                <w:b/>
                <w:bCs/>
                <w:spacing w:val="0"/>
                <w:w w:val="100"/>
                <w:kern w:val="0"/>
                <w:sz w:val="16"/>
                <w:szCs w:val="16"/>
              </w:rPr>
              <w:t>311</w:t>
            </w:r>
            <w:r w:rsidRPr="00B664C6">
              <w:rPr>
                <w:rFonts w:eastAsia="Times New Roman"/>
                <w:b/>
                <w:bCs/>
                <w:spacing w:val="0"/>
                <w:w w:val="100"/>
                <w:kern w:val="0"/>
                <w:sz w:val="16"/>
                <w:szCs w:val="16"/>
              </w:rPr>
              <w:t xml:space="preserve">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F7EA1" w14:textId="27E528B0" w:rsidR="007C75F6" w:rsidRPr="00B664C6" w:rsidRDefault="007C75F6" w:rsidP="00B05ED0">
            <w:pPr>
              <w:keepNext/>
              <w:suppressAutoHyphens w:val="0"/>
              <w:spacing w:line="240" w:lineRule="auto"/>
              <w:jc w:val="right"/>
              <w:rPr>
                <w:rFonts w:eastAsia="Times New Roman"/>
                <w:b/>
                <w:bCs/>
                <w:spacing w:val="0"/>
                <w:w w:val="100"/>
                <w:kern w:val="0"/>
                <w:sz w:val="16"/>
                <w:szCs w:val="16"/>
              </w:rPr>
            </w:pPr>
            <w:r w:rsidRPr="00B664C6">
              <w:rPr>
                <w:rFonts w:eastAsia="Times New Roman"/>
                <w:b/>
                <w:bCs/>
                <w:spacing w:val="0"/>
                <w:w w:val="100"/>
                <w:kern w:val="0"/>
                <w:sz w:val="16"/>
                <w:szCs w:val="16"/>
              </w:rPr>
              <w:t xml:space="preserve">                   </w:t>
            </w:r>
            <w:r w:rsidR="007417E2" w:rsidRPr="00B664C6">
              <w:rPr>
                <w:rFonts w:eastAsia="Times New Roman"/>
                <w:b/>
                <w:bCs/>
                <w:spacing w:val="0"/>
                <w:w w:val="100"/>
                <w:kern w:val="0"/>
                <w:sz w:val="16"/>
                <w:szCs w:val="16"/>
              </w:rPr>
              <w:t>60</w:t>
            </w:r>
            <w:r w:rsidRPr="00B664C6">
              <w:rPr>
                <w:rFonts w:eastAsia="Times New Roman"/>
                <w:b/>
                <w:bCs/>
                <w:spacing w:val="0"/>
                <w:w w:val="100"/>
                <w:kern w:val="0"/>
                <w:sz w:val="16"/>
                <w:szCs w:val="16"/>
              </w:rPr>
              <w:t xml:space="preserve"> </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5379B1F1" w14:textId="69484F45" w:rsidR="007C75F6" w:rsidRPr="00B664C6" w:rsidRDefault="007C75F6" w:rsidP="00B05ED0">
            <w:pPr>
              <w:keepNext/>
              <w:suppressAutoHyphens w:val="0"/>
              <w:spacing w:line="240" w:lineRule="auto"/>
              <w:jc w:val="right"/>
              <w:rPr>
                <w:rFonts w:eastAsia="Times New Roman"/>
                <w:b/>
                <w:bCs/>
                <w:spacing w:val="0"/>
                <w:w w:val="100"/>
                <w:kern w:val="0"/>
                <w:sz w:val="16"/>
                <w:szCs w:val="16"/>
              </w:rPr>
            </w:pPr>
            <w:r w:rsidRPr="00B664C6">
              <w:rPr>
                <w:rFonts w:eastAsia="Times New Roman"/>
                <w:b/>
                <w:bCs/>
                <w:spacing w:val="0"/>
                <w:w w:val="100"/>
                <w:kern w:val="0"/>
                <w:sz w:val="16"/>
                <w:szCs w:val="16"/>
              </w:rPr>
              <w:t xml:space="preserve">            </w:t>
            </w:r>
            <w:r w:rsidR="007417E2" w:rsidRPr="00B664C6">
              <w:rPr>
                <w:rFonts w:eastAsia="Times New Roman"/>
                <w:b/>
                <w:bCs/>
                <w:spacing w:val="0"/>
                <w:w w:val="100"/>
                <w:kern w:val="0"/>
                <w:sz w:val="16"/>
                <w:szCs w:val="16"/>
              </w:rPr>
              <w:t xml:space="preserve">371 </w:t>
            </w:r>
          </w:p>
        </w:tc>
      </w:tr>
    </w:tbl>
    <w:p w14:paraId="11CF7663" w14:textId="722092E0" w:rsidR="00A1057B" w:rsidRPr="00B664C6" w:rsidRDefault="00A1057B" w:rsidP="00E82350">
      <w:pPr>
        <w:tabs>
          <w:tab w:val="left" w:pos="1470"/>
        </w:tabs>
        <w:suppressAutoHyphens w:val="0"/>
        <w:spacing w:line="240" w:lineRule="auto"/>
      </w:pPr>
    </w:p>
    <w:p w14:paraId="1E26066F" w14:textId="08B6278A" w:rsidR="006A1235" w:rsidRPr="00B664C6" w:rsidRDefault="00370B8D" w:rsidP="00AF3FD4">
      <w:pPr>
        <w:pStyle w:val="ListParagraph"/>
        <w:numPr>
          <w:ilvl w:val="0"/>
          <w:numId w:val="5"/>
        </w:numPr>
        <w:spacing w:before="240" w:after="240" w:line="240" w:lineRule="auto"/>
        <w:ind w:right="1267"/>
        <w:contextualSpacing w:val="0"/>
        <w:jc w:val="both"/>
      </w:pPr>
      <w:r w:rsidRPr="00B664C6">
        <w:t>UNDP made every effort to attain full compliance with the cost recovery rate and seeks to further reduce the number of waivers. While infrequent, general management support waivers continue to be requested by funding partners. During 20</w:t>
      </w:r>
      <w:r w:rsidR="006D4C2F" w:rsidRPr="00B664C6">
        <w:t>20</w:t>
      </w:r>
      <w:r w:rsidRPr="00B664C6">
        <w:t xml:space="preserve">, </w:t>
      </w:r>
      <w:r w:rsidR="00755C5D" w:rsidRPr="00B664C6">
        <w:t xml:space="preserve">only one </w:t>
      </w:r>
      <w:r w:rsidRPr="00B664C6">
        <w:t>new waiver on the general management support fee was granted for new project</w:t>
      </w:r>
      <w:r w:rsidR="00755C5D" w:rsidRPr="00B664C6">
        <w:t xml:space="preserve"> </w:t>
      </w:r>
      <w:r w:rsidR="00584796" w:rsidRPr="00B664C6">
        <w:t>with financial impact of $</w:t>
      </w:r>
      <w:r w:rsidR="000F4E2D" w:rsidRPr="00B664C6">
        <w:t>34 thousands</w:t>
      </w:r>
      <w:r w:rsidR="00220698">
        <w:t xml:space="preserve"> on 2020 delivery out of its total financial impact of $38 thousands</w:t>
      </w:r>
      <w:r w:rsidR="003E363B" w:rsidRPr="00B664C6">
        <w:t>.</w:t>
      </w:r>
      <w:r w:rsidR="0067690E" w:rsidRPr="00B664C6">
        <w:t xml:space="preserve"> </w:t>
      </w:r>
      <w:r w:rsidR="003E363B" w:rsidRPr="00B664C6">
        <w:t xml:space="preserve">The </w:t>
      </w:r>
      <w:r w:rsidR="005A44CD" w:rsidRPr="00B664C6">
        <w:t>details</w:t>
      </w:r>
      <w:r w:rsidR="003E363B" w:rsidRPr="00B664C6">
        <w:t xml:space="preserve"> of GMS waivers</w:t>
      </w:r>
      <w:r w:rsidR="005A44CD" w:rsidRPr="00B664C6">
        <w:t xml:space="preserve"> issued </w:t>
      </w:r>
      <w:r w:rsidR="00220698">
        <w:t xml:space="preserve">in 2020 and </w:t>
      </w:r>
      <w:r w:rsidR="005A44CD" w:rsidRPr="00B664C6">
        <w:t xml:space="preserve">prior to 2020 for activities on-going in 2020 are described in </w:t>
      </w:r>
      <w:r w:rsidR="0067690E" w:rsidRPr="00B664C6">
        <w:t>Appendix V.</w:t>
      </w:r>
    </w:p>
    <w:p w14:paraId="079A8292" w14:textId="00B15E87" w:rsidR="00CA2ECE" w:rsidRPr="00785F3A" w:rsidRDefault="00CA2ECE" w:rsidP="009E5F63">
      <w:pPr>
        <w:pStyle w:val="H1"/>
        <w:numPr>
          <w:ilvl w:val="1"/>
          <w:numId w:val="6"/>
        </w:numPr>
        <w:tabs>
          <w:tab w:val="clear" w:pos="1022"/>
          <w:tab w:val="clear" w:pos="1742"/>
          <w:tab w:val="right" w:pos="1440"/>
          <w:tab w:val="left" w:pos="1800"/>
        </w:tabs>
        <w:spacing w:before="240" w:after="240" w:line="240" w:lineRule="auto"/>
        <w:ind w:left="1152" w:right="0"/>
        <w:outlineLvl w:val="1"/>
      </w:pPr>
      <w:bookmarkStart w:id="294" w:name="_Toc75466840"/>
      <w:bookmarkStart w:id="295" w:name="_Hlk884380"/>
      <w:r w:rsidRPr="00785F3A">
        <w:t>Expenses</w:t>
      </w:r>
      <w:bookmarkEnd w:id="294"/>
    </w:p>
    <w:bookmarkEnd w:id="295"/>
    <w:p w14:paraId="21EC8460" w14:textId="6AE52C2C" w:rsidR="00B57790" w:rsidRPr="00B664C6" w:rsidRDefault="00AC0CBF" w:rsidP="00AF3FD4">
      <w:pPr>
        <w:pStyle w:val="ListParagraph"/>
        <w:numPr>
          <w:ilvl w:val="0"/>
          <w:numId w:val="5"/>
        </w:numPr>
        <w:spacing w:before="240" w:after="240" w:line="240" w:lineRule="auto"/>
        <w:ind w:right="1267"/>
        <w:contextualSpacing w:val="0"/>
        <w:jc w:val="both"/>
      </w:pPr>
      <w:r w:rsidRPr="00B664C6">
        <w:t>In 20</w:t>
      </w:r>
      <w:r w:rsidR="00EE6BB8" w:rsidRPr="00B664C6">
        <w:t>20</w:t>
      </w:r>
      <w:r w:rsidRPr="00B664C6">
        <w:t>, t</w:t>
      </w:r>
      <w:r w:rsidR="00CA2ECE" w:rsidRPr="00B664C6">
        <w:t xml:space="preserve">otal expenses, </w:t>
      </w:r>
      <w:r w:rsidR="001D5BD9" w:rsidRPr="00B664C6">
        <w:t>after</w:t>
      </w:r>
      <w:r w:rsidR="00CA2ECE" w:rsidRPr="00B664C6">
        <w:t xml:space="preserve"> elimination, </w:t>
      </w:r>
      <w:r w:rsidR="00785F3A" w:rsidRPr="00B664C6">
        <w:t>in</w:t>
      </w:r>
      <w:r w:rsidR="00EC5470" w:rsidRPr="00B664C6">
        <w:t>creased</w:t>
      </w:r>
      <w:r w:rsidR="00A065A2" w:rsidRPr="00B664C6">
        <w:t xml:space="preserve"> </w:t>
      </w:r>
      <w:r w:rsidR="00DC33F0" w:rsidRPr="00B664C6">
        <w:t>by 3 per cent</w:t>
      </w:r>
      <w:r w:rsidR="00A065A2" w:rsidRPr="00B664C6">
        <w:t xml:space="preserve"> or </w:t>
      </w:r>
      <w:r w:rsidR="00785F3A" w:rsidRPr="00B664C6">
        <w:t>127</w:t>
      </w:r>
      <w:r w:rsidR="00C70C0B" w:rsidRPr="00B664C6">
        <w:t xml:space="preserve"> million</w:t>
      </w:r>
      <w:r w:rsidR="00EA7E3F" w:rsidRPr="00B664C6">
        <w:t>, to $</w:t>
      </w:r>
      <w:r w:rsidR="00785F3A" w:rsidRPr="00B664C6">
        <w:t>5.1</w:t>
      </w:r>
      <w:r w:rsidR="001C67D0" w:rsidRPr="00B664C6">
        <w:t xml:space="preserve"> billion</w:t>
      </w:r>
      <w:r w:rsidR="00EA7E3F" w:rsidRPr="00B664C6">
        <w:t xml:space="preserve"> (</w:t>
      </w:r>
      <w:r w:rsidR="00785F3A" w:rsidRPr="00B664C6">
        <w:t>2019</w:t>
      </w:r>
      <w:r w:rsidR="00EA7E3F" w:rsidRPr="00B664C6">
        <w:t>: $</w:t>
      </w:r>
      <w:r w:rsidR="00785F3A" w:rsidRPr="00B664C6">
        <w:t>4.9</w:t>
      </w:r>
      <w:r w:rsidR="001C67D0" w:rsidRPr="00B664C6">
        <w:t xml:space="preserve"> </w:t>
      </w:r>
      <w:r w:rsidR="00E7076F" w:rsidRPr="00B664C6">
        <w:t>billion)</w:t>
      </w:r>
      <w:r w:rsidR="00A00A87" w:rsidRPr="00B664C6">
        <w:t xml:space="preserve">. </w:t>
      </w:r>
    </w:p>
    <w:p w14:paraId="390EA5D2" w14:textId="643760D3" w:rsidR="001B3551" w:rsidRPr="00B664C6" w:rsidRDefault="00061BF3" w:rsidP="00AF3FD4">
      <w:pPr>
        <w:pStyle w:val="ListParagraph"/>
        <w:numPr>
          <w:ilvl w:val="0"/>
          <w:numId w:val="5"/>
        </w:numPr>
        <w:spacing w:before="240" w:after="240" w:line="240" w:lineRule="auto"/>
        <w:ind w:right="1267"/>
        <w:contextualSpacing w:val="0"/>
        <w:jc w:val="both"/>
      </w:pPr>
      <w:r w:rsidRPr="00B664C6">
        <w:t xml:space="preserve">Out of this total </w:t>
      </w:r>
      <w:r w:rsidR="00116D56" w:rsidRPr="00B664C6">
        <w:t xml:space="preserve">of </w:t>
      </w:r>
      <w:r w:rsidRPr="00B664C6">
        <w:t>$</w:t>
      </w:r>
      <w:r w:rsidR="00785F3A" w:rsidRPr="00B664C6">
        <w:t>5.1</w:t>
      </w:r>
      <w:r w:rsidR="00267F19" w:rsidRPr="00B664C6">
        <w:t xml:space="preserve"> </w:t>
      </w:r>
      <w:r w:rsidR="00E7076F" w:rsidRPr="00B664C6">
        <w:t>billion,</w:t>
      </w:r>
      <w:r w:rsidRPr="00B664C6">
        <w:t xml:space="preserve"> $</w:t>
      </w:r>
      <w:r w:rsidR="009F5D88" w:rsidRPr="00B664C6">
        <w:t>4.4</w:t>
      </w:r>
      <w:r w:rsidRPr="00B664C6">
        <w:t xml:space="preserve"> </w:t>
      </w:r>
      <w:r w:rsidR="0022680B" w:rsidRPr="00B664C6">
        <w:t>billion</w:t>
      </w:r>
      <w:r w:rsidRPr="00B664C6">
        <w:t xml:space="preserve"> was for programme expenses, which represents 8</w:t>
      </w:r>
      <w:r w:rsidR="00D80F3E" w:rsidRPr="00B664C6">
        <w:t>7</w:t>
      </w:r>
      <w:r w:rsidRPr="00B664C6">
        <w:t xml:space="preserve"> per cent</w:t>
      </w:r>
      <w:r w:rsidR="00A91025" w:rsidRPr="00B664C6">
        <w:t xml:space="preserve"> of total expenses</w:t>
      </w:r>
      <w:r w:rsidRPr="00B664C6">
        <w:t>.</w:t>
      </w:r>
      <w:r w:rsidR="003F3A35" w:rsidRPr="00B664C6">
        <w:t xml:space="preserve">  </w:t>
      </w:r>
      <w:r w:rsidRPr="00B664C6">
        <w:t>Th</w:t>
      </w:r>
      <w:r w:rsidR="008021C3" w:rsidRPr="00B664C6">
        <w:t xml:space="preserve">e amount of </w:t>
      </w:r>
      <w:r w:rsidRPr="00B664C6">
        <w:t>$</w:t>
      </w:r>
      <w:r w:rsidR="00D80F3E" w:rsidRPr="00B664C6">
        <w:t>5.3</w:t>
      </w:r>
      <w:r w:rsidRPr="00B664C6">
        <w:t xml:space="preserve"> </w:t>
      </w:r>
      <w:r w:rsidR="00795AB1" w:rsidRPr="00B664C6">
        <w:t>bi</w:t>
      </w:r>
      <w:r w:rsidRPr="00B664C6">
        <w:t>llion</w:t>
      </w:r>
      <w:r w:rsidR="008021C3" w:rsidRPr="00B664C6">
        <w:t>, before elimination</w:t>
      </w:r>
      <w:r w:rsidR="001F1170" w:rsidRPr="00B664C6">
        <w:t>,</w:t>
      </w:r>
      <w:r w:rsidRPr="00B664C6">
        <w:t xml:space="preserve"> is composed of $</w:t>
      </w:r>
      <w:r w:rsidR="009D3AF1" w:rsidRPr="00B664C6">
        <w:t>757</w:t>
      </w:r>
      <w:r w:rsidRPr="00B664C6">
        <w:t xml:space="preserve"> million for regular resources and $</w:t>
      </w:r>
      <w:r w:rsidR="006D1085" w:rsidRPr="00B664C6">
        <w:t>4</w:t>
      </w:r>
      <w:r w:rsidR="004F6FE9" w:rsidRPr="00B664C6">
        <w:t>.</w:t>
      </w:r>
      <w:r w:rsidR="00A83327" w:rsidRPr="00B664C6">
        <w:t>5</w:t>
      </w:r>
      <w:r w:rsidR="00A24BE3" w:rsidRPr="00B664C6">
        <w:t xml:space="preserve"> </w:t>
      </w:r>
      <w:r w:rsidR="00804048" w:rsidRPr="00B664C6">
        <w:t>bi</w:t>
      </w:r>
      <w:r w:rsidRPr="00B664C6">
        <w:t>llion for other resources.</w:t>
      </w:r>
    </w:p>
    <w:p w14:paraId="01FC3592" w14:textId="4A0C366C" w:rsidR="00C27634" w:rsidRPr="00B664C6" w:rsidRDefault="00A95E43" w:rsidP="003F5F37">
      <w:pPr>
        <w:pStyle w:val="SingleTxt"/>
        <w:keepNext/>
        <w:tabs>
          <w:tab w:val="clear" w:pos="1267"/>
          <w:tab w:val="clear" w:pos="1742"/>
          <w:tab w:val="clear" w:pos="2218"/>
          <w:tab w:val="clear" w:pos="2693"/>
          <w:tab w:val="left" w:pos="1530"/>
          <w:tab w:val="left" w:pos="1620"/>
          <w:tab w:val="left" w:pos="1800"/>
        </w:tabs>
        <w:ind w:left="1526"/>
        <w:contextualSpacing/>
        <w:jc w:val="center"/>
        <w:rPr>
          <w:b/>
        </w:rPr>
      </w:pPr>
      <w:r w:rsidRPr="00B664C6">
        <w:rPr>
          <w:b/>
        </w:rPr>
        <w:lastRenderedPageBreak/>
        <w:t xml:space="preserve">Table </w:t>
      </w:r>
      <w:r w:rsidR="00C9140A" w:rsidRPr="00B664C6">
        <w:rPr>
          <w:b/>
        </w:rPr>
        <w:t>4</w:t>
      </w:r>
      <w:r w:rsidR="00536AF8" w:rsidRPr="00B664C6">
        <w:rPr>
          <w:b/>
        </w:rPr>
        <w:t xml:space="preserve">. UNDP overall expenses, </w:t>
      </w:r>
      <w:r w:rsidR="00F3254D" w:rsidRPr="00B664C6">
        <w:rPr>
          <w:b/>
        </w:rPr>
        <w:t>2020</w:t>
      </w:r>
    </w:p>
    <w:p w14:paraId="439FD211" w14:textId="412B8EC6" w:rsidR="00984D3A" w:rsidRPr="00B664C6" w:rsidRDefault="00984D3A" w:rsidP="003F5F37">
      <w:pPr>
        <w:pStyle w:val="SingleTxt"/>
        <w:keepNext/>
        <w:tabs>
          <w:tab w:val="clear" w:pos="1267"/>
          <w:tab w:val="clear" w:pos="1742"/>
          <w:tab w:val="clear" w:pos="2218"/>
          <w:tab w:val="clear" w:pos="2693"/>
          <w:tab w:val="left" w:pos="1530"/>
          <w:tab w:val="left" w:pos="1620"/>
          <w:tab w:val="left" w:pos="1800"/>
        </w:tabs>
        <w:ind w:left="1530"/>
        <w:jc w:val="center"/>
        <w:rPr>
          <w:i/>
          <w:sz w:val="18"/>
        </w:rPr>
      </w:pPr>
      <w:r w:rsidRPr="00B664C6">
        <w:rPr>
          <w:i/>
          <w:sz w:val="18"/>
        </w:rPr>
        <w:t xml:space="preserve">(in millions of </w:t>
      </w:r>
      <w:r w:rsidR="000F1D96" w:rsidRPr="00B664C6">
        <w:rPr>
          <w:i/>
          <w:sz w:val="18"/>
        </w:rPr>
        <w:t xml:space="preserve">United States </w:t>
      </w:r>
      <w:r w:rsidRPr="00B664C6">
        <w:rPr>
          <w:i/>
          <w:sz w:val="18"/>
        </w:rPr>
        <w:t>dollars)</w:t>
      </w:r>
    </w:p>
    <w:tbl>
      <w:tblPr>
        <w:tblW w:w="7341" w:type="dxa"/>
        <w:tblInd w:w="1345" w:type="dxa"/>
        <w:tblLayout w:type="fixed"/>
        <w:tblLook w:val="04A0" w:firstRow="1" w:lastRow="0" w:firstColumn="1" w:lastColumn="0" w:noHBand="0" w:noVBand="1"/>
      </w:tblPr>
      <w:tblGrid>
        <w:gridCol w:w="3575"/>
        <w:gridCol w:w="936"/>
        <w:gridCol w:w="936"/>
        <w:gridCol w:w="936"/>
        <w:gridCol w:w="958"/>
      </w:tblGrid>
      <w:tr w:rsidR="006D1085" w:rsidRPr="00B664C6" w14:paraId="04EC4B35" w14:textId="77777777" w:rsidTr="39D02343">
        <w:trPr>
          <w:trHeight w:val="514"/>
        </w:trPr>
        <w:tc>
          <w:tcPr>
            <w:tcW w:w="3575" w:type="dxa"/>
            <w:tcBorders>
              <w:top w:val="single" w:sz="4" w:space="0" w:color="000000" w:themeColor="text1"/>
              <w:left w:val="single" w:sz="4" w:space="0" w:color="000000" w:themeColor="text1"/>
              <w:bottom w:val="single" w:sz="4" w:space="0" w:color="auto"/>
              <w:right w:val="single" w:sz="4" w:space="0" w:color="auto"/>
            </w:tcBorders>
            <w:shd w:val="clear" w:color="auto" w:fill="auto"/>
            <w:vAlign w:val="center"/>
            <w:hideMark/>
          </w:tcPr>
          <w:p w14:paraId="654AC093" w14:textId="77777777" w:rsidR="006D1085" w:rsidRPr="00B664C6" w:rsidRDefault="006D1085" w:rsidP="003F5F37">
            <w:pPr>
              <w:keepNext/>
              <w:suppressAutoHyphens w:val="0"/>
              <w:spacing w:line="240" w:lineRule="auto"/>
              <w:rPr>
                <w:rFonts w:eastAsia="Times New Roman"/>
                <w:i/>
                <w:iCs/>
                <w:color w:val="000000"/>
                <w:spacing w:val="0"/>
                <w:w w:val="100"/>
                <w:kern w:val="0"/>
                <w:sz w:val="16"/>
                <w:szCs w:val="16"/>
              </w:rPr>
            </w:pPr>
            <w:r w:rsidRPr="00B664C6">
              <w:rPr>
                <w:rFonts w:eastAsia="Times New Roman"/>
                <w:i/>
                <w:iCs/>
                <w:color w:val="000000"/>
                <w:spacing w:val="0"/>
                <w:w w:val="100"/>
                <w:kern w:val="0"/>
                <w:sz w:val="16"/>
                <w:szCs w:val="16"/>
              </w:rPr>
              <w:t>Resources</w:t>
            </w:r>
          </w:p>
        </w:tc>
        <w:tc>
          <w:tcPr>
            <w:tcW w:w="936" w:type="dxa"/>
            <w:tcBorders>
              <w:top w:val="single" w:sz="4" w:space="0" w:color="auto"/>
              <w:left w:val="single" w:sz="4" w:space="0" w:color="auto"/>
              <w:bottom w:val="single" w:sz="4" w:space="0" w:color="auto"/>
              <w:right w:val="single" w:sz="4" w:space="0" w:color="auto"/>
            </w:tcBorders>
            <w:vAlign w:val="center"/>
          </w:tcPr>
          <w:p w14:paraId="5697B6B5" w14:textId="5190A4FA" w:rsidR="006D1085" w:rsidRPr="00B664C6" w:rsidRDefault="006D1085" w:rsidP="006D1085">
            <w:pPr>
              <w:keepNext/>
              <w:suppressAutoHyphens w:val="0"/>
              <w:spacing w:line="240" w:lineRule="auto"/>
              <w:jc w:val="center"/>
              <w:rPr>
                <w:rFonts w:eastAsia="Times New Roman"/>
                <w:color w:val="000000"/>
                <w:spacing w:val="0"/>
                <w:w w:val="100"/>
                <w:kern w:val="0"/>
                <w:sz w:val="16"/>
                <w:szCs w:val="16"/>
              </w:rPr>
            </w:pPr>
            <w:r w:rsidRPr="00B664C6">
              <w:rPr>
                <w:rFonts w:eastAsia="Times New Roman"/>
                <w:color w:val="000000"/>
                <w:spacing w:val="0"/>
                <w:w w:val="100"/>
                <w:kern w:val="0"/>
                <w:sz w:val="16"/>
                <w:szCs w:val="16"/>
              </w:rPr>
              <w:t>20</w:t>
            </w:r>
            <w:r w:rsidR="004D6E03" w:rsidRPr="00B664C6">
              <w:rPr>
                <w:rFonts w:eastAsia="Times New Roman"/>
                <w:color w:val="000000"/>
                <w:spacing w:val="0"/>
                <w:w w:val="100"/>
                <w:kern w:val="0"/>
                <w:sz w:val="16"/>
                <w:szCs w:val="16"/>
              </w:rPr>
              <w:t>20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AB58B" w14:textId="2CD7914C" w:rsidR="006D1085" w:rsidRPr="00B664C6" w:rsidRDefault="006D1085" w:rsidP="004D6E03">
            <w:pPr>
              <w:keepNext/>
              <w:suppressAutoHyphens w:val="0"/>
              <w:spacing w:line="240" w:lineRule="auto"/>
              <w:jc w:val="center"/>
              <w:rPr>
                <w:rFonts w:eastAsia="Times New Roman"/>
                <w:color w:val="000000"/>
                <w:spacing w:val="0"/>
                <w:w w:val="100"/>
                <w:kern w:val="0"/>
                <w:sz w:val="16"/>
                <w:szCs w:val="16"/>
              </w:rPr>
            </w:pPr>
            <w:r w:rsidRPr="00B664C6">
              <w:rPr>
                <w:rFonts w:eastAsia="Times New Roman"/>
                <w:color w:val="000000"/>
                <w:spacing w:val="0"/>
                <w:w w:val="100"/>
                <w:kern w:val="0"/>
                <w:sz w:val="16"/>
                <w:szCs w:val="16"/>
              </w:rPr>
              <w:t>20</w:t>
            </w:r>
            <w:r w:rsidR="004D6E03" w:rsidRPr="00B664C6">
              <w:rPr>
                <w:rFonts w:eastAsia="Times New Roman"/>
                <w:color w:val="000000"/>
                <w:spacing w:val="0"/>
                <w:w w:val="100"/>
                <w:kern w:val="0"/>
                <w:sz w:val="16"/>
                <w:szCs w:val="16"/>
              </w:rPr>
              <w:t>19</w:t>
            </w:r>
          </w:p>
        </w:tc>
        <w:tc>
          <w:tcPr>
            <w:tcW w:w="936" w:type="dxa"/>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04C40501" w14:textId="5BB525F7" w:rsidR="006D1085" w:rsidRPr="00B664C6" w:rsidRDefault="00CD3F51" w:rsidP="006D1085">
            <w:pPr>
              <w:keepNext/>
              <w:suppressAutoHyphens w:val="0"/>
              <w:spacing w:line="240" w:lineRule="auto"/>
              <w:jc w:val="center"/>
              <w:rPr>
                <w:rFonts w:eastAsia="Times New Roman"/>
                <w:i/>
                <w:iCs/>
                <w:color w:val="000000"/>
                <w:spacing w:val="0"/>
                <w:w w:val="100"/>
                <w:kern w:val="0"/>
                <w:sz w:val="16"/>
                <w:szCs w:val="16"/>
              </w:rPr>
            </w:pPr>
            <w:r>
              <w:rPr>
                <w:rFonts w:eastAsia="Times New Roman"/>
                <w:i/>
                <w:iCs/>
                <w:color w:val="000000"/>
                <w:spacing w:val="0"/>
                <w:w w:val="100"/>
                <w:kern w:val="0"/>
                <w:sz w:val="16"/>
                <w:szCs w:val="16"/>
              </w:rPr>
              <w:t>I</w:t>
            </w:r>
            <w:r w:rsidR="006D1085" w:rsidRPr="00B664C6">
              <w:rPr>
                <w:rFonts w:eastAsia="Times New Roman"/>
                <w:i/>
                <w:iCs/>
                <w:color w:val="000000"/>
                <w:spacing w:val="0"/>
                <w:w w:val="100"/>
                <w:kern w:val="0"/>
                <w:sz w:val="16"/>
                <w:szCs w:val="16"/>
              </w:rPr>
              <w:t>ncrease/ (</w:t>
            </w:r>
            <w:r>
              <w:rPr>
                <w:rFonts w:eastAsia="Times New Roman"/>
                <w:i/>
                <w:iCs/>
                <w:color w:val="000000"/>
                <w:spacing w:val="0"/>
                <w:w w:val="100"/>
                <w:kern w:val="0"/>
                <w:sz w:val="16"/>
                <w:szCs w:val="16"/>
              </w:rPr>
              <w:t>D</w:t>
            </w:r>
            <w:r w:rsidR="006D1085" w:rsidRPr="00B664C6">
              <w:rPr>
                <w:rFonts w:eastAsia="Times New Roman"/>
                <w:i/>
                <w:iCs/>
                <w:color w:val="000000"/>
                <w:spacing w:val="0"/>
                <w:w w:val="100"/>
                <w:kern w:val="0"/>
                <w:sz w:val="16"/>
                <w:szCs w:val="16"/>
              </w:rPr>
              <w:t>ecrease)</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6F0098A1" w14:textId="10C4C060" w:rsidR="006D1085" w:rsidRPr="00B664C6" w:rsidRDefault="006D1085" w:rsidP="006D1085">
            <w:pPr>
              <w:keepNext/>
              <w:suppressAutoHyphens w:val="0"/>
              <w:spacing w:line="240" w:lineRule="auto"/>
              <w:ind w:right="-9"/>
              <w:jc w:val="center"/>
              <w:rPr>
                <w:rFonts w:eastAsia="Times New Roman"/>
                <w:i/>
                <w:iCs/>
                <w:color w:val="000000"/>
                <w:spacing w:val="0"/>
                <w:w w:val="100"/>
                <w:kern w:val="0"/>
                <w:sz w:val="16"/>
                <w:szCs w:val="16"/>
              </w:rPr>
            </w:pPr>
            <w:r w:rsidRPr="00B664C6">
              <w:rPr>
                <w:rFonts w:eastAsia="Times New Roman"/>
                <w:i/>
                <w:iCs/>
                <w:color w:val="000000"/>
                <w:spacing w:val="0"/>
                <w:w w:val="100"/>
                <w:kern w:val="0"/>
                <w:sz w:val="16"/>
                <w:szCs w:val="16"/>
              </w:rPr>
              <w:t>Percentage change</w:t>
            </w:r>
          </w:p>
        </w:tc>
      </w:tr>
      <w:tr w:rsidR="006D1085" w:rsidRPr="00B664C6" w14:paraId="1354490B" w14:textId="77777777" w:rsidTr="39D02343">
        <w:trPr>
          <w:trHeight w:val="281"/>
        </w:trPr>
        <w:tc>
          <w:tcPr>
            <w:tcW w:w="3575" w:type="dxa"/>
            <w:tcBorders>
              <w:top w:val="nil"/>
              <w:left w:val="single" w:sz="4" w:space="0" w:color="auto"/>
              <w:bottom w:val="nil"/>
              <w:right w:val="nil"/>
            </w:tcBorders>
            <w:shd w:val="clear" w:color="auto" w:fill="auto"/>
            <w:noWrap/>
            <w:vAlign w:val="center"/>
            <w:hideMark/>
          </w:tcPr>
          <w:p w14:paraId="780DE753" w14:textId="77777777" w:rsidR="006D1085" w:rsidRPr="00B664C6" w:rsidRDefault="006D1085" w:rsidP="003F5F37">
            <w:pPr>
              <w:keepNext/>
              <w:suppressAutoHyphens w:val="0"/>
              <w:spacing w:line="240" w:lineRule="auto"/>
              <w:rPr>
                <w:rFonts w:eastAsia="Times New Roman"/>
                <w:b/>
                <w:bCs/>
                <w:color w:val="000000"/>
                <w:spacing w:val="0"/>
                <w:w w:val="100"/>
                <w:kern w:val="0"/>
                <w:sz w:val="16"/>
                <w:szCs w:val="16"/>
              </w:rPr>
            </w:pPr>
            <w:r w:rsidRPr="00B664C6">
              <w:rPr>
                <w:rFonts w:eastAsia="Times New Roman"/>
                <w:b/>
                <w:bCs/>
                <w:color w:val="000000"/>
                <w:spacing w:val="0"/>
                <w:w w:val="100"/>
                <w:kern w:val="0"/>
                <w:sz w:val="16"/>
                <w:szCs w:val="16"/>
              </w:rPr>
              <w:t xml:space="preserve">Expenses </w:t>
            </w:r>
          </w:p>
        </w:tc>
        <w:tc>
          <w:tcPr>
            <w:tcW w:w="936" w:type="dxa"/>
            <w:tcBorders>
              <w:top w:val="single" w:sz="4" w:space="0" w:color="auto"/>
              <w:left w:val="single" w:sz="4" w:space="0" w:color="auto"/>
              <w:bottom w:val="nil"/>
              <w:right w:val="single" w:sz="4" w:space="0" w:color="auto"/>
            </w:tcBorders>
          </w:tcPr>
          <w:p w14:paraId="3C4DBDC6" w14:textId="77777777" w:rsidR="006D1085" w:rsidRPr="00B664C6" w:rsidRDefault="006D1085" w:rsidP="003F5F37">
            <w:pPr>
              <w:keepNext/>
              <w:suppressAutoHyphens w:val="0"/>
              <w:spacing w:line="240" w:lineRule="auto"/>
              <w:rPr>
                <w:rFonts w:eastAsia="Times New Roman"/>
                <w:color w:val="000000"/>
                <w:spacing w:val="0"/>
                <w:w w:val="100"/>
                <w:kern w:val="0"/>
                <w:sz w:val="16"/>
                <w:szCs w:val="16"/>
              </w:rPr>
            </w:pPr>
          </w:p>
        </w:tc>
        <w:tc>
          <w:tcPr>
            <w:tcW w:w="936" w:type="dxa"/>
            <w:tcBorders>
              <w:top w:val="single" w:sz="4" w:space="0" w:color="auto"/>
              <w:left w:val="single" w:sz="4" w:space="0" w:color="auto"/>
              <w:bottom w:val="nil"/>
              <w:right w:val="single" w:sz="4" w:space="0" w:color="auto"/>
            </w:tcBorders>
            <w:shd w:val="clear" w:color="auto" w:fill="auto"/>
            <w:noWrap/>
            <w:vAlign w:val="bottom"/>
            <w:hideMark/>
          </w:tcPr>
          <w:p w14:paraId="48704866" w14:textId="7D017761" w:rsidR="006D1085" w:rsidRPr="00B664C6" w:rsidRDefault="006D1085" w:rsidP="003F5F37">
            <w:pPr>
              <w:keepNext/>
              <w:suppressAutoHyphens w:val="0"/>
              <w:spacing w:line="240" w:lineRule="auto"/>
              <w:rPr>
                <w:rFonts w:eastAsia="Times New Roman"/>
                <w:color w:val="000000"/>
                <w:spacing w:val="0"/>
                <w:w w:val="100"/>
                <w:kern w:val="0"/>
                <w:sz w:val="16"/>
                <w:szCs w:val="16"/>
              </w:rPr>
            </w:pPr>
            <w:r w:rsidRPr="00B664C6">
              <w:rPr>
                <w:rFonts w:eastAsia="Times New Roman"/>
                <w:color w:val="000000"/>
                <w:spacing w:val="0"/>
                <w:w w:val="100"/>
                <w:kern w:val="0"/>
                <w:sz w:val="16"/>
                <w:szCs w:val="16"/>
              </w:rPr>
              <w:t> </w:t>
            </w:r>
          </w:p>
        </w:tc>
        <w:tc>
          <w:tcPr>
            <w:tcW w:w="936" w:type="dxa"/>
            <w:tcBorders>
              <w:top w:val="nil"/>
              <w:left w:val="single" w:sz="4" w:space="0" w:color="000000" w:themeColor="text1"/>
              <w:bottom w:val="nil"/>
              <w:right w:val="single" w:sz="4" w:space="0" w:color="000000" w:themeColor="text1"/>
            </w:tcBorders>
            <w:shd w:val="clear" w:color="auto" w:fill="auto"/>
            <w:noWrap/>
            <w:vAlign w:val="bottom"/>
            <w:hideMark/>
          </w:tcPr>
          <w:p w14:paraId="1DD28FBB" w14:textId="77777777" w:rsidR="006D1085" w:rsidRPr="00B664C6" w:rsidRDefault="006D1085" w:rsidP="003F5F37">
            <w:pPr>
              <w:keepNext/>
              <w:suppressAutoHyphens w:val="0"/>
              <w:spacing w:line="240" w:lineRule="auto"/>
              <w:rPr>
                <w:rFonts w:eastAsia="Times New Roman"/>
                <w:color w:val="000000"/>
                <w:spacing w:val="0"/>
                <w:w w:val="100"/>
                <w:kern w:val="0"/>
                <w:sz w:val="14"/>
                <w:szCs w:val="14"/>
              </w:rPr>
            </w:pPr>
            <w:r w:rsidRPr="00B664C6">
              <w:rPr>
                <w:rFonts w:eastAsia="Times New Roman"/>
                <w:color w:val="000000"/>
                <w:spacing w:val="0"/>
                <w:w w:val="100"/>
                <w:kern w:val="0"/>
                <w:sz w:val="14"/>
                <w:szCs w:val="14"/>
              </w:rPr>
              <w:t> </w:t>
            </w:r>
          </w:p>
        </w:tc>
        <w:tc>
          <w:tcPr>
            <w:tcW w:w="958" w:type="dxa"/>
            <w:tcBorders>
              <w:top w:val="nil"/>
              <w:left w:val="nil"/>
              <w:bottom w:val="nil"/>
              <w:right w:val="single" w:sz="4" w:space="0" w:color="auto"/>
            </w:tcBorders>
            <w:shd w:val="clear" w:color="auto" w:fill="auto"/>
            <w:noWrap/>
            <w:vAlign w:val="bottom"/>
            <w:hideMark/>
          </w:tcPr>
          <w:p w14:paraId="31E0ACDC" w14:textId="77777777" w:rsidR="006D1085" w:rsidRPr="00B664C6" w:rsidRDefault="006D1085" w:rsidP="003F5F37">
            <w:pPr>
              <w:keepNext/>
              <w:suppressAutoHyphens w:val="0"/>
              <w:spacing w:line="240" w:lineRule="auto"/>
              <w:rPr>
                <w:rFonts w:eastAsia="Times New Roman"/>
                <w:color w:val="000000"/>
                <w:spacing w:val="0"/>
                <w:w w:val="100"/>
                <w:kern w:val="0"/>
                <w:sz w:val="14"/>
                <w:szCs w:val="14"/>
              </w:rPr>
            </w:pPr>
            <w:r w:rsidRPr="00B664C6">
              <w:rPr>
                <w:rFonts w:eastAsia="Times New Roman"/>
                <w:color w:val="000000"/>
                <w:spacing w:val="0"/>
                <w:w w:val="100"/>
                <w:kern w:val="0"/>
                <w:sz w:val="14"/>
                <w:szCs w:val="14"/>
              </w:rPr>
              <w:t> </w:t>
            </w:r>
          </w:p>
        </w:tc>
      </w:tr>
      <w:tr w:rsidR="006D1085" w:rsidRPr="00B664C6" w14:paraId="7CBA1051" w14:textId="77777777" w:rsidTr="39D02343">
        <w:trPr>
          <w:trHeight w:val="24"/>
        </w:trPr>
        <w:tc>
          <w:tcPr>
            <w:tcW w:w="3575" w:type="dxa"/>
            <w:tcBorders>
              <w:top w:val="nil"/>
              <w:left w:val="single" w:sz="4" w:space="0" w:color="auto"/>
              <w:bottom w:val="nil"/>
              <w:right w:val="nil"/>
            </w:tcBorders>
            <w:shd w:val="clear" w:color="auto" w:fill="auto"/>
            <w:noWrap/>
            <w:vAlign w:val="center"/>
            <w:hideMark/>
          </w:tcPr>
          <w:p w14:paraId="2382EBA9" w14:textId="77777777" w:rsidR="006D1085" w:rsidRPr="00B664C6" w:rsidRDefault="006D1085" w:rsidP="003F5F37">
            <w:pPr>
              <w:keepNext/>
              <w:suppressAutoHyphens w:val="0"/>
              <w:spacing w:line="240" w:lineRule="auto"/>
              <w:rPr>
                <w:rFonts w:eastAsia="Times New Roman"/>
                <w:color w:val="000000"/>
                <w:spacing w:val="0"/>
                <w:w w:val="100"/>
                <w:kern w:val="0"/>
                <w:sz w:val="16"/>
                <w:szCs w:val="16"/>
              </w:rPr>
            </w:pPr>
            <w:r w:rsidRPr="00B664C6">
              <w:rPr>
                <w:rFonts w:eastAsia="Times New Roman"/>
                <w:color w:val="000000"/>
                <w:spacing w:val="0"/>
                <w:w w:val="100"/>
                <w:kern w:val="0"/>
                <w:sz w:val="16"/>
                <w:szCs w:val="16"/>
              </w:rPr>
              <w:t>Development activities</w:t>
            </w:r>
          </w:p>
        </w:tc>
        <w:tc>
          <w:tcPr>
            <w:tcW w:w="936" w:type="dxa"/>
            <w:tcBorders>
              <w:top w:val="nil"/>
              <w:left w:val="single" w:sz="4" w:space="0" w:color="auto"/>
              <w:bottom w:val="nil"/>
              <w:right w:val="single" w:sz="4" w:space="0" w:color="auto"/>
            </w:tcBorders>
          </w:tcPr>
          <w:p w14:paraId="3D28E684" w14:textId="77777777" w:rsidR="006D1085" w:rsidRPr="00B664C6" w:rsidRDefault="006D1085" w:rsidP="003F5F37">
            <w:pPr>
              <w:keepNext/>
              <w:suppressAutoHyphens w:val="0"/>
              <w:spacing w:line="240" w:lineRule="auto"/>
              <w:rPr>
                <w:rFonts w:eastAsia="Times New Roman"/>
                <w:color w:val="000000"/>
                <w:spacing w:val="0"/>
                <w:w w:val="100"/>
                <w:kern w:val="0"/>
                <w:sz w:val="16"/>
                <w:szCs w:val="16"/>
              </w:rPr>
            </w:pPr>
          </w:p>
        </w:tc>
        <w:tc>
          <w:tcPr>
            <w:tcW w:w="936" w:type="dxa"/>
            <w:tcBorders>
              <w:top w:val="nil"/>
              <w:left w:val="single" w:sz="4" w:space="0" w:color="auto"/>
              <w:bottom w:val="nil"/>
              <w:right w:val="single" w:sz="4" w:space="0" w:color="auto"/>
            </w:tcBorders>
            <w:shd w:val="clear" w:color="auto" w:fill="auto"/>
            <w:noWrap/>
            <w:vAlign w:val="bottom"/>
            <w:hideMark/>
          </w:tcPr>
          <w:p w14:paraId="709782DD" w14:textId="31524B8B" w:rsidR="006D1085" w:rsidRPr="00B664C6" w:rsidRDefault="006D1085" w:rsidP="003F5F37">
            <w:pPr>
              <w:keepNext/>
              <w:suppressAutoHyphens w:val="0"/>
              <w:spacing w:line="240" w:lineRule="auto"/>
              <w:rPr>
                <w:rFonts w:eastAsia="Times New Roman"/>
                <w:color w:val="000000"/>
                <w:spacing w:val="0"/>
                <w:w w:val="100"/>
                <w:kern w:val="0"/>
                <w:sz w:val="16"/>
                <w:szCs w:val="16"/>
              </w:rPr>
            </w:pPr>
            <w:r w:rsidRPr="00B664C6">
              <w:rPr>
                <w:rFonts w:eastAsia="Times New Roman"/>
                <w:color w:val="000000"/>
                <w:spacing w:val="0"/>
                <w:w w:val="100"/>
                <w:kern w:val="0"/>
                <w:sz w:val="16"/>
                <w:szCs w:val="16"/>
              </w:rPr>
              <w:t> </w:t>
            </w:r>
          </w:p>
        </w:tc>
        <w:tc>
          <w:tcPr>
            <w:tcW w:w="936" w:type="dxa"/>
            <w:tcBorders>
              <w:top w:val="nil"/>
              <w:left w:val="single" w:sz="4" w:space="0" w:color="000000" w:themeColor="text1"/>
              <w:bottom w:val="nil"/>
              <w:right w:val="single" w:sz="4" w:space="0" w:color="000000" w:themeColor="text1"/>
            </w:tcBorders>
            <w:shd w:val="clear" w:color="auto" w:fill="auto"/>
            <w:noWrap/>
            <w:vAlign w:val="bottom"/>
            <w:hideMark/>
          </w:tcPr>
          <w:p w14:paraId="13BC3FBA" w14:textId="77777777" w:rsidR="006D1085" w:rsidRPr="00B664C6" w:rsidRDefault="006D1085" w:rsidP="003F5F37">
            <w:pPr>
              <w:keepNext/>
              <w:suppressAutoHyphens w:val="0"/>
              <w:spacing w:line="240" w:lineRule="auto"/>
              <w:rPr>
                <w:rFonts w:eastAsia="Times New Roman"/>
                <w:color w:val="000000"/>
                <w:spacing w:val="0"/>
                <w:w w:val="100"/>
                <w:kern w:val="0"/>
                <w:sz w:val="16"/>
                <w:szCs w:val="16"/>
              </w:rPr>
            </w:pPr>
            <w:r w:rsidRPr="00B664C6">
              <w:rPr>
                <w:rFonts w:eastAsia="Times New Roman"/>
                <w:color w:val="000000"/>
                <w:spacing w:val="0"/>
                <w:w w:val="100"/>
                <w:kern w:val="0"/>
                <w:sz w:val="16"/>
                <w:szCs w:val="16"/>
              </w:rPr>
              <w:t> </w:t>
            </w:r>
          </w:p>
        </w:tc>
        <w:tc>
          <w:tcPr>
            <w:tcW w:w="958" w:type="dxa"/>
            <w:tcBorders>
              <w:top w:val="nil"/>
              <w:left w:val="nil"/>
              <w:bottom w:val="nil"/>
              <w:right w:val="single" w:sz="4" w:space="0" w:color="auto"/>
            </w:tcBorders>
            <w:shd w:val="clear" w:color="auto" w:fill="auto"/>
            <w:noWrap/>
            <w:vAlign w:val="bottom"/>
            <w:hideMark/>
          </w:tcPr>
          <w:p w14:paraId="37E58F5F" w14:textId="77777777" w:rsidR="006D1085" w:rsidRPr="00B664C6" w:rsidRDefault="006D1085" w:rsidP="003F5F37">
            <w:pPr>
              <w:keepNext/>
              <w:suppressAutoHyphens w:val="0"/>
              <w:spacing w:line="240" w:lineRule="auto"/>
              <w:rPr>
                <w:rFonts w:eastAsia="Times New Roman"/>
                <w:color w:val="000000"/>
                <w:spacing w:val="0"/>
                <w:w w:val="100"/>
                <w:kern w:val="0"/>
                <w:sz w:val="16"/>
                <w:szCs w:val="16"/>
              </w:rPr>
            </w:pPr>
            <w:r w:rsidRPr="00B664C6">
              <w:rPr>
                <w:rFonts w:eastAsia="Times New Roman"/>
                <w:color w:val="000000"/>
                <w:spacing w:val="0"/>
                <w:w w:val="100"/>
                <w:kern w:val="0"/>
                <w:sz w:val="16"/>
                <w:szCs w:val="16"/>
              </w:rPr>
              <w:t> </w:t>
            </w:r>
          </w:p>
        </w:tc>
      </w:tr>
      <w:tr w:rsidR="004D6E03" w:rsidRPr="00B664C6" w14:paraId="5283B7C4" w14:textId="77777777" w:rsidTr="39D02343">
        <w:trPr>
          <w:trHeight w:val="24"/>
        </w:trPr>
        <w:tc>
          <w:tcPr>
            <w:tcW w:w="3575" w:type="dxa"/>
            <w:tcBorders>
              <w:top w:val="nil"/>
              <w:left w:val="single" w:sz="4" w:space="0" w:color="auto"/>
              <w:bottom w:val="nil"/>
              <w:right w:val="nil"/>
            </w:tcBorders>
            <w:shd w:val="clear" w:color="auto" w:fill="auto"/>
            <w:noWrap/>
            <w:vAlign w:val="center"/>
            <w:hideMark/>
          </w:tcPr>
          <w:p w14:paraId="0910E758" w14:textId="77777777" w:rsidR="004D6E03" w:rsidRPr="00B664C6" w:rsidRDefault="004D6E03" w:rsidP="004D6E03">
            <w:pPr>
              <w:keepNext/>
              <w:suppressAutoHyphens w:val="0"/>
              <w:spacing w:line="240" w:lineRule="auto"/>
              <w:rPr>
                <w:rFonts w:eastAsia="Times New Roman"/>
                <w:color w:val="000000"/>
                <w:spacing w:val="0"/>
                <w:w w:val="100"/>
                <w:kern w:val="0"/>
                <w:sz w:val="16"/>
                <w:szCs w:val="16"/>
              </w:rPr>
            </w:pPr>
            <w:r w:rsidRPr="00B664C6">
              <w:rPr>
                <w:rFonts w:eastAsia="Times New Roman"/>
                <w:color w:val="000000"/>
                <w:spacing w:val="0"/>
                <w:w w:val="100"/>
                <w:kern w:val="0"/>
                <w:sz w:val="16"/>
                <w:szCs w:val="16"/>
              </w:rPr>
              <w:t xml:space="preserve">     Programme</w:t>
            </w:r>
          </w:p>
        </w:tc>
        <w:tc>
          <w:tcPr>
            <w:tcW w:w="936" w:type="dxa"/>
            <w:tcBorders>
              <w:top w:val="nil"/>
              <w:left w:val="single" w:sz="4" w:space="0" w:color="auto"/>
              <w:bottom w:val="nil"/>
              <w:right w:val="single" w:sz="4" w:space="0" w:color="auto"/>
            </w:tcBorders>
          </w:tcPr>
          <w:p w14:paraId="10CF1D55" w14:textId="73A70188" w:rsidR="004D6E03" w:rsidRPr="00B664C6" w:rsidRDefault="00DB1260" w:rsidP="004D6E03">
            <w:pPr>
              <w:keepNext/>
              <w:suppressAutoHyphens w:val="0"/>
              <w:spacing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4,389</w:t>
            </w:r>
          </w:p>
        </w:tc>
        <w:tc>
          <w:tcPr>
            <w:tcW w:w="936" w:type="dxa"/>
            <w:tcBorders>
              <w:top w:val="nil"/>
              <w:left w:val="single" w:sz="4" w:space="0" w:color="auto"/>
              <w:bottom w:val="nil"/>
              <w:right w:val="single" w:sz="4" w:space="0" w:color="auto"/>
            </w:tcBorders>
            <w:shd w:val="clear" w:color="auto" w:fill="auto"/>
            <w:noWrap/>
            <w:hideMark/>
          </w:tcPr>
          <w:p w14:paraId="6887CE71" w14:textId="15FE6DE9" w:rsidR="004D6E03" w:rsidRPr="00B664C6" w:rsidRDefault="004D6E03" w:rsidP="004D6E03">
            <w:pPr>
              <w:keepNext/>
              <w:suppressAutoHyphens w:val="0"/>
              <w:spacing w:line="240" w:lineRule="auto"/>
              <w:jc w:val="right"/>
              <w:rPr>
                <w:rFonts w:eastAsia="Times New Roman"/>
                <w:color w:val="000000"/>
                <w:spacing w:val="0"/>
                <w:w w:val="100"/>
                <w:kern w:val="0"/>
                <w:sz w:val="16"/>
                <w:szCs w:val="16"/>
              </w:rPr>
            </w:pPr>
            <w:r w:rsidRPr="00B664C6">
              <w:rPr>
                <w:sz w:val="16"/>
                <w:szCs w:val="16"/>
              </w:rPr>
              <w:t xml:space="preserve"> 4,323 </w:t>
            </w:r>
          </w:p>
        </w:tc>
        <w:tc>
          <w:tcPr>
            <w:tcW w:w="936" w:type="dxa"/>
            <w:tcBorders>
              <w:top w:val="nil"/>
              <w:left w:val="single" w:sz="4" w:space="0" w:color="000000" w:themeColor="text1"/>
              <w:bottom w:val="nil"/>
              <w:right w:val="single" w:sz="4" w:space="0" w:color="000000" w:themeColor="text1"/>
            </w:tcBorders>
            <w:shd w:val="clear" w:color="auto" w:fill="auto"/>
            <w:noWrap/>
          </w:tcPr>
          <w:p w14:paraId="6CEDCE61" w14:textId="3303D83F" w:rsidR="004D6E03" w:rsidRPr="00B664C6" w:rsidRDefault="00DB1260" w:rsidP="004D6E03">
            <w:pPr>
              <w:keepNext/>
              <w:suppressAutoHyphens w:val="0"/>
              <w:spacing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66</w:t>
            </w:r>
          </w:p>
        </w:tc>
        <w:tc>
          <w:tcPr>
            <w:tcW w:w="958" w:type="dxa"/>
            <w:tcBorders>
              <w:top w:val="nil"/>
              <w:left w:val="nil"/>
              <w:bottom w:val="nil"/>
              <w:right w:val="single" w:sz="4" w:space="0" w:color="auto"/>
            </w:tcBorders>
            <w:shd w:val="clear" w:color="auto" w:fill="auto"/>
            <w:noWrap/>
          </w:tcPr>
          <w:p w14:paraId="7A1353D3" w14:textId="2BA2E08E" w:rsidR="004D6E03" w:rsidRPr="00B664C6" w:rsidRDefault="00DB1260" w:rsidP="004D6E03">
            <w:pPr>
              <w:keepNext/>
              <w:suppressAutoHyphens w:val="0"/>
              <w:spacing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2%</w:t>
            </w:r>
          </w:p>
        </w:tc>
      </w:tr>
      <w:tr w:rsidR="004D6E03" w:rsidRPr="00B664C6" w14:paraId="7F63707F" w14:textId="77777777" w:rsidTr="39D02343">
        <w:trPr>
          <w:trHeight w:val="24"/>
        </w:trPr>
        <w:tc>
          <w:tcPr>
            <w:tcW w:w="3575" w:type="dxa"/>
            <w:tcBorders>
              <w:top w:val="nil"/>
              <w:left w:val="single" w:sz="4" w:space="0" w:color="auto"/>
              <w:bottom w:val="nil"/>
              <w:right w:val="nil"/>
            </w:tcBorders>
            <w:shd w:val="clear" w:color="auto" w:fill="auto"/>
            <w:noWrap/>
            <w:vAlign w:val="center"/>
            <w:hideMark/>
          </w:tcPr>
          <w:p w14:paraId="222DCC9F" w14:textId="77777777" w:rsidR="004D6E03" w:rsidRPr="00B664C6" w:rsidRDefault="004D6E03" w:rsidP="004D6E03">
            <w:pPr>
              <w:keepNext/>
              <w:suppressAutoHyphens w:val="0"/>
              <w:spacing w:line="240" w:lineRule="auto"/>
              <w:rPr>
                <w:rFonts w:eastAsia="Times New Roman"/>
                <w:color w:val="000000"/>
                <w:spacing w:val="0"/>
                <w:w w:val="100"/>
                <w:kern w:val="0"/>
                <w:sz w:val="16"/>
                <w:szCs w:val="16"/>
              </w:rPr>
            </w:pPr>
            <w:r w:rsidRPr="00B664C6">
              <w:rPr>
                <w:rFonts w:eastAsia="Times New Roman"/>
                <w:color w:val="000000"/>
                <w:spacing w:val="0"/>
                <w:w w:val="100"/>
                <w:kern w:val="0"/>
                <w:sz w:val="16"/>
                <w:szCs w:val="16"/>
              </w:rPr>
              <w:t xml:space="preserve">     Development effectiveness</w:t>
            </w:r>
          </w:p>
        </w:tc>
        <w:tc>
          <w:tcPr>
            <w:tcW w:w="936" w:type="dxa"/>
            <w:tcBorders>
              <w:top w:val="nil"/>
              <w:left w:val="single" w:sz="4" w:space="0" w:color="auto"/>
              <w:bottom w:val="single" w:sz="4" w:space="0" w:color="auto"/>
              <w:right w:val="single" w:sz="4" w:space="0" w:color="auto"/>
            </w:tcBorders>
          </w:tcPr>
          <w:p w14:paraId="30EEA7BA" w14:textId="6D5D7621" w:rsidR="004D6E03" w:rsidRPr="00B664C6" w:rsidRDefault="00DB1260" w:rsidP="004D6E03">
            <w:pPr>
              <w:keepNext/>
              <w:suppressAutoHyphens w:val="0"/>
              <w:spacing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181</w:t>
            </w:r>
          </w:p>
        </w:tc>
        <w:tc>
          <w:tcPr>
            <w:tcW w:w="936" w:type="dxa"/>
            <w:tcBorders>
              <w:top w:val="nil"/>
              <w:left w:val="single" w:sz="4" w:space="0" w:color="auto"/>
              <w:bottom w:val="single" w:sz="4" w:space="0" w:color="auto"/>
              <w:right w:val="single" w:sz="4" w:space="0" w:color="auto"/>
            </w:tcBorders>
            <w:shd w:val="clear" w:color="auto" w:fill="auto"/>
            <w:noWrap/>
            <w:hideMark/>
          </w:tcPr>
          <w:p w14:paraId="520FB140" w14:textId="7B36B01F" w:rsidR="004D6E03" w:rsidRPr="00B664C6" w:rsidRDefault="004D6E03" w:rsidP="004D6E03">
            <w:pPr>
              <w:keepNext/>
              <w:suppressAutoHyphens w:val="0"/>
              <w:spacing w:line="240" w:lineRule="auto"/>
              <w:jc w:val="right"/>
              <w:rPr>
                <w:rFonts w:eastAsia="Times New Roman"/>
                <w:color w:val="000000"/>
                <w:spacing w:val="0"/>
                <w:w w:val="100"/>
                <w:kern w:val="0"/>
                <w:sz w:val="16"/>
                <w:szCs w:val="16"/>
              </w:rPr>
            </w:pPr>
            <w:r w:rsidRPr="00B664C6">
              <w:rPr>
                <w:sz w:val="16"/>
                <w:szCs w:val="16"/>
              </w:rPr>
              <w:t xml:space="preserve"> 176 </w:t>
            </w:r>
          </w:p>
        </w:tc>
        <w:tc>
          <w:tcPr>
            <w:tcW w:w="936" w:type="dxa"/>
            <w:tcBorders>
              <w:top w:val="nil"/>
              <w:left w:val="nil"/>
              <w:bottom w:val="single" w:sz="4" w:space="0" w:color="auto"/>
              <w:right w:val="single" w:sz="4" w:space="0" w:color="000000" w:themeColor="text1"/>
            </w:tcBorders>
            <w:shd w:val="clear" w:color="auto" w:fill="auto"/>
            <w:noWrap/>
          </w:tcPr>
          <w:p w14:paraId="58921A52" w14:textId="358BA85A" w:rsidR="004D6E03" w:rsidRPr="00B664C6" w:rsidRDefault="00DB1260" w:rsidP="004D6E03">
            <w:pPr>
              <w:keepNext/>
              <w:suppressAutoHyphens w:val="0"/>
              <w:spacing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5</w:t>
            </w:r>
          </w:p>
        </w:tc>
        <w:tc>
          <w:tcPr>
            <w:tcW w:w="958" w:type="dxa"/>
            <w:tcBorders>
              <w:top w:val="nil"/>
              <w:left w:val="nil"/>
              <w:bottom w:val="single" w:sz="4" w:space="0" w:color="auto"/>
              <w:right w:val="single" w:sz="4" w:space="0" w:color="auto"/>
            </w:tcBorders>
            <w:shd w:val="clear" w:color="auto" w:fill="auto"/>
            <w:noWrap/>
          </w:tcPr>
          <w:p w14:paraId="7808A9B5" w14:textId="2563D58B" w:rsidR="004D6E03" w:rsidRPr="00B664C6" w:rsidRDefault="00DB1260" w:rsidP="004D6E03">
            <w:pPr>
              <w:keepNext/>
              <w:suppressAutoHyphens w:val="0"/>
              <w:spacing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3%</w:t>
            </w:r>
          </w:p>
        </w:tc>
      </w:tr>
      <w:tr w:rsidR="004D6E03" w:rsidRPr="00B664C6" w14:paraId="1E2A670F" w14:textId="77777777" w:rsidTr="39D02343">
        <w:trPr>
          <w:trHeight w:val="24"/>
        </w:trPr>
        <w:tc>
          <w:tcPr>
            <w:tcW w:w="3575" w:type="dxa"/>
            <w:tcBorders>
              <w:top w:val="nil"/>
              <w:left w:val="single" w:sz="4" w:space="0" w:color="auto"/>
              <w:bottom w:val="nil"/>
              <w:right w:val="nil"/>
            </w:tcBorders>
            <w:shd w:val="clear" w:color="auto" w:fill="auto"/>
            <w:noWrap/>
            <w:vAlign w:val="center"/>
            <w:hideMark/>
          </w:tcPr>
          <w:p w14:paraId="24DFC022" w14:textId="2938C0C9" w:rsidR="004D6E03" w:rsidRPr="00B664C6" w:rsidRDefault="004D6E03" w:rsidP="004D6E03">
            <w:pPr>
              <w:keepNext/>
              <w:suppressAutoHyphens w:val="0"/>
              <w:spacing w:line="240" w:lineRule="auto"/>
              <w:rPr>
                <w:rFonts w:eastAsia="Times New Roman"/>
                <w:color w:val="000000"/>
                <w:spacing w:val="0"/>
                <w:w w:val="100"/>
                <w:kern w:val="0"/>
                <w:sz w:val="16"/>
                <w:szCs w:val="16"/>
              </w:rPr>
            </w:pPr>
            <w:r w:rsidRPr="00B664C6">
              <w:rPr>
                <w:rFonts w:eastAsia="Times New Roman"/>
                <w:color w:val="000000"/>
                <w:spacing w:val="0"/>
                <w:w w:val="100"/>
                <w:kern w:val="0"/>
                <w:sz w:val="16"/>
                <w:szCs w:val="16"/>
              </w:rPr>
              <w:t>Subtotal – development activities</w:t>
            </w:r>
          </w:p>
        </w:tc>
        <w:tc>
          <w:tcPr>
            <w:tcW w:w="936" w:type="dxa"/>
            <w:tcBorders>
              <w:top w:val="nil"/>
              <w:left w:val="single" w:sz="4" w:space="0" w:color="auto"/>
              <w:bottom w:val="nil"/>
              <w:right w:val="single" w:sz="4" w:space="0" w:color="auto"/>
            </w:tcBorders>
          </w:tcPr>
          <w:p w14:paraId="148367C1" w14:textId="7545B628" w:rsidR="004D6E03" w:rsidRPr="00B664C6" w:rsidRDefault="00DB1260" w:rsidP="004D6E03">
            <w:pPr>
              <w:keepNext/>
              <w:suppressAutoHyphens w:val="0"/>
              <w:spacing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4,570</w:t>
            </w:r>
          </w:p>
        </w:tc>
        <w:tc>
          <w:tcPr>
            <w:tcW w:w="936" w:type="dxa"/>
            <w:tcBorders>
              <w:top w:val="nil"/>
              <w:left w:val="single" w:sz="4" w:space="0" w:color="auto"/>
              <w:bottom w:val="nil"/>
              <w:right w:val="single" w:sz="4" w:space="0" w:color="auto"/>
            </w:tcBorders>
            <w:shd w:val="clear" w:color="auto" w:fill="auto"/>
            <w:noWrap/>
            <w:hideMark/>
          </w:tcPr>
          <w:p w14:paraId="36DAA5E7" w14:textId="79EEEA1E" w:rsidR="004D6E03" w:rsidRPr="00B664C6" w:rsidRDefault="004D6E03" w:rsidP="004D6E03">
            <w:pPr>
              <w:keepNext/>
              <w:suppressAutoHyphens w:val="0"/>
              <w:spacing w:line="240" w:lineRule="auto"/>
              <w:jc w:val="right"/>
              <w:rPr>
                <w:rFonts w:eastAsia="Times New Roman"/>
                <w:color w:val="000000"/>
                <w:spacing w:val="0"/>
                <w:w w:val="100"/>
                <w:kern w:val="0"/>
                <w:sz w:val="16"/>
                <w:szCs w:val="16"/>
              </w:rPr>
            </w:pPr>
            <w:r w:rsidRPr="00B664C6">
              <w:rPr>
                <w:sz w:val="16"/>
                <w:szCs w:val="16"/>
              </w:rPr>
              <w:t xml:space="preserve"> 4,499 </w:t>
            </w:r>
          </w:p>
        </w:tc>
        <w:tc>
          <w:tcPr>
            <w:tcW w:w="936" w:type="dxa"/>
            <w:tcBorders>
              <w:top w:val="nil"/>
              <w:left w:val="single" w:sz="4" w:space="0" w:color="000000" w:themeColor="text1"/>
              <w:bottom w:val="nil"/>
              <w:right w:val="single" w:sz="4" w:space="0" w:color="000000" w:themeColor="text1"/>
            </w:tcBorders>
            <w:shd w:val="clear" w:color="auto" w:fill="auto"/>
            <w:noWrap/>
          </w:tcPr>
          <w:p w14:paraId="1F8BCC48" w14:textId="59482966" w:rsidR="004D6E03" w:rsidRPr="00B664C6" w:rsidRDefault="00DB1260" w:rsidP="004D6E03">
            <w:pPr>
              <w:keepNext/>
              <w:suppressAutoHyphens w:val="0"/>
              <w:spacing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71</w:t>
            </w:r>
          </w:p>
        </w:tc>
        <w:tc>
          <w:tcPr>
            <w:tcW w:w="958" w:type="dxa"/>
            <w:tcBorders>
              <w:top w:val="nil"/>
              <w:left w:val="nil"/>
              <w:bottom w:val="nil"/>
              <w:right w:val="single" w:sz="4" w:space="0" w:color="auto"/>
            </w:tcBorders>
            <w:shd w:val="clear" w:color="auto" w:fill="auto"/>
            <w:noWrap/>
          </w:tcPr>
          <w:p w14:paraId="51289D61" w14:textId="70518D79" w:rsidR="004D6E03" w:rsidRPr="00B664C6" w:rsidRDefault="00DB1260" w:rsidP="004D6E03">
            <w:pPr>
              <w:keepNext/>
              <w:suppressAutoHyphens w:val="0"/>
              <w:spacing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2%</w:t>
            </w:r>
          </w:p>
        </w:tc>
      </w:tr>
      <w:tr w:rsidR="004D6E03" w:rsidRPr="00B664C6" w14:paraId="77755810" w14:textId="77777777" w:rsidTr="39D02343">
        <w:trPr>
          <w:trHeight w:val="24"/>
        </w:trPr>
        <w:tc>
          <w:tcPr>
            <w:tcW w:w="3575" w:type="dxa"/>
            <w:tcBorders>
              <w:top w:val="nil"/>
              <w:left w:val="single" w:sz="4" w:space="0" w:color="auto"/>
              <w:bottom w:val="nil"/>
              <w:right w:val="nil"/>
            </w:tcBorders>
            <w:shd w:val="clear" w:color="auto" w:fill="auto"/>
            <w:noWrap/>
            <w:vAlign w:val="center"/>
            <w:hideMark/>
          </w:tcPr>
          <w:p w14:paraId="5BC0759A" w14:textId="77777777" w:rsidR="004D6E03" w:rsidRPr="00B664C6" w:rsidRDefault="004D6E03" w:rsidP="004D6E03">
            <w:pPr>
              <w:keepNext/>
              <w:suppressAutoHyphens w:val="0"/>
              <w:spacing w:line="240" w:lineRule="auto"/>
              <w:rPr>
                <w:rFonts w:eastAsia="Times New Roman"/>
                <w:color w:val="000000"/>
                <w:spacing w:val="0"/>
                <w:w w:val="100"/>
                <w:kern w:val="0"/>
                <w:sz w:val="16"/>
                <w:szCs w:val="16"/>
              </w:rPr>
            </w:pPr>
            <w:r w:rsidRPr="00B664C6">
              <w:rPr>
                <w:rFonts w:eastAsia="Times New Roman"/>
                <w:color w:val="000000"/>
                <w:spacing w:val="0"/>
                <w:w w:val="100"/>
                <w:kern w:val="0"/>
                <w:sz w:val="16"/>
                <w:szCs w:val="16"/>
              </w:rPr>
              <w:t>United Nations development coordination activities</w:t>
            </w:r>
          </w:p>
        </w:tc>
        <w:tc>
          <w:tcPr>
            <w:tcW w:w="936" w:type="dxa"/>
            <w:tcBorders>
              <w:top w:val="nil"/>
              <w:left w:val="single" w:sz="4" w:space="0" w:color="auto"/>
              <w:bottom w:val="nil"/>
              <w:right w:val="single" w:sz="4" w:space="0" w:color="auto"/>
            </w:tcBorders>
          </w:tcPr>
          <w:p w14:paraId="12174903" w14:textId="17C90AE0" w:rsidR="004D6E03" w:rsidRPr="00B664C6" w:rsidRDefault="00DB1260" w:rsidP="004D6E03">
            <w:pPr>
              <w:keepNext/>
              <w:suppressAutoHyphens w:val="0"/>
              <w:spacing w:line="240" w:lineRule="auto"/>
              <w:jc w:val="right"/>
              <w:rPr>
                <w:rFonts w:eastAsia="Times New Roman"/>
                <w:color w:val="000000"/>
                <w:spacing w:val="0"/>
                <w:w w:val="100"/>
                <w:kern w:val="0"/>
                <w:sz w:val="16"/>
                <w:szCs w:val="16"/>
              </w:rPr>
            </w:pPr>
            <w:r w:rsidRPr="00B664C6">
              <w:rPr>
                <w:rFonts w:eastAsia="Times New Roman"/>
                <w:color w:val="000000" w:themeColor="text1"/>
                <w:sz w:val="16"/>
                <w:szCs w:val="16"/>
              </w:rPr>
              <w:t>15</w:t>
            </w:r>
          </w:p>
        </w:tc>
        <w:tc>
          <w:tcPr>
            <w:tcW w:w="936" w:type="dxa"/>
            <w:tcBorders>
              <w:top w:val="nil"/>
              <w:left w:val="single" w:sz="4" w:space="0" w:color="auto"/>
              <w:bottom w:val="nil"/>
              <w:right w:val="single" w:sz="4" w:space="0" w:color="auto"/>
            </w:tcBorders>
            <w:shd w:val="clear" w:color="auto" w:fill="auto"/>
            <w:noWrap/>
            <w:hideMark/>
          </w:tcPr>
          <w:p w14:paraId="016C75E8" w14:textId="3BEBB33B" w:rsidR="004D6E03" w:rsidRPr="00B664C6" w:rsidRDefault="004D6E03" w:rsidP="004D6E03">
            <w:pPr>
              <w:keepNext/>
              <w:suppressAutoHyphens w:val="0"/>
              <w:spacing w:line="240" w:lineRule="auto"/>
              <w:jc w:val="right"/>
              <w:rPr>
                <w:rFonts w:eastAsia="Times New Roman"/>
                <w:color w:val="000000"/>
                <w:spacing w:val="0"/>
                <w:w w:val="100"/>
                <w:kern w:val="0"/>
                <w:sz w:val="16"/>
                <w:szCs w:val="16"/>
              </w:rPr>
            </w:pPr>
            <w:r w:rsidRPr="00B664C6">
              <w:rPr>
                <w:sz w:val="16"/>
                <w:szCs w:val="16"/>
              </w:rPr>
              <w:t xml:space="preserve"> 22 </w:t>
            </w:r>
          </w:p>
        </w:tc>
        <w:tc>
          <w:tcPr>
            <w:tcW w:w="936" w:type="dxa"/>
            <w:tcBorders>
              <w:top w:val="nil"/>
              <w:left w:val="single" w:sz="4" w:space="0" w:color="000000" w:themeColor="text1"/>
              <w:bottom w:val="nil"/>
              <w:right w:val="single" w:sz="4" w:space="0" w:color="000000" w:themeColor="text1"/>
            </w:tcBorders>
            <w:shd w:val="clear" w:color="auto" w:fill="auto"/>
            <w:noWrap/>
          </w:tcPr>
          <w:p w14:paraId="02DA394F" w14:textId="1A8FD423" w:rsidR="004D6E03" w:rsidRPr="00B664C6" w:rsidRDefault="00DB1260" w:rsidP="004D6E03">
            <w:pPr>
              <w:keepNext/>
              <w:suppressAutoHyphens w:val="0"/>
              <w:spacing w:line="240" w:lineRule="auto"/>
              <w:jc w:val="right"/>
              <w:rPr>
                <w:rFonts w:eastAsia="Times New Roman"/>
                <w:color w:val="000000"/>
                <w:spacing w:val="0"/>
                <w:w w:val="100"/>
                <w:kern w:val="0"/>
                <w:sz w:val="16"/>
                <w:szCs w:val="16"/>
              </w:rPr>
            </w:pPr>
            <w:r w:rsidRPr="00B664C6">
              <w:rPr>
                <w:rFonts w:eastAsia="Times New Roman"/>
                <w:color w:val="000000" w:themeColor="text1"/>
                <w:sz w:val="16"/>
                <w:szCs w:val="16"/>
              </w:rPr>
              <w:t>(7)</w:t>
            </w:r>
          </w:p>
        </w:tc>
        <w:tc>
          <w:tcPr>
            <w:tcW w:w="958" w:type="dxa"/>
            <w:tcBorders>
              <w:top w:val="nil"/>
              <w:left w:val="nil"/>
              <w:bottom w:val="nil"/>
              <w:right w:val="single" w:sz="4" w:space="0" w:color="auto"/>
            </w:tcBorders>
            <w:shd w:val="clear" w:color="auto" w:fill="auto"/>
            <w:noWrap/>
          </w:tcPr>
          <w:p w14:paraId="08D53C42" w14:textId="7455011B" w:rsidR="004D6E03" w:rsidRPr="00B664C6" w:rsidRDefault="00DB1260" w:rsidP="004D6E03">
            <w:pPr>
              <w:keepNext/>
              <w:suppressAutoHyphens w:val="0"/>
              <w:spacing w:line="240" w:lineRule="auto"/>
              <w:jc w:val="right"/>
              <w:rPr>
                <w:rFonts w:eastAsia="Times New Roman"/>
                <w:color w:val="000000"/>
                <w:spacing w:val="0"/>
                <w:w w:val="100"/>
                <w:kern w:val="0"/>
                <w:sz w:val="16"/>
                <w:szCs w:val="16"/>
              </w:rPr>
            </w:pPr>
            <w:r w:rsidRPr="00B664C6">
              <w:rPr>
                <w:rFonts w:eastAsia="Times New Roman"/>
                <w:color w:val="000000" w:themeColor="text1"/>
                <w:sz w:val="16"/>
                <w:szCs w:val="16"/>
              </w:rPr>
              <w:t>(32%)</w:t>
            </w:r>
          </w:p>
        </w:tc>
      </w:tr>
      <w:tr w:rsidR="004D6E03" w:rsidRPr="00B664C6" w14:paraId="4F1031D1" w14:textId="77777777" w:rsidTr="39D02343">
        <w:trPr>
          <w:trHeight w:val="24"/>
        </w:trPr>
        <w:tc>
          <w:tcPr>
            <w:tcW w:w="3575" w:type="dxa"/>
            <w:tcBorders>
              <w:top w:val="nil"/>
              <w:left w:val="single" w:sz="4" w:space="0" w:color="auto"/>
              <w:bottom w:val="nil"/>
              <w:right w:val="nil"/>
            </w:tcBorders>
            <w:shd w:val="clear" w:color="auto" w:fill="auto"/>
            <w:noWrap/>
            <w:vAlign w:val="center"/>
            <w:hideMark/>
          </w:tcPr>
          <w:p w14:paraId="6BC05576" w14:textId="77777777" w:rsidR="004D6E03" w:rsidRPr="00B664C6" w:rsidRDefault="004D6E03" w:rsidP="004D6E03">
            <w:pPr>
              <w:keepNext/>
              <w:suppressAutoHyphens w:val="0"/>
              <w:spacing w:line="240" w:lineRule="auto"/>
              <w:rPr>
                <w:rFonts w:eastAsia="Times New Roman"/>
                <w:color w:val="000000"/>
                <w:spacing w:val="0"/>
                <w:w w:val="100"/>
                <w:kern w:val="0"/>
                <w:sz w:val="16"/>
                <w:szCs w:val="16"/>
              </w:rPr>
            </w:pPr>
            <w:r w:rsidRPr="00B664C6">
              <w:rPr>
                <w:rFonts w:eastAsia="Times New Roman"/>
                <w:color w:val="000000"/>
                <w:spacing w:val="0"/>
                <w:w w:val="100"/>
                <w:kern w:val="0"/>
                <w:sz w:val="16"/>
                <w:szCs w:val="16"/>
              </w:rPr>
              <w:t>Management activities</w:t>
            </w:r>
          </w:p>
        </w:tc>
        <w:tc>
          <w:tcPr>
            <w:tcW w:w="936" w:type="dxa"/>
            <w:tcBorders>
              <w:top w:val="nil"/>
              <w:left w:val="single" w:sz="4" w:space="0" w:color="auto"/>
              <w:bottom w:val="nil"/>
              <w:right w:val="single" w:sz="4" w:space="0" w:color="auto"/>
            </w:tcBorders>
          </w:tcPr>
          <w:p w14:paraId="0F48156B" w14:textId="7D9F8499" w:rsidR="004D6E03" w:rsidRPr="00B664C6" w:rsidRDefault="00DB1260" w:rsidP="004D6E03">
            <w:pPr>
              <w:keepNext/>
              <w:suppressAutoHyphens w:val="0"/>
              <w:spacing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446</w:t>
            </w:r>
          </w:p>
        </w:tc>
        <w:tc>
          <w:tcPr>
            <w:tcW w:w="936" w:type="dxa"/>
            <w:tcBorders>
              <w:top w:val="nil"/>
              <w:left w:val="single" w:sz="4" w:space="0" w:color="auto"/>
              <w:bottom w:val="nil"/>
              <w:right w:val="single" w:sz="4" w:space="0" w:color="auto"/>
            </w:tcBorders>
            <w:shd w:val="clear" w:color="auto" w:fill="auto"/>
            <w:noWrap/>
            <w:hideMark/>
          </w:tcPr>
          <w:p w14:paraId="4C9B83EE" w14:textId="462D4A56" w:rsidR="004D6E03" w:rsidRPr="00B664C6" w:rsidRDefault="004D6E03" w:rsidP="004D6E03">
            <w:pPr>
              <w:keepNext/>
              <w:suppressAutoHyphens w:val="0"/>
              <w:spacing w:line="240" w:lineRule="auto"/>
              <w:jc w:val="right"/>
              <w:rPr>
                <w:rFonts w:eastAsia="Times New Roman"/>
                <w:color w:val="000000"/>
                <w:spacing w:val="0"/>
                <w:w w:val="100"/>
                <w:kern w:val="0"/>
                <w:sz w:val="16"/>
                <w:szCs w:val="16"/>
              </w:rPr>
            </w:pPr>
            <w:r w:rsidRPr="00B664C6">
              <w:rPr>
                <w:sz w:val="16"/>
                <w:szCs w:val="16"/>
              </w:rPr>
              <w:t xml:space="preserve"> 392 </w:t>
            </w:r>
          </w:p>
        </w:tc>
        <w:tc>
          <w:tcPr>
            <w:tcW w:w="936" w:type="dxa"/>
            <w:tcBorders>
              <w:top w:val="nil"/>
              <w:left w:val="single" w:sz="4" w:space="0" w:color="000000" w:themeColor="text1"/>
              <w:bottom w:val="nil"/>
              <w:right w:val="single" w:sz="4" w:space="0" w:color="000000" w:themeColor="text1"/>
            </w:tcBorders>
            <w:shd w:val="clear" w:color="auto" w:fill="auto"/>
            <w:noWrap/>
          </w:tcPr>
          <w:p w14:paraId="6437D297" w14:textId="50F0C7BB" w:rsidR="004D6E03" w:rsidRPr="00B664C6" w:rsidRDefault="00DB1260" w:rsidP="004D6E03">
            <w:pPr>
              <w:keepNext/>
              <w:suppressAutoHyphens w:val="0"/>
              <w:spacing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54</w:t>
            </w:r>
          </w:p>
        </w:tc>
        <w:tc>
          <w:tcPr>
            <w:tcW w:w="958" w:type="dxa"/>
            <w:tcBorders>
              <w:top w:val="nil"/>
              <w:left w:val="nil"/>
              <w:bottom w:val="nil"/>
              <w:right w:val="single" w:sz="4" w:space="0" w:color="auto"/>
            </w:tcBorders>
            <w:shd w:val="clear" w:color="auto" w:fill="auto"/>
            <w:noWrap/>
          </w:tcPr>
          <w:p w14:paraId="4C96C4FE" w14:textId="2D116AFC" w:rsidR="004D6E03" w:rsidRPr="00B664C6" w:rsidRDefault="00DB1260" w:rsidP="004D6E03">
            <w:pPr>
              <w:keepNext/>
              <w:suppressAutoHyphens w:val="0"/>
              <w:spacing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14%</w:t>
            </w:r>
          </w:p>
        </w:tc>
      </w:tr>
      <w:tr w:rsidR="004D6E03" w:rsidRPr="00B664C6" w14:paraId="303FF1B4" w14:textId="77777777" w:rsidTr="39D02343">
        <w:trPr>
          <w:trHeight w:val="24"/>
        </w:trPr>
        <w:tc>
          <w:tcPr>
            <w:tcW w:w="3575" w:type="dxa"/>
            <w:tcBorders>
              <w:top w:val="nil"/>
              <w:left w:val="single" w:sz="4" w:space="0" w:color="auto"/>
              <w:bottom w:val="nil"/>
              <w:right w:val="nil"/>
            </w:tcBorders>
            <w:shd w:val="clear" w:color="auto" w:fill="auto"/>
            <w:noWrap/>
            <w:vAlign w:val="center"/>
            <w:hideMark/>
          </w:tcPr>
          <w:p w14:paraId="3B540E32" w14:textId="0148B0B2" w:rsidR="004D6E03" w:rsidRPr="00B664C6" w:rsidRDefault="004D6E03" w:rsidP="004D6E03">
            <w:pPr>
              <w:keepNext/>
              <w:suppressAutoHyphens w:val="0"/>
              <w:spacing w:line="240" w:lineRule="auto"/>
              <w:rPr>
                <w:rFonts w:eastAsia="Times New Roman"/>
                <w:color w:val="000000"/>
                <w:spacing w:val="0"/>
                <w:w w:val="100"/>
                <w:kern w:val="0"/>
                <w:sz w:val="16"/>
                <w:szCs w:val="16"/>
              </w:rPr>
            </w:pPr>
            <w:r w:rsidRPr="00B664C6">
              <w:rPr>
                <w:rFonts w:eastAsia="Times New Roman"/>
                <w:color w:val="000000"/>
                <w:spacing w:val="0"/>
                <w:w w:val="100"/>
                <w:kern w:val="0"/>
                <w:sz w:val="16"/>
                <w:szCs w:val="16"/>
              </w:rPr>
              <w:t>Special purpose activities</w:t>
            </w:r>
          </w:p>
        </w:tc>
        <w:tc>
          <w:tcPr>
            <w:tcW w:w="936" w:type="dxa"/>
            <w:tcBorders>
              <w:top w:val="nil"/>
              <w:left w:val="single" w:sz="4" w:space="0" w:color="auto"/>
              <w:bottom w:val="nil"/>
              <w:right w:val="single" w:sz="4" w:space="0" w:color="auto"/>
            </w:tcBorders>
          </w:tcPr>
          <w:p w14:paraId="2064CB01" w14:textId="2BA3559A" w:rsidR="004D6E03" w:rsidRPr="00B664C6" w:rsidRDefault="00DB1260" w:rsidP="004D6E03">
            <w:pPr>
              <w:keepNext/>
              <w:suppressAutoHyphens w:val="0"/>
              <w:spacing w:line="240" w:lineRule="auto"/>
              <w:jc w:val="right"/>
              <w:rPr>
                <w:rFonts w:eastAsia="Times New Roman"/>
                <w:color w:val="000000"/>
                <w:spacing w:val="0"/>
                <w:w w:val="100"/>
                <w:kern w:val="0"/>
                <w:sz w:val="16"/>
                <w:szCs w:val="16"/>
              </w:rPr>
            </w:pPr>
            <w:r w:rsidRPr="00B664C6">
              <w:rPr>
                <w:rFonts w:eastAsia="Times New Roman"/>
                <w:color w:val="000000" w:themeColor="text1"/>
                <w:sz w:val="16"/>
                <w:szCs w:val="16"/>
              </w:rPr>
              <w:t>66</w:t>
            </w:r>
          </w:p>
        </w:tc>
        <w:tc>
          <w:tcPr>
            <w:tcW w:w="936" w:type="dxa"/>
            <w:tcBorders>
              <w:top w:val="nil"/>
              <w:left w:val="single" w:sz="4" w:space="0" w:color="auto"/>
              <w:bottom w:val="nil"/>
              <w:right w:val="single" w:sz="4" w:space="0" w:color="auto"/>
            </w:tcBorders>
            <w:shd w:val="clear" w:color="auto" w:fill="auto"/>
            <w:noWrap/>
            <w:hideMark/>
          </w:tcPr>
          <w:p w14:paraId="22B163E4" w14:textId="02C8AFE7" w:rsidR="004D6E03" w:rsidRPr="00B664C6" w:rsidRDefault="004D6E03" w:rsidP="004D6E03">
            <w:pPr>
              <w:keepNext/>
              <w:suppressAutoHyphens w:val="0"/>
              <w:spacing w:line="240" w:lineRule="auto"/>
              <w:jc w:val="right"/>
              <w:rPr>
                <w:rFonts w:eastAsia="Times New Roman"/>
                <w:color w:val="000000"/>
                <w:spacing w:val="0"/>
                <w:w w:val="100"/>
                <w:kern w:val="0"/>
                <w:sz w:val="16"/>
                <w:szCs w:val="16"/>
              </w:rPr>
            </w:pPr>
            <w:r w:rsidRPr="00B664C6">
              <w:rPr>
                <w:sz w:val="16"/>
                <w:szCs w:val="16"/>
              </w:rPr>
              <w:t xml:space="preserve"> 79 </w:t>
            </w:r>
          </w:p>
        </w:tc>
        <w:tc>
          <w:tcPr>
            <w:tcW w:w="936" w:type="dxa"/>
            <w:tcBorders>
              <w:top w:val="nil"/>
              <w:left w:val="single" w:sz="4" w:space="0" w:color="000000" w:themeColor="text1"/>
              <w:bottom w:val="nil"/>
              <w:right w:val="single" w:sz="4" w:space="0" w:color="000000" w:themeColor="text1"/>
            </w:tcBorders>
            <w:shd w:val="clear" w:color="auto" w:fill="auto"/>
            <w:noWrap/>
          </w:tcPr>
          <w:p w14:paraId="01F7D16C" w14:textId="30A2568E" w:rsidR="004D6E03" w:rsidRPr="00B664C6" w:rsidRDefault="00DB1260" w:rsidP="004D6E03">
            <w:pPr>
              <w:keepNext/>
              <w:suppressAutoHyphens w:val="0"/>
              <w:spacing w:line="240" w:lineRule="auto"/>
              <w:jc w:val="right"/>
              <w:rPr>
                <w:rFonts w:eastAsia="Times New Roman"/>
                <w:color w:val="000000"/>
                <w:spacing w:val="0"/>
                <w:w w:val="100"/>
                <w:kern w:val="0"/>
                <w:sz w:val="16"/>
                <w:szCs w:val="16"/>
              </w:rPr>
            </w:pPr>
            <w:r w:rsidRPr="00B664C6">
              <w:rPr>
                <w:rFonts w:eastAsia="Times New Roman"/>
                <w:color w:val="000000" w:themeColor="text1"/>
                <w:sz w:val="16"/>
                <w:szCs w:val="16"/>
              </w:rPr>
              <w:t>(13)</w:t>
            </w:r>
          </w:p>
        </w:tc>
        <w:tc>
          <w:tcPr>
            <w:tcW w:w="958" w:type="dxa"/>
            <w:tcBorders>
              <w:top w:val="nil"/>
              <w:left w:val="nil"/>
              <w:bottom w:val="nil"/>
              <w:right w:val="single" w:sz="4" w:space="0" w:color="auto"/>
            </w:tcBorders>
            <w:shd w:val="clear" w:color="auto" w:fill="auto"/>
            <w:noWrap/>
          </w:tcPr>
          <w:p w14:paraId="1B29DE40" w14:textId="7E11EF08" w:rsidR="004D6E03" w:rsidRPr="00B664C6" w:rsidRDefault="007240F6" w:rsidP="004D6E03">
            <w:pPr>
              <w:keepNext/>
              <w:suppressAutoHyphens w:val="0"/>
              <w:spacing w:line="240" w:lineRule="auto"/>
              <w:jc w:val="right"/>
              <w:rPr>
                <w:rFonts w:eastAsia="Times New Roman"/>
                <w:color w:val="000000"/>
                <w:spacing w:val="0"/>
                <w:w w:val="100"/>
                <w:kern w:val="0"/>
                <w:sz w:val="16"/>
                <w:szCs w:val="16"/>
              </w:rPr>
            </w:pPr>
            <w:r w:rsidRPr="00B664C6">
              <w:rPr>
                <w:rFonts w:eastAsia="Times New Roman"/>
                <w:color w:val="000000" w:themeColor="text1"/>
                <w:sz w:val="16"/>
                <w:szCs w:val="16"/>
              </w:rPr>
              <w:t>(16%)</w:t>
            </w:r>
          </w:p>
        </w:tc>
      </w:tr>
      <w:tr w:rsidR="004D6E03" w:rsidRPr="00B664C6" w14:paraId="30FAA8D9" w14:textId="77777777" w:rsidTr="39D02343">
        <w:trPr>
          <w:trHeight w:val="24"/>
        </w:trPr>
        <w:tc>
          <w:tcPr>
            <w:tcW w:w="3575" w:type="dxa"/>
            <w:tcBorders>
              <w:top w:val="nil"/>
              <w:left w:val="single" w:sz="4" w:space="0" w:color="auto"/>
              <w:bottom w:val="single" w:sz="4" w:space="0" w:color="auto"/>
              <w:right w:val="single" w:sz="4" w:space="0" w:color="auto"/>
            </w:tcBorders>
            <w:shd w:val="clear" w:color="auto" w:fill="auto"/>
            <w:noWrap/>
            <w:vAlign w:val="center"/>
            <w:hideMark/>
          </w:tcPr>
          <w:p w14:paraId="20285691" w14:textId="77777777" w:rsidR="004D6E03" w:rsidRPr="00B664C6" w:rsidRDefault="004D6E03" w:rsidP="004D6E03">
            <w:pPr>
              <w:keepNext/>
              <w:suppressAutoHyphens w:val="0"/>
              <w:spacing w:line="240" w:lineRule="auto"/>
              <w:rPr>
                <w:rFonts w:eastAsia="Times New Roman"/>
                <w:color w:val="000000"/>
                <w:spacing w:val="0"/>
                <w:w w:val="100"/>
                <w:kern w:val="0"/>
                <w:sz w:val="16"/>
                <w:szCs w:val="16"/>
              </w:rPr>
            </w:pPr>
            <w:r w:rsidRPr="00B664C6">
              <w:rPr>
                <w:rFonts w:eastAsia="Times New Roman"/>
                <w:color w:val="000000"/>
                <w:spacing w:val="0"/>
                <w:w w:val="100"/>
                <w:kern w:val="0"/>
                <w:sz w:val="16"/>
                <w:szCs w:val="16"/>
              </w:rPr>
              <w:t>Other activities</w:t>
            </w:r>
          </w:p>
        </w:tc>
        <w:tc>
          <w:tcPr>
            <w:tcW w:w="936" w:type="dxa"/>
            <w:tcBorders>
              <w:top w:val="nil"/>
              <w:left w:val="nil"/>
              <w:bottom w:val="single" w:sz="4" w:space="0" w:color="auto"/>
              <w:right w:val="single" w:sz="4" w:space="0" w:color="auto"/>
            </w:tcBorders>
          </w:tcPr>
          <w:p w14:paraId="5BAD2624" w14:textId="54A21F3D" w:rsidR="004D6E03" w:rsidRPr="00B664C6" w:rsidRDefault="00DB1260" w:rsidP="004D6E03">
            <w:pPr>
              <w:keepNext/>
              <w:suppressAutoHyphens w:val="0"/>
              <w:spacing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210</w:t>
            </w:r>
          </w:p>
        </w:tc>
        <w:tc>
          <w:tcPr>
            <w:tcW w:w="936" w:type="dxa"/>
            <w:tcBorders>
              <w:top w:val="nil"/>
              <w:left w:val="single" w:sz="4" w:space="0" w:color="auto"/>
              <w:bottom w:val="single" w:sz="4" w:space="0" w:color="auto"/>
              <w:right w:val="single" w:sz="4" w:space="0" w:color="auto"/>
            </w:tcBorders>
            <w:shd w:val="clear" w:color="auto" w:fill="auto"/>
            <w:noWrap/>
            <w:hideMark/>
          </w:tcPr>
          <w:p w14:paraId="468DB9CA" w14:textId="6AAC6D26" w:rsidR="004D6E03" w:rsidRPr="00B664C6" w:rsidRDefault="004D6E03" w:rsidP="004D6E03">
            <w:pPr>
              <w:keepNext/>
              <w:suppressAutoHyphens w:val="0"/>
              <w:spacing w:line="240" w:lineRule="auto"/>
              <w:jc w:val="right"/>
              <w:rPr>
                <w:rFonts w:eastAsia="Times New Roman"/>
                <w:color w:val="000000"/>
                <w:spacing w:val="0"/>
                <w:w w:val="100"/>
                <w:kern w:val="0"/>
                <w:sz w:val="16"/>
                <w:szCs w:val="16"/>
              </w:rPr>
            </w:pPr>
            <w:r w:rsidRPr="00B664C6">
              <w:rPr>
                <w:sz w:val="16"/>
                <w:szCs w:val="16"/>
              </w:rPr>
              <w:t xml:space="preserve"> 188 </w:t>
            </w:r>
          </w:p>
        </w:tc>
        <w:tc>
          <w:tcPr>
            <w:tcW w:w="936" w:type="dxa"/>
            <w:tcBorders>
              <w:top w:val="nil"/>
              <w:left w:val="nil"/>
              <w:bottom w:val="single" w:sz="4" w:space="0" w:color="auto"/>
              <w:right w:val="single" w:sz="4" w:space="0" w:color="000000" w:themeColor="text1"/>
            </w:tcBorders>
            <w:shd w:val="clear" w:color="auto" w:fill="auto"/>
            <w:noWrap/>
          </w:tcPr>
          <w:p w14:paraId="6D51CA98" w14:textId="3ADB2494" w:rsidR="004D6E03" w:rsidRPr="00B664C6" w:rsidRDefault="00DB1260" w:rsidP="004D6E03">
            <w:pPr>
              <w:keepNext/>
              <w:suppressAutoHyphens w:val="0"/>
              <w:spacing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22</w:t>
            </w:r>
          </w:p>
        </w:tc>
        <w:tc>
          <w:tcPr>
            <w:tcW w:w="958" w:type="dxa"/>
            <w:tcBorders>
              <w:top w:val="nil"/>
              <w:left w:val="nil"/>
              <w:bottom w:val="single" w:sz="4" w:space="0" w:color="auto"/>
              <w:right w:val="single" w:sz="4" w:space="0" w:color="auto"/>
            </w:tcBorders>
            <w:shd w:val="clear" w:color="auto" w:fill="auto"/>
            <w:noWrap/>
          </w:tcPr>
          <w:p w14:paraId="75D61543" w14:textId="063CCFC4" w:rsidR="004D6E03" w:rsidRPr="00B664C6" w:rsidRDefault="007240F6" w:rsidP="004D6E03">
            <w:pPr>
              <w:keepNext/>
              <w:suppressAutoHyphens w:val="0"/>
              <w:spacing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12%</w:t>
            </w:r>
          </w:p>
        </w:tc>
      </w:tr>
      <w:tr w:rsidR="004D6E03" w:rsidRPr="00B664C6" w14:paraId="7C61048C" w14:textId="77777777" w:rsidTr="39D02343">
        <w:trPr>
          <w:trHeight w:val="24"/>
        </w:trPr>
        <w:tc>
          <w:tcPr>
            <w:tcW w:w="3575" w:type="dxa"/>
            <w:tcBorders>
              <w:top w:val="nil"/>
              <w:left w:val="single" w:sz="4" w:space="0" w:color="auto"/>
              <w:bottom w:val="nil"/>
              <w:right w:val="single" w:sz="4" w:space="0" w:color="auto"/>
            </w:tcBorders>
            <w:shd w:val="clear" w:color="auto" w:fill="auto"/>
            <w:noWrap/>
            <w:vAlign w:val="center"/>
            <w:hideMark/>
          </w:tcPr>
          <w:p w14:paraId="1B2C49E7" w14:textId="77777777" w:rsidR="004D6E03" w:rsidRPr="00B664C6" w:rsidRDefault="004D6E03" w:rsidP="004D6E03">
            <w:pPr>
              <w:keepNext/>
              <w:suppressAutoHyphens w:val="0"/>
              <w:spacing w:line="240" w:lineRule="auto"/>
              <w:rPr>
                <w:rFonts w:eastAsia="Times New Roman"/>
                <w:color w:val="000000"/>
                <w:spacing w:val="0"/>
                <w:w w:val="100"/>
                <w:kern w:val="0"/>
                <w:sz w:val="16"/>
                <w:szCs w:val="16"/>
              </w:rPr>
            </w:pPr>
            <w:r w:rsidRPr="00B664C6">
              <w:rPr>
                <w:rFonts w:eastAsia="Times New Roman"/>
                <w:color w:val="000000"/>
                <w:spacing w:val="0"/>
                <w:w w:val="100"/>
                <w:kern w:val="0"/>
                <w:sz w:val="16"/>
                <w:szCs w:val="16"/>
              </w:rPr>
              <w:t>Total expenses before elimination</w:t>
            </w:r>
          </w:p>
        </w:tc>
        <w:tc>
          <w:tcPr>
            <w:tcW w:w="936" w:type="dxa"/>
            <w:tcBorders>
              <w:top w:val="single" w:sz="4" w:space="0" w:color="auto"/>
              <w:left w:val="nil"/>
              <w:right w:val="single" w:sz="4" w:space="0" w:color="auto"/>
            </w:tcBorders>
          </w:tcPr>
          <w:p w14:paraId="75CC176E" w14:textId="4F2824EC" w:rsidR="004D6E03" w:rsidRPr="00B664C6" w:rsidRDefault="00DB1260" w:rsidP="004D6E03">
            <w:pPr>
              <w:keepNext/>
              <w:suppressAutoHyphens w:val="0"/>
              <w:spacing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5,307</w:t>
            </w:r>
          </w:p>
        </w:tc>
        <w:tc>
          <w:tcPr>
            <w:tcW w:w="936" w:type="dxa"/>
            <w:tcBorders>
              <w:top w:val="single" w:sz="4" w:space="0" w:color="auto"/>
              <w:left w:val="single" w:sz="4" w:space="0" w:color="auto"/>
              <w:right w:val="single" w:sz="4" w:space="0" w:color="auto"/>
            </w:tcBorders>
            <w:shd w:val="clear" w:color="auto" w:fill="auto"/>
            <w:noWrap/>
            <w:hideMark/>
          </w:tcPr>
          <w:p w14:paraId="0D1BD7D2" w14:textId="159A7A5F" w:rsidR="004D6E03" w:rsidRPr="00B664C6" w:rsidRDefault="004D6E03" w:rsidP="004D6E03">
            <w:pPr>
              <w:keepNext/>
              <w:suppressAutoHyphens w:val="0"/>
              <w:spacing w:line="240" w:lineRule="auto"/>
              <w:jc w:val="right"/>
              <w:rPr>
                <w:rFonts w:eastAsia="Times New Roman"/>
                <w:color w:val="000000"/>
                <w:spacing w:val="0"/>
                <w:w w:val="100"/>
                <w:kern w:val="0"/>
                <w:sz w:val="16"/>
                <w:szCs w:val="16"/>
              </w:rPr>
            </w:pPr>
            <w:r w:rsidRPr="00B664C6">
              <w:rPr>
                <w:sz w:val="16"/>
                <w:szCs w:val="16"/>
              </w:rPr>
              <w:t xml:space="preserve"> 5,180 </w:t>
            </w:r>
          </w:p>
        </w:tc>
        <w:tc>
          <w:tcPr>
            <w:tcW w:w="936" w:type="dxa"/>
            <w:tcBorders>
              <w:top w:val="single" w:sz="4" w:space="0" w:color="auto"/>
              <w:left w:val="nil"/>
              <w:right w:val="single" w:sz="4" w:space="0" w:color="000000" w:themeColor="text1"/>
            </w:tcBorders>
            <w:shd w:val="clear" w:color="auto" w:fill="auto"/>
            <w:noWrap/>
          </w:tcPr>
          <w:p w14:paraId="4B8D4F19" w14:textId="73DB15EB" w:rsidR="004D6E03" w:rsidRPr="00B664C6" w:rsidRDefault="00DB1260" w:rsidP="004D6E03">
            <w:pPr>
              <w:keepNext/>
              <w:suppressAutoHyphens w:val="0"/>
              <w:spacing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127</w:t>
            </w:r>
          </w:p>
        </w:tc>
        <w:tc>
          <w:tcPr>
            <w:tcW w:w="958" w:type="dxa"/>
            <w:tcBorders>
              <w:top w:val="single" w:sz="4" w:space="0" w:color="auto"/>
              <w:left w:val="nil"/>
              <w:right w:val="single" w:sz="4" w:space="0" w:color="auto"/>
            </w:tcBorders>
            <w:shd w:val="clear" w:color="auto" w:fill="auto"/>
            <w:noWrap/>
          </w:tcPr>
          <w:p w14:paraId="0720476E" w14:textId="75EBDC04" w:rsidR="004D6E03" w:rsidRPr="00B664C6" w:rsidRDefault="007240F6" w:rsidP="004D6E03">
            <w:pPr>
              <w:keepNext/>
              <w:suppressAutoHyphens w:val="0"/>
              <w:spacing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2%</w:t>
            </w:r>
          </w:p>
        </w:tc>
      </w:tr>
      <w:tr w:rsidR="004D6E03" w:rsidRPr="00B664C6" w14:paraId="678B8946" w14:textId="77777777" w:rsidTr="39D02343">
        <w:trPr>
          <w:trHeight w:val="24"/>
        </w:trPr>
        <w:tc>
          <w:tcPr>
            <w:tcW w:w="3575" w:type="dxa"/>
            <w:tcBorders>
              <w:top w:val="nil"/>
              <w:left w:val="single" w:sz="4" w:space="0" w:color="auto"/>
              <w:bottom w:val="nil"/>
              <w:right w:val="single" w:sz="4" w:space="0" w:color="auto"/>
            </w:tcBorders>
            <w:shd w:val="clear" w:color="auto" w:fill="auto"/>
            <w:noWrap/>
            <w:vAlign w:val="center"/>
          </w:tcPr>
          <w:p w14:paraId="30F87AE7" w14:textId="77777777" w:rsidR="004D6E03" w:rsidRPr="00B664C6" w:rsidRDefault="004D6E03" w:rsidP="004D6E03">
            <w:pPr>
              <w:keepNext/>
              <w:suppressAutoHyphens w:val="0"/>
              <w:spacing w:line="240" w:lineRule="auto"/>
              <w:rPr>
                <w:rFonts w:eastAsia="Times New Roman"/>
                <w:color w:val="000000"/>
                <w:spacing w:val="0"/>
                <w:w w:val="100"/>
                <w:kern w:val="0"/>
                <w:sz w:val="16"/>
                <w:szCs w:val="16"/>
              </w:rPr>
            </w:pPr>
            <w:r w:rsidRPr="00B664C6">
              <w:rPr>
                <w:rFonts w:eastAsia="Times New Roman"/>
                <w:color w:val="000000"/>
                <w:spacing w:val="0"/>
                <w:w w:val="100"/>
                <w:kern w:val="0"/>
                <w:sz w:val="16"/>
                <w:szCs w:val="16"/>
              </w:rPr>
              <w:t>Elimination</w:t>
            </w:r>
          </w:p>
        </w:tc>
        <w:tc>
          <w:tcPr>
            <w:tcW w:w="936" w:type="dxa"/>
            <w:tcBorders>
              <w:top w:val="nil"/>
              <w:left w:val="single" w:sz="4" w:space="0" w:color="auto"/>
              <w:bottom w:val="nil"/>
              <w:right w:val="single" w:sz="4" w:space="0" w:color="auto"/>
            </w:tcBorders>
          </w:tcPr>
          <w:p w14:paraId="618FFA57" w14:textId="6333D533" w:rsidR="004D6E03" w:rsidRPr="00B664C6" w:rsidRDefault="00DB1260" w:rsidP="004D6E03">
            <w:pPr>
              <w:keepNext/>
              <w:suppressAutoHyphens w:val="0"/>
              <w:spacing w:line="240" w:lineRule="auto"/>
              <w:jc w:val="right"/>
              <w:rPr>
                <w:color w:val="000000"/>
                <w:sz w:val="16"/>
                <w:szCs w:val="16"/>
              </w:rPr>
            </w:pPr>
            <w:r w:rsidRPr="00B664C6">
              <w:rPr>
                <w:color w:val="000000"/>
                <w:sz w:val="16"/>
                <w:szCs w:val="16"/>
              </w:rPr>
              <w:t>(256)</w:t>
            </w:r>
          </w:p>
        </w:tc>
        <w:tc>
          <w:tcPr>
            <w:tcW w:w="936" w:type="dxa"/>
            <w:tcBorders>
              <w:top w:val="nil"/>
              <w:left w:val="single" w:sz="4" w:space="0" w:color="auto"/>
              <w:bottom w:val="nil"/>
              <w:right w:val="single" w:sz="4" w:space="0" w:color="auto"/>
            </w:tcBorders>
            <w:shd w:val="clear" w:color="auto" w:fill="auto"/>
            <w:noWrap/>
          </w:tcPr>
          <w:p w14:paraId="478FB620" w14:textId="7C21D4F5" w:rsidR="004D6E03" w:rsidRPr="00B664C6" w:rsidRDefault="004D6E03" w:rsidP="004D6E03">
            <w:pPr>
              <w:keepNext/>
              <w:suppressAutoHyphens w:val="0"/>
              <w:spacing w:line="240" w:lineRule="auto"/>
              <w:jc w:val="right"/>
              <w:rPr>
                <w:rFonts w:eastAsia="Times New Roman"/>
                <w:color w:val="000000"/>
                <w:spacing w:val="0"/>
                <w:w w:val="100"/>
                <w:kern w:val="0"/>
                <w:sz w:val="16"/>
                <w:szCs w:val="16"/>
              </w:rPr>
            </w:pPr>
            <w:r w:rsidRPr="00B664C6">
              <w:rPr>
                <w:sz w:val="16"/>
                <w:szCs w:val="16"/>
              </w:rPr>
              <w:t xml:space="preserve"> (256)</w:t>
            </w:r>
          </w:p>
        </w:tc>
        <w:tc>
          <w:tcPr>
            <w:tcW w:w="936" w:type="dxa"/>
            <w:tcBorders>
              <w:left w:val="nil"/>
              <w:bottom w:val="single" w:sz="4" w:space="0" w:color="000000" w:themeColor="text1"/>
              <w:right w:val="single" w:sz="4" w:space="0" w:color="000000" w:themeColor="text1"/>
            </w:tcBorders>
            <w:shd w:val="clear" w:color="auto" w:fill="auto"/>
            <w:noWrap/>
          </w:tcPr>
          <w:p w14:paraId="235BD0D8" w14:textId="36E4D8CD" w:rsidR="004D6E03" w:rsidRPr="00B664C6" w:rsidRDefault="00DB1260" w:rsidP="004D6E03">
            <w:pPr>
              <w:keepNext/>
              <w:suppressAutoHyphens w:val="0"/>
              <w:spacing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w:t>
            </w:r>
          </w:p>
        </w:tc>
        <w:tc>
          <w:tcPr>
            <w:tcW w:w="958" w:type="dxa"/>
            <w:tcBorders>
              <w:left w:val="nil"/>
              <w:bottom w:val="single" w:sz="4" w:space="0" w:color="000000" w:themeColor="text1"/>
              <w:right w:val="single" w:sz="4" w:space="0" w:color="auto"/>
            </w:tcBorders>
            <w:shd w:val="clear" w:color="auto" w:fill="auto"/>
            <w:noWrap/>
          </w:tcPr>
          <w:p w14:paraId="1467A758" w14:textId="05EC5580" w:rsidR="004D6E03" w:rsidRPr="00B664C6" w:rsidRDefault="007240F6" w:rsidP="004D6E03">
            <w:pPr>
              <w:keepNext/>
              <w:suppressAutoHyphens w:val="0"/>
              <w:spacing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w:t>
            </w:r>
          </w:p>
        </w:tc>
      </w:tr>
      <w:tr w:rsidR="004D6E03" w:rsidRPr="00B664C6" w14:paraId="4719309D" w14:textId="77777777" w:rsidTr="39D02343">
        <w:trPr>
          <w:trHeight w:val="24"/>
        </w:trPr>
        <w:tc>
          <w:tcPr>
            <w:tcW w:w="3575" w:type="dxa"/>
            <w:tcBorders>
              <w:top w:val="nil"/>
              <w:left w:val="single" w:sz="4" w:space="0" w:color="auto"/>
              <w:bottom w:val="single" w:sz="4" w:space="0" w:color="auto"/>
              <w:right w:val="single" w:sz="4" w:space="0" w:color="auto"/>
            </w:tcBorders>
            <w:shd w:val="clear" w:color="auto" w:fill="auto"/>
            <w:noWrap/>
            <w:vAlign w:val="center"/>
          </w:tcPr>
          <w:p w14:paraId="6F1E2602" w14:textId="77777777" w:rsidR="004D6E03" w:rsidRPr="00B664C6" w:rsidRDefault="004D6E03" w:rsidP="004D6E03">
            <w:pPr>
              <w:keepNext/>
              <w:suppressAutoHyphens w:val="0"/>
              <w:spacing w:line="240" w:lineRule="auto"/>
              <w:rPr>
                <w:rFonts w:eastAsia="Times New Roman"/>
                <w:color w:val="000000"/>
                <w:spacing w:val="0"/>
                <w:w w:val="100"/>
                <w:kern w:val="0"/>
                <w:sz w:val="16"/>
                <w:szCs w:val="16"/>
              </w:rPr>
            </w:pPr>
            <w:r w:rsidRPr="00B664C6">
              <w:rPr>
                <w:rFonts w:eastAsia="Times New Roman"/>
                <w:color w:val="000000"/>
                <w:spacing w:val="0"/>
                <w:w w:val="100"/>
                <w:kern w:val="0"/>
                <w:sz w:val="16"/>
                <w:szCs w:val="16"/>
              </w:rPr>
              <w:t>Total expenses</w:t>
            </w:r>
          </w:p>
        </w:tc>
        <w:tc>
          <w:tcPr>
            <w:tcW w:w="936" w:type="dxa"/>
            <w:tcBorders>
              <w:top w:val="single" w:sz="4" w:space="0" w:color="auto"/>
              <w:left w:val="single" w:sz="4" w:space="0" w:color="auto"/>
              <w:bottom w:val="single" w:sz="4" w:space="0" w:color="auto"/>
              <w:right w:val="single" w:sz="4" w:space="0" w:color="auto"/>
            </w:tcBorders>
          </w:tcPr>
          <w:p w14:paraId="5FAB276A" w14:textId="487CCA74" w:rsidR="004D6E03" w:rsidRPr="00B664C6" w:rsidRDefault="00DB1260" w:rsidP="004D6E03">
            <w:pPr>
              <w:keepNext/>
              <w:suppressAutoHyphens w:val="0"/>
              <w:spacing w:line="240" w:lineRule="auto"/>
              <w:jc w:val="right"/>
              <w:rPr>
                <w:color w:val="000000"/>
                <w:sz w:val="16"/>
                <w:szCs w:val="16"/>
              </w:rPr>
            </w:pPr>
            <w:r w:rsidRPr="00B664C6">
              <w:rPr>
                <w:color w:val="000000"/>
                <w:sz w:val="16"/>
                <w:szCs w:val="16"/>
              </w:rPr>
              <w:t>5,051</w:t>
            </w:r>
          </w:p>
        </w:tc>
        <w:tc>
          <w:tcPr>
            <w:tcW w:w="936" w:type="dxa"/>
            <w:tcBorders>
              <w:top w:val="single" w:sz="4" w:space="0" w:color="auto"/>
              <w:left w:val="single" w:sz="4" w:space="0" w:color="auto"/>
              <w:bottom w:val="single" w:sz="4" w:space="0" w:color="auto"/>
              <w:right w:val="single" w:sz="4" w:space="0" w:color="auto"/>
            </w:tcBorders>
            <w:shd w:val="clear" w:color="auto" w:fill="auto"/>
            <w:noWrap/>
          </w:tcPr>
          <w:p w14:paraId="72A503EC" w14:textId="7944F34A" w:rsidR="004D6E03" w:rsidRPr="00B664C6" w:rsidRDefault="004D6E03" w:rsidP="004D6E03">
            <w:pPr>
              <w:keepNext/>
              <w:suppressAutoHyphens w:val="0"/>
              <w:spacing w:line="240" w:lineRule="auto"/>
              <w:jc w:val="right"/>
              <w:rPr>
                <w:rFonts w:eastAsia="Times New Roman"/>
                <w:color w:val="000000"/>
                <w:spacing w:val="0"/>
                <w:w w:val="100"/>
                <w:kern w:val="0"/>
                <w:sz w:val="16"/>
                <w:szCs w:val="16"/>
              </w:rPr>
            </w:pPr>
            <w:r w:rsidRPr="00B664C6">
              <w:rPr>
                <w:sz w:val="16"/>
                <w:szCs w:val="16"/>
              </w:rPr>
              <w:t xml:space="preserve"> 4,924 </w:t>
            </w:r>
          </w:p>
        </w:tc>
        <w:tc>
          <w:tcPr>
            <w:tcW w:w="936" w:type="dxa"/>
            <w:tcBorders>
              <w:top w:val="single" w:sz="4" w:space="0" w:color="000000" w:themeColor="text1"/>
              <w:left w:val="nil"/>
              <w:bottom w:val="single" w:sz="4" w:space="0" w:color="auto"/>
              <w:right w:val="single" w:sz="4" w:space="0" w:color="000000" w:themeColor="text1"/>
            </w:tcBorders>
            <w:shd w:val="clear" w:color="auto" w:fill="auto"/>
            <w:noWrap/>
          </w:tcPr>
          <w:p w14:paraId="3D796B62" w14:textId="7D7312DC" w:rsidR="004D6E03" w:rsidRPr="00B664C6" w:rsidRDefault="00DB1260" w:rsidP="004D6E03">
            <w:pPr>
              <w:keepNext/>
              <w:suppressAutoHyphens w:val="0"/>
              <w:spacing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127</w:t>
            </w:r>
          </w:p>
        </w:tc>
        <w:tc>
          <w:tcPr>
            <w:tcW w:w="958" w:type="dxa"/>
            <w:tcBorders>
              <w:top w:val="single" w:sz="4" w:space="0" w:color="000000" w:themeColor="text1"/>
              <w:left w:val="nil"/>
              <w:bottom w:val="single" w:sz="4" w:space="0" w:color="auto"/>
              <w:right w:val="single" w:sz="4" w:space="0" w:color="auto"/>
            </w:tcBorders>
            <w:shd w:val="clear" w:color="auto" w:fill="auto"/>
            <w:noWrap/>
          </w:tcPr>
          <w:p w14:paraId="761963DE" w14:textId="4C8E30A0" w:rsidR="004D6E03" w:rsidRPr="00B664C6" w:rsidRDefault="007240F6" w:rsidP="004D6E03">
            <w:pPr>
              <w:keepNext/>
              <w:suppressAutoHyphens w:val="0"/>
              <w:spacing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3%</w:t>
            </w:r>
          </w:p>
        </w:tc>
      </w:tr>
    </w:tbl>
    <w:p w14:paraId="2C6ABF58" w14:textId="77777777" w:rsidR="00D6045E" w:rsidRPr="00B664C6" w:rsidRDefault="00D6045E" w:rsidP="00D6045E">
      <w:pPr>
        <w:pStyle w:val="SingleTxt"/>
        <w:tabs>
          <w:tab w:val="clear" w:pos="1267"/>
          <w:tab w:val="clear" w:pos="1742"/>
          <w:tab w:val="clear" w:pos="2218"/>
          <w:tab w:val="clear" w:pos="2693"/>
          <w:tab w:val="left" w:pos="1530"/>
          <w:tab w:val="left" w:pos="1620"/>
          <w:tab w:val="left" w:pos="1800"/>
        </w:tabs>
        <w:ind w:left="1530"/>
      </w:pPr>
    </w:p>
    <w:p w14:paraId="163B5150" w14:textId="5839779F" w:rsidR="00FB6A8C" w:rsidRPr="00B664C6" w:rsidRDefault="00FB6A8C" w:rsidP="00AF3FD4">
      <w:pPr>
        <w:pStyle w:val="ListParagraph"/>
        <w:numPr>
          <w:ilvl w:val="0"/>
          <w:numId w:val="5"/>
        </w:numPr>
        <w:spacing w:before="240" w:after="240" w:line="240" w:lineRule="auto"/>
        <w:ind w:right="1267"/>
        <w:contextualSpacing w:val="0"/>
        <w:jc w:val="both"/>
      </w:pPr>
      <w:r w:rsidRPr="00B664C6">
        <w:t xml:space="preserve">Pursuant to </w:t>
      </w:r>
      <w:r w:rsidR="000F1D96" w:rsidRPr="00B664C6">
        <w:t xml:space="preserve">Board </w:t>
      </w:r>
      <w:r w:rsidRPr="00B664C6">
        <w:t xml:space="preserve">decision 2010/32, expenditures are reported in four harmonized cost-classification categories: (a) development; (b) United Nations development coordination; (c) management; and (d) special purpose. Expenditures outside those classifications are reported under ‘other activities’ and </w:t>
      </w:r>
      <w:r w:rsidR="00116D56" w:rsidRPr="00B664C6">
        <w:t xml:space="preserve">are </w:t>
      </w:r>
      <w:r w:rsidRPr="00B664C6">
        <w:t>included as part of overall expenditure.</w:t>
      </w:r>
      <w:r w:rsidR="00CA2ECE" w:rsidRPr="00B664C6">
        <w:t xml:space="preserve"> </w:t>
      </w:r>
      <w:r w:rsidR="00F557D4" w:rsidRPr="00B664C6">
        <w:t>Programme expenses are defined as development subtracting development effectiveness.</w:t>
      </w:r>
    </w:p>
    <w:p w14:paraId="7CAB2255" w14:textId="0D25D51F" w:rsidR="00CA2ECE" w:rsidRDefault="00CA2ECE" w:rsidP="00AF3FD4">
      <w:pPr>
        <w:pStyle w:val="ListParagraph"/>
        <w:numPr>
          <w:ilvl w:val="0"/>
          <w:numId w:val="5"/>
        </w:numPr>
        <w:spacing w:before="240" w:after="240" w:line="240" w:lineRule="auto"/>
        <w:ind w:right="1267"/>
        <w:contextualSpacing w:val="0"/>
        <w:jc w:val="both"/>
      </w:pPr>
      <w:r w:rsidRPr="00B664C6">
        <w:t xml:space="preserve">The composition </w:t>
      </w:r>
      <w:r w:rsidR="00054D22" w:rsidRPr="00B664C6">
        <w:t xml:space="preserve">of </w:t>
      </w:r>
      <w:r w:rsidR="0008145A" w:rsidRPr="00B664C6">
        <w:t xml:space="preserve">total expenses and </w:t>
      </w:r>
      <w:r w:rsidRPr="00B664C6">
        <w:t xml:space="preserve">harmonized cost classification activities is shown in </w:t>
      </w:r>
      <w:r w:rsidR="000F1D96" w:rsidRPr="00B664C6">
        <w:t>f</w:t>
      </w:r>
      <w:r w:rsidRPr="00B664C6">
        <w:t xml:space="preserve">igure </w:t>
      </w:r>
      <w:r w:rsidR="004D4DCC" w:rsidRPr="00B664C6">
        <w:t>IV</w:t>
      </w:r>
      <w:r w:rsidR="00442030" w:rsidRPr="00B664C6">
        <w:t xml:space="preserve"> (</w:t>
      </w:r>
      <w:r w:rsidR="00346A36" w:rsidRPr="00B664C6">
        <w:t>a</w:t>
      </w:r>
      <w:r w:rsidR="00442030" w:rsidRPr="00B664C6">
        <w:t>)</w:t>
      </w:r>
      <w:r w:rsidR="000F1D96" w:rsidRPr="00B664C6">
        <w:t xml:space="preserve">; </w:t>
      </w:r>
      <w:r w:rsidR="00210BA3" w:rsidRPr="00B664C6">
        <w:t xml:space="preserve">comparison </w:t>
      </w:r>
      <w:r w:rsidR="00FB12E6" w:rsidRPr="00B664C6">
        <w:t xml:space="preserve">of </w:t>
      </w:r>
      <w:r w:rsidR="00210BA3" w:rsidRPr="00B664C6">
        <w:t xml:space="preserve">programme expenses by region </w:t>
      </w:r>
      <w:r w:rsidR="00346A36" w:rsidRPr="00B664C6">
        <w:t>between 20</w:t>
      </w:r>
      <w:r w:rsidR="003F20BD" w:rsidRPr="00B664C6">
        <w:t>19</w:t>
      </w:r>
      <w:r w:rsidR="00346A36" w:rsidRPr="00B664C6">
        <w:t xml:space="preserve"> and 20</w:t>
      </w:r>
      <w:r w:rsidR="003F20BD" w:rsidRPr="00B664C6">
        <w:t>2</w:t>
      </w:r>
      <w:r w:rsidR="003F20BD">
        <w:t>0</w:t>
      </w:r>
      <w:r w:rsidR="00FB12E6" w:rsidRPr="000E57AE">
        <w:t xml:space="preserve"> is shown in </w:t>
      </w:r>
      <w:r w:rsidR="000F1D96">
        <w:t>f</w:t>
      </w:r>
      <w:r w:rsidR="00FB12E6" w:rsidRPr="000E57AE">
        <w:t xml:space="preserve">igure </w:t>
      </w:r>
      <w:r w:rsidR="004D4DCC">
        <w:t>IV</w:t>
      </w:r>
      <w:r w:rsidR="00442030">
        <w:t xml:space="preserve"> (</w:t>
      </w:r>
      <w:r w:rsidR="00FB12E6" w:rsidRPr="000E57AE">
        <w:t>b</w:t>
      </w:r>
      <w:r w:rsidR="00442030">
        <w:t>)</w:t>
      </w:r>
      <w:r w:rsidR="0074520C" w:rsidRPr="000E57AE">
        <w:t>.</w:t>
      </w:r>
    </w:p>
    <w:p w14:paraId="5A8E1960" w14:textId="2FF9D3A5" w:rsidR="006C0436" w:rsidRPr="003F20BD" w:rsidRDefault="006C0436" w:rsidP="003C31AA">
      <w:pPr>
        <w:pStyle w:val="SingleTxt"/>
        <w:keepNext/>
        <w:tabs>
          <w:tab w:val="clear" w:pos="1267"/>
          <w:tab w:val="clear" w:pos="1742"/>
          <w:tab w:val="clear" w:pos="2218"/>
          <w:tab w:val="clear" w:pos="2693"/>
          <w:tab w:val="left" w:pos="1530"/>
          <w:tab w:val="left" w:pos="1620"/>
          <w:tab w:val="left" w:pos="1800"/>
        </w:tabs>
        <w:spacing w:after="0"/>
        <w:ind w:left="720"/>
        <w:rPr>
          <w:b/>
          <w:bCs/>
          <w:spacing w:val="2"/>
        </w:rPr>
      </w:pPr>
      <w:r w:rsidRPr="003F20BD">
        <w:rPr>
          <w:b/>
          <w:bCs/>
          <w:spacing w:val="2"/>
        </w:rPr>
        <w:t xml:space="preserve">Figure </w:t>
      </w:r>
      <w:r w:rsidR="004D4DCC" w:rsidRPr="003F20BD">
        <w:rPr>
          <w:b/>
          <w:bCs/>
          <w:spacing w:val="2"/>
        </w:rPr>
        <w:t>IV</w:t>
      </w:r>
      <w:r w:rsidR="00442030" w:rsidRPr="003F20BD">
        <w:rPr>
          <w:b/>
          <w:bCs/>
          <w:spacing w:val="2"/>
        </w:rPr>
        <w:t xml:space="preserve"> (</w:t>
      </w:r>
      <w:r w:rsidRPr="003F20BD">
        <w:rPr>
          <w:b/>
          <w:bCs/>
          <w:spacing w:val="2"/>
        </w:rPr>
        <w:t>a</w:t>
      </w:r>
      <w:r w:rsidR="00442030" w:rsidRPr="003F20BD">
        <w:rPr>
          <w:b/>
          <w:bCs/>
          <w:spacing w:val="2"/>
        </w:rPr>
        <w:t>)</w:t>
      </w:r>
      <w:r w:rsidRPr="003F20BD">
        <w:rPr>
          <w:b/>
          <w:bCs/>
          <w:spacing w:val="2"/>
        </w:rPr>
        <w:t>.</w:t>
      </w:r>
      <w:r w:rsidR="00D118FF" w:rsidRPr="003F20BD">
        <w:rPr>
          <w:b/>
          <w:bCs/>
          <w:spacing w:val="2"/>
        </w:rPr>
        <w:t xml:space="preserve"> </w:t>
      </w:r>
      <w:r w:rsidR="00133EFF" w:rsidRPr="003F20BD">
        <w:rPr>
          <w:b/>
          <w:bCs/>
          <w:spacing w:val="2"/>
        </w:rPr>
        <w:t xml:space="preserve">Total expenses by </w:t>
      </w:r>
      <w:r w:rsidRPr="003F20BD">
        <w:rPr>
          <w:b/>
          <w:bCs/>
          <w:spacing w:val="2"/>
        </w:rPr>
        <w:t>cost classification</w:t>
      </w:r>
      <w:r w:rsidR="00795E37" w:rsidRPr="003F20BD">
        <w:rPr>
          <w:b/>
          <w:bCs/>
          <w:spacing w:val="2"/>
        </w:rPr>
        <w:t xml:space="preserve"> and programme expenses by region, 20</w:t>
      </w:r>
      <w:r w:rsidR="003F20BD" w:rsidRPr="003F20BD">
        <w:rPr>
          <w:b/>
          <w:bCs/>
          <w:spacing w:val="2"/>
        </w:rPr>
        <w:t>20</w:t>
      </w:r>
    </w:p>
    <w:p w14:paraId="18706C04" w14:textId="0283FB3A" w:rsidR="009C4876" w:rsidRDefault="00D7486B" w:rsidP="00D118FF">
      <w:pPr>
        <w:pStyle w:val="SingleTxt"/>
        <w:keepNext/>
        <w:spacing w:line="240" w:lineRule="auto"/>
        <w:jc w:val="center"/>
        <w:rPr>
          <w:i/>
          <w:iCs/>
          <w:spacing w:val="2"/>
        </w:rPr>
      </w:pPr>
      <w:r>
        <w:rPr>
          <w:noProof/>
        </w:rPr>
        <w:drawing>
          <wp:anchor distT="0" distB="0" distL="114300" distR="114300" simplePos="0" relativeHeight="251658251" behindDoc="1" locked="0" layoutInCell="1" allowOverlap="1" wp14:anchorId="29BE4A48" wp14:editId="05FEC414">
            <wp:simplePos x="0" y="0"/>
            <wp:positionH relativeFrom="column">
              <wp:posOffset>504825</wp:posOffset>
            </wp:positionH>
            <wp:positionV relativeFrom="paragraph">
              <wp:posOffset>240030</wp:posOffset>
            </wp:positionV>
            <wp:extent cx="5412740" cy="2617470"/>
            <wp:effectExtent l="0" t="0" r="0" b="0"/>
            <wp:wrapTight wrapText="bothSides">
              <wp:wrapPolygon edited="0">
                <wp:start x="0" y="0"/>
                <wp:lineTo x="0" y="21380"/>
                <wp:lineTo x="21514" y="21380"/>
                <wp:lineTo x="21514" y="0"/>
                <wp:lineTo x="0" y="0"/>
              </wp:wrapPolygon>
            </wp:wrapTight>
            <wp:docPr id="2" name="Picture 2"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3">
                      <a:extLst>
                        <a:ext uri="{28A0092B-C50C-407E-A947-70E740481C1C}">
                          <a14:useLocalDpi xmlns:a14="http://schemas.microsoft.com/office/drawing/2010/main" val="0"/>
                        </a:ext>
                      </a:extLst>
                    </a:blip>
                    <a:stretch>
                      <a:fillRect/>
                    </a:stretch>
                  </pic:blipFill>
                  <pic:spPr>
                    <a:xfrm>
                      <a:off x="0" y="0"/>
                      <a:ext cx="5412740" cy="2617470"/>
                    </a:xfrm>
                    <a:prstGeom prst="rect">
                      <a:avLst/>
                    </a:prstGeom>
                  </pic:spPr>
                </pic:pic>
              </a:graphicData>
            </a:graphic>
            <wp14:sizeRelH relativeFrom="margin">
              <wp14:pctWidth>0</wp14:pctWidth>
            </wp14:sizeRelH>
            <wp14:sizeRelV relativeFrom="margin">
              <wp14:pctHeight>0</wp14:pctHeight>
            </wp14:sizeRelV>
          </wp:anchor>
        </w:drawing>
      </w:r>
      <w:r w:rsidR="5BAD9A00" w:rsidRPr="0F9F2C32">
        <w:rPr>
          <w:i/>
          <w:iCs/>
          <w:spacing w:val="2"/>
        </w:rPr>
        <w:t xml:space="preserve">(in millions of </w:t>
      </w:r>
      <w:r w:rsidR="02DAF8F1" w:rsidRPr="0F9F2C32">
        <w:rPr>
          <w:i/>
          <w:iCs/>
          <w:spacing w:val="2"/>
        </w:rPr>
        <w:t xml:space="preserve">United States </w:t>
      </w:r>
      <w:r w:rsidR="5BAD9A00" w:rsidRPr="0F9F2C32">
        <w:rPr>
          <w:i/>
          <w:iCs/>
          <w:spacing w:val="2"/>
        </w:rPr>
        <w:t>dollars)</w:t>
      </w:r>
    </w:p>
    <w:p w14:paraId="7E6C1D1D" w14:textId="5DD9AB0D" w:rsidR="00731759" w:rsidRDefault="00731759" w:rsidP="00D118FF">
      <w:pPr>
        <w:pStyle w:val="SingleTxt"/>
        <w:keepNext/>
        <w:spacing w:line="240" w:lineRule="auto"/>
        <w:jc w:val="center"/>
        <w:rPr>
          <w:i/>
          <w:iCs/>
          <w:spacing w:val="2"/>
        </w:rPr>
      </w:pPr>
    </w:p>
    <w:p w14:paraId="03ACC359" w14:textId="706DA78C" w:rsidR="00E83358" w:rsidRPr="000E57AE" w:rsidRDefault="00E83358" w:rsidP="000578BE">
      <w:pPr>
        <w:pStyle w:val="H4"/>
        <w:tabs>
          <w:tab w:val="clear" w:pos="1267"/>
          <w:tab w:val="clear" w:pos="1742"/>
          <w:tab w:val="left" w:pos="1260"/>
          <w:tab w:val="left" w:pos="1440"/>
          <w:tab w:val="left" w:pos="1620"/>
        </w:tabs>
        <w:spacing w:before="240" w:after="240" w:line="240" w:lineRule="auto"/>
        <w:ind w:left="1008" w:firstLine="0"/>
        <w:outlineLvl w:val="2"/>
      </w:pPr>
      <w:bookmarkStart w:id="296" w:name="_Toc39596247"/>
      <w:bookmarkStart w:id="297" w:name="_Toc40281196"/>
      <w:bookmarkStart w:id="298" w:name="_Toc40281355"/>
      <w:bookmarkStart w:id="299" w:name="_Toc44499882"/>
      <w:bookmarkStart w:id="300" w:name="_Toc44603229"/>
      <w:bookmarkStart w:id="301" w:name="_Toc44606542"/>
      <w:bookmarkStart w:id="302" w:name="_Toc45297428"/>
      <w:bookmarkStart w:id="303" w:name="_Toc46221139"/>
      <w:bookmarkStart w:id="304" w:name="_Toc46399204"/>
      <w:bookmarkStart w:id="305" w:name="_Toc75466841"/>
      <w:r w:rsidRPr="000E57AE">
        <w:t>Development expenses</w:t>
      </w:r>
      <w:bookmarkEnd w:id="296"/>
      <w:bookmarkEnd w:id="297"/>
      <w:bookmarkEnd w:id="298"/>
      <w:bookmarkEnd w:id="299"/>
      <w:bookmarkEnd w:id="300"/>
      <w:bookmarkEnd w:id="301"/>
      <w:bookmarkEnd w:id="302"/>
      <w:bookmarkEnd w:id="303"/>
      <w:bookmarkEnd w:id="304"/>
      <w:bookmarkEnd w:id="305"/>
    </w:p>
    <w:p w14:paraId="15CEF09F" w14:textId="2D9925D5" w:rsidR="00163C93" w:rsidRPr="000E57AE" w:rsidRDefault="00E83358" w:rsidP="00AF3FD4">
      <w:pPr>
        <w:pStyle w:val="ListParagraph"/>
        <w:numPr>
          <w:ilvl w:val="0"/>
          <w:numId w:val="5"/>
        </w:numPr>
        <w:spacing w:before="240" w:after="240" w:line="240" w:lineRule="auto"/>
        <w:ind w:right="1267"/>
        <w:contextualSpacing w:val="0"/>
        <w:jc w:val="both"/>
      </w:pPr>
      <w:r w:rsidRPr="000E57AE">
        <w:t xml:space="preserve">Development expenses consist </w:t>
      </w:r>
      <w:r w:rsidR="00E7076F" w:rsidRPr="000E57AE">
        <w:t>of</w:t>
      </w:r>
      <w:r w:rsidRPr="000E57AE">
        <w:t xml:space="preserve"> programme expenses of $</w:t>
      </w:r>
      <w:r w:rsidR="004D4942">
        <w:t>4.4</w:t>
      </w:r>
      <w:r w:rsidRPr="000E57AE">
        <w:t xml:space="preserve"> </w:t>
      </w:r>
      <w:r w:rsidR="00EE2806">
        <w:t>b</w:t>
      </w:r>
      <w:r w:rsidRPr="000E57AE">
        <w:t>illion and development effectiveness of $</w:t>
      </w:r>
      <w:r w:rsidR="00A41CA1">
        <w:t>181</w:t>
      </w:r>
      <w:r w:rsidRPr="000E57AE">
        <w:t xml:space="preserve"> million.</w:t>
      </w:r>
    </w:p>
    <w:p w14:paraId="3EF1BB95" w14:textId="0F5EC09F" w:rsidR="00163C93" w:rsidRPr="000E57AE" w:rsidRDefault="008B5591" w:rsidP="000578BE">
      <w:pPr>
        <w:pStyle w:val="H4"/>
        <w:tabs>
          <w:tab w:val="clear" w:pos="1267"/>
          <w:tab w:val="clear" w:pos="1742"/>
          <w:tab w:val="left" w:pos="1260"/>
          <w:tab w:val="left" w:pos="1440"/>
          <w:tab w:val="left" w:pos="1620"/>
        </w:tabs>
        <w:spacing w:before="240" w:after="240" w:line="240" w:lineRule="auto"/>
        <w:ind w:left="1008" w:firstLine="0"/>
        <w:outlineLvl w:val="2"/>
      </w:pPr>
      <w:bookmarkStart w:id="306" w:name="_Toc39596248"/>
      <w:bookmarkStart w:id="307" w:name="_Toc40281197"/>
      <w:bookmarkStart w:id="308" w:name="_Toc40281356"/>
      <w:bookmarkStart w:id="309" w:name="_Toc44499883"/>
      <w:bookmarkStart w:id="310" w:name="_Toc44603230"/>
      <w:bookmarkStart w:id="311" w:name="_Toc44606543"/>
      <w:bookmarkStart w:id="312" w:name="_Toc45297429"/>
      <w:bookmarkStart w:id="313" w:name="_Toc46221140"/>
      <w:bookmarkStart w:id="314" w:name="_Toc46399205"/>
      <w:bookmarkStart w:id="315" w:name="_Toc75466842"/>
      <w:r w:rsidRPr="000E57AE">
        <w:lastRenderedPageBreak/>
        <w:t xml:space="preserve">Programme </w:t>
      </w:r>
      <w:r w:rsidR="00163C93" w:rsidRPr="000E57AE">
        <w:t>expenses</w:t>
      </w:r>
      <w:bookmarkEnd w:id="306"/>
      <w:bookmarkEnd w:id="307"/>
      <w:bookmarkEnd w:id="308"/>
      <w:bookmarkEnd w:id="309"/>
      <w:bookmarkEnd w:id="310"/>
      <w:bookmarkEnd w:id="311"/>
      <w:bookmarkEnd w:id="312"/>
      <w:bookmarkEnd w:id="313"/>
      <w:bookmarkEnd w:id="314"/>
      <w:bookmarkEnd w:id="315"/>
    </w:p>
    <w:p w14:paraId="5AB62954" w14:textId="7A162D65" w:rsidR="008D2DB7" w:rsidRPr="000E57AE" w:rsidRDefault="00BF1A79" w:rsidP="00AF3FD4">
      <w:pPr>
        <w:pStyle w:val="ListParagraph"/>
        <w:numPr>
          <w:ilvl w:val="0"/>
          <w:numId w:val="5"/>
        </w:numPr>
        <w:spacing w:before="240" w:after="240" w:line="240" w:lineRule="auto"/>
        <w:ind w:right="1267"/>
        <w:contextualSpacing w:val="0"/>
        <w:jc w:val="both"/>
      </w:pPr>
      <w:r w:rsidRPr="000E57AE">
        <w:t>Total p</w:t>
      </w:r>
      <w:r w:rsidR="008B5591" w:rsidRPr="000E57AE">
        <w:t xml:space="preserve">rogramme expense </w:t>
      </w:r>
      <w:r w:rsidR="00A41CA1">
        <w:t xml:space="preserve">increased </w:t>
      </w:r>
      <w:r w:rsidR="00E83358" w:rsidRPr="000E57AE">
        <w:t xml:space="preserve">by </w:t>
      </w:r>
      <w:r w:rsidR="009F4303">
        <w:t>2</w:t>
      </w:r>
      <w:r w:rsidR="00E83358" w:rsidRPr="000E57AE">
        <w:t> per cent, to $</w:t>
      </w:r>
      <w:r w:rsidR="00A41CA1">
        <w:t>4.4</w:t>
      </w:r>
      <w:r w:rsidR="00E83358" w:rsidRPr="000E57AE">
        <w:t xml:space="preserve"> </w:t>
      </w:r>
      <w:r w:rsidR="00305D6F">
        <w:t>b</w:t>
      </w:r>
      <w:r w:rsidR="00E83358" w:rsidRPr="000E57AE">
        <w:t xml:space="preserve">illion </w:t>
      </w:r>
      <w:r w:rsidR="00820803" w:rsidRPr="000E57AE">
        <w:t>from $</w:t>
      </w:r>
      <w:r w:rsidR="00A41CA1">
        <w:t>4.3</w:t>
      </w:r>
      <w:r w:rsidR="004D3A23" w:rsidRPr="000E57AE">
        <w:t xml:space="preserve"> </w:t>
      </w:r>
      <w:r w:rsidR="00B77168">
        <w:t>b</w:t>
      </w:r>
      <w:r w:rsidR="004D3A23" w:rsidRPr="000E57AE">
        <w:t xml:space="preserve">illion in </w:t>
      </w:r>
      <w:r w:rsidR="00A41CA1">
        <w:t>2019</w:t>
      </w:r>
      <w:r w:rsidR="000C7C50">
        <w:t xml:space="preserve">, which is UNDP’s second highest delivery rate in six years. </w:t>
      </w:r>
    </w:p>
    <w:p w14:paraId="195C726E" w14:textId="5C204241" w:rsidR="00133EFF" w:rsidRPr="00B01769" w:rsidRDefault="00F467B2" w:rsidP="00AF3FD4">
      <w:pPr>
        <w:pStyle w:val="ListParagraph"/>
        <w:numPr>
          <w:ilvl w:val="0"/>
          <w:numId w:val="5"/>
        </w:numPr>
        <w:spacing w:before="240" w:after="240" w:line="240" w:lineRule="auto"/>
        <w:ind w:right="1267"/>
        <w:contextualSpacing w:val="0"/>
        <w:jc w:val="both"/>
      </w:pPr>
      <w:r w:rsidRPr="00B01769">
        <w:t xml:space="preserve">UNDP took </w:t>
      </w:r>
      <w:r w:rsidR="0050788D" w:rsidRPr="00B01769">
        <w:t xml:space="preserve">measures </w:t>
      </w:r>
      <w:r w:rsidRPr="00B01769">
        <w:t>to curtail expenses</w:t>
      </w:r>
      <w:r w:rsidR="000F1D96" w:rsidRPr="00B01769">
        <w:t>,</w:t>
      </w:r>
      <w:r w:rsidRPr="00B01769">
        <w:t xml:space="preserve"> reflecting </w:t>
      </w:r>
      <w:r w:rsidR="000F1D96" w:rsidRPr="00B01769">
        <w:t xml:space="preserve">its </w:t>
      </w:r>
      <w:r w:rsidRPr="00B01769">
        <w:t xml:space="preserve">focus on efficiency </w:t>
      </w:r>
      <w:r w:rsidR="0050788D" w:rsidRPr="00B01769">
        <w:t xml:space="preserve">while </w:t>
      </w:r>
      <w:r w:rsidRPr="00B01769">
        <w:t>shield</w:t>
      </w:r>
      <w:r w:rsidR="0050788D" w:rsidRPr="00B01769">
        <w:t>ing</w:t>
      </w:r>
      <w:r w:rsidRPr="00B01769">
        <w:t xml:space="preserve"> programme components</w:t>
      </w:r>
      <w:r w:rsidR="007D30FA" w:rsidRPr="00B01769">
        <w:t>,</w:t>
      </w:r>
      <w:r w:rsidRPr="00B01769">
        <w:t xml:space="preserve"> such as </w:t>
      </w:r>
      <w:r w:rsidR="000F1D96" w:rsidRPr="00B01769">
        <w:t xml:space="preserve">target for resource assignment from the core </w:t>
      </w:r>
      <w:r w:rsidRPr="00B01769">
        <w:t xml:space="preserve">TRAC-1, TRAC-2, TRAC-3, South-South cooperation, </w:t>
      </w:r>
      <w:r w:rsidR="00BB5D55" w:rsidRPr="00B01769">
        <w:t xml:space="preserve">and </w:t>
      </w:r>
      <w:r w:rsidRPr="00B01769">
        <w:t>the Human Development Report Office</w:t>
      </w:r>
      <w:r w:rsidR="00DC0F91" w:rsidRPr="00B01769">
        <w:t>, including m</w:t>
      </w:r>
      <w:r w:rsidR="00E83358" w:rsidRPr="00B01769">
        <w:t>ulti-year allocations from TRAC-2</w:t>
      </w:r>
      <w:r w:rsidR="00A501B2" w:rsidRPr="00B01769">
        <w:t>.</w:t>
      </w:r>
      <w:r w:rsidR="00A501B2" w:rsidRPr="00B01769" w:rsidDel="00A501B2">
        <w:t xml:space="preserve"> </w:t>
      </w:r>
    </w:p>
    <w:p w14:paraId="6A9467E0" w14:textId="7869CA66" w:rsidR="00E82350" w:rsidRPr="00B664C6" w:rsidRDefault="42EEDB6E" w:rsidP="00AF3FD4">
      <w:pPr>
        <w:pStyle w:val="ListParagraph"/>
        <w:numPr>
          <w:ilvl w:val="0"/>
          <w:numId w:val="5"/>
        </w:numPr>
        <w:spacing w:before="240" w:after="240" w:line="240" w:lineRule="auto"/>
        <w:ind w:right="1267"/>
        <w:contextualSpacing w:val="0"/>
        <w:jc w:val="both"/>
      </w:pPr>
      <w:r w:rsidRPr="00B664C6">
        <w:t>Th</w:t>
      </w:r>
      <w:r w:rsidR="174B9357" w:rsidRPr="00B664C6">
        <w:t>e</w:t>
      </w:r>
      <w:r w:rsidR="009C1CE2" w:rsidRPr="00B664C6">
        <w:t xml:space="preserve"> $</w:t>
      </w:r>
      <w:r w:rsidR="00266C68" w:rsidRPr="00B664C6">
        <w:t>4.4</w:t>
      </w:r>
      <w:r w:rsidR="00A24BE3" w:rsidRPr="00B664C6">
        <w:t xml:space="preserve"> billion</w:t>
      </w:r>
      <w:r w:rsidR="009C1CE2" w:rsidRPr="00B664C6">
        <w:t xml:space="preserve"> programme </w:t>
      </w:r>
      <w:r w:rsidRPr="00B664C6">
        <w:t>expense</w:t>
      </w:r>
      <w:r w:rsidR="0BB3BA58" w:rsidRPr="00B664C6">
        <w:t>s</w:t>
      </w:r>
      <w:r w:rsidRPr="00B664C6">
        <w:t xml:space="preserve"> include</w:t>
      </w:r>
      <w:r w:rsidR="009C1CE2" w:rsidRPr="00B664C6">
        <w:t xml:space="preserve"> $</w:t>
      </w:r>
      <w:r w:rsidR="00302EBA" w:rsidRPr="00B664C6">
        <w:t>2.0</w:t>
      </w:r>
      <w:r w:rsidR="00A24BE3" w:rsidRPr="00B664C6">
        <w:t xml:space="preserve"> billion </w:t>
      </w:r>
      <w:r w:rsidR="009C1CE2" w:rsidRPr="00B664C6">
        <w:t>related to donor cost-sharing, $</w:t>
      </w:r>
      <w:r w:rsidR="00A8513A" w:rsidRPr="00B664C6">
        <w:t>94</w:t>
      </w:r>
      <w:r w:rsidR="00BB42A2">
        <w:t>8</w:t>
      </w:r>
      <w:r w:rsidR="009C1CE2" w:rsidRPr="00B664C6">
        <w:t xml:space="preserve"> million related to government cost-sharing, $</w:t>
      </w:r>
      <w:r w:rsidR="00A8513A" w:rsidRPr="00B664C6">
        <w:t>739</w:t>
      </w:r>
      <w:r w:rsidR="009C1CE2" w:rsidRPr="00B664C6">
        <w:t xml:space="preserve"> million related to vertical funds</w:t>
      </w:r>
      <w:r w:rsidR="00E163B7" w:rsidRPr="00B664C6">
        <w:t xml:space="preserve">, including </w:t>
      </w:r>
      <w:r w:rsidR="009C1CE2" w:rsidRPr="00B664C6">
        <w:t>the Global Fund to Fight AIDS, Tuberculosis and Malaria ($</w:t>
      </w:r>
      <w:r w:rsidR="00E163B7" w:rsidRPr="00B664C6">
        <w:t>296</w:t>
      </w:r>
      <w:r w:rsidR="009C1CE2" w:rsidRPr="00B664C6">
        <w:t> million), the Global Environment Facility ($</w:t>
      </w:r>
      <w:r w:rsidR="00E163B7" w:rsidRPr="00B664C6">
        <w:t>310</w:t>
      </w:r>
      <w:r w:rsidR="009C1CE2" w:rsidRPr="00B664C6">
        <w:t xml:space="preserve"> million), the Green Climate Fund ($</w:t>
      </w:r>
      <w:r w:rsidR="00E163B7" w:rsidRPr="00B664C6">
        <w:t>79</w:t>
      </w:r>
      <w:r w:rsidR="009C1CE2" w:rsidRPr="00B664C6">
        <w:t xml:space="preserve"> million) and the Montreal Protocol ($</w:t>
      </w:r>
      <w:r w:rsidR="00E16E7C" w:rsidRPr="00B664C6">
        <w:t>30</w:t>
      </w:r>
      <w:r w:rsidR="009C1CE2" w:rsidRPr="00B664C6">
        <w:t xml:space="preserve"> million)), and </w:t>
      </w:r>
      <w:r w:rsidR="001271BD" w:rsidRPr="00B664C6">
        <w:t>97</w:t>
      </w:r>
      <w:r w:rsidR="009C1CE2" w:rsidRPr="00B664C6">
        <w:t xml:space="preserve"> million relating to the Law and Order Trust Fund for Afghanistan.</w:t>
      </w:r>
      <w:r w:rsidR="007777F1" w:rsidRPr="00B664C6">
        <w:t xml:space="preserve">  </w:t>
      </w:r>
      <w:r w:rsidR="002B3E07" w:rsidRPr="00B664C6">
        <w:t xml:space="preserve">Of the 10 largest UNDP programmes, </w:t>
      </w:r>
      <w:r w:rsidR="00695B22" w:rsidRPr="00B664C6">
        <w:t>seven</w:t>
      </w:r>
      <w:r w:rsidR="000E4D3F" w:rsidRPr="001A2316">
        <w:rPr>
          <w:vertAlign w:val="superscript"/>
        </w:rPr>
        <w:footnoteReference w:id="4"/>
      </w:r>
      <w:r w:rsidR="002B3E07" w:rsidRPr="00B664C6">
        <w:t xml:space="preserve"> are in fragile or crisis-affected countries, accounting for </w:t>
      </w:r>
      <w:r w:rsidR="00BA0FBA" w:rsidRPr="00B664C6">
        <w:t>36</w:t>
      </w:r>
      <w:r w:rsidR="002B3E07" w:rsidRPr="00B664C6">
        <w:t xml:space="preserve"> percent of total programme delivery.</w:t>
      </w:r>
    </w:p>
    <w:p w14:paraId="79435952" w14:textId="10731C7E" w:rsidR="00C45F88" w:rsidRPr="002609B0" w:rsidRDefault="006A24BB" w:rsidP="003F5F37">
      <w:pPr>
        <w:pStyle w:val="ListParagraph"/>
        <w:keepNext/>
        <w:tabs>
          <w:tab w:val="left" w:pos="1620"/>
          <w:tab w:val="left" w:pos="1710"/>
          <w:tab w:val="left" w:pos="8820"/>
        </w:tabs>
        <w:ind w:left="1526" w:right="1238"/>
        <w:jc w:val="center"/>
        <w:rPr>
          <w:b/>
          <w:spacing w:val="2"/>
        </w:rPr>
      </w:pPr>
      <w:r w:rsidRPr="002609B0">
        <w:rPr>
          <w:b/>
          <w:spacing w:val="2"/>
        </w:rPr>
        <w:t>Figure</w:t>
      </w:r>
      <w:r w:rsidR="00C45F88" w:rsidRPr="002609B0">
        <w:rPr>
          <w:b/>
          <w:spacing w:val="2"/>
        </w:rPr>
        <w:t xml:space="preserve"> </w:t>
      </w:r>
      <w:r w:rsidR="004D4DCC" w:rsidRPr="002609B0">
        <w:rPr>
          <w:b/>
          <w:spacing w:val="2"/>
        </w:rPr>
        <w:t>IV</w:t>
      </w:r>
      <w:r w:rsidR="00442030" w:rsidRPr="002609B0">
        <w:rPr>
          <w:b/>
          <w:spacing w:val="2"/>
        </w:rPr>
        <w:t xml:space="preserve"> (</w:t>
      </w:r>
      <w:r w:rsidR="008E7C8A" w:rsidRPr="002609B0">
        <w:rPr>
          <w:b/>
          <w:spacing w:val="2"/>
        </w:rPr>
        <w:t>b</w:t>
      </w:r>
      <w:r w:rsidR="00442030" w:rsidRPr="002609B0">
        <w:rPr>
          <w:b/>
          <w:spacing w:val="2"/>
        </w:rPr>
        <w:t>)</w:t>
      </w:r>
      <w:r w:rsidR="008E7C8A" w:rsidRPr="002609B0">
        <w:rPr>
          <w:b/>
          <w:spacing w:val="2"/>
        </w:rPr>
        <w:t xml:space="preserve">. </w:t>
      </w:r>
      <w:r w:rsidR="00CE3EA6" w:rsidRPr="002609B0">
        <w:rPr>
          <w:b/>
          <w:spacing w:val="2"/>
        </w:rPr>
        <w:t>P</w:t>
      </w:r>
      <w:r w:rsidR="006B4C5D" w:rsidRPr="002609B0">
        <w:rPr>
          <w:b/>
          <w:spacing w:val="2"/>
        </w:rPr>
        <w:t>rog</w:t>
      </w:r>
      <w:r w:rsidR="00740F11" w:rsidRPr="002609B0">
        <w:rPr>
          <w:b/>
          <w:spacing w:val="2"/>
        </w:rPr>
        <w:t xml:space="preserve">ramme </w:t>
      </w:r>
      <w:r w:rsidR="008E7C8A" w:rsidRPr="002609B0">
        <w:rPr>
          <w:b/>
          <w:spacing w:val="2"/>
        </w:rPr>
        <w:t>expenses</w:t>
      </w:r>
      <w:r w:rsidR="00CE3EA6" w:rsidRPr="002609B0">
        <w:rPr>
          <w:b/>
          <w:spacing w:val="2"/>
        </w:rPr>
        <w:t xml:space="preserve"> </w:t>
      </w:r>
      <w:r w:rsidR="008E7C8A" w:rsidRPr="002609B0">
        <w:rPr>
          <w:b/>
          <w:spacing w:val="2"/>
        </w:rPr>
        <w:t xml:space="preserve">by </w:t>
      </w:r>
      <w:r w:rsidR="00C45F88" w:rsidRPr="002609B0">
        <w:rPr>
          <w:b/>
          <w:spacing w:val="2"/>
        </w:rPr>
        <w:t>region, 20</w:t>
      </w:r>
      <w:r w:rsidR="002609B0" w:rsidRPr="002609B0">
        <w:rPr>
          <w:b/>
          <w:spacing w:val="2"/>
        </w:rPr>
        <w:t>19</w:t>
      </w:r>
      <w:r w:rsidR="00F56DAB" w:rsidRPr="002609B0">
        <w:rPr>
          <w:b/>
          <w:spacing w:val="2"/>
        </w:rPr>
        <w:t>-</w:t>
      </w:r>
      <w:r w:rsidR="00EF3FDD" w:rsidRPr="002609B0">
        <w:rPr>
          <w:b/>
          <w:spacing w:val="2"/>
        </w:rPr>
        <w:t>20</w:t>
      </w:r>
      <w:r w:rsidR="002609B0" w:rsidRPr="002609B0">
        <w:rPr>
          <w:b/>
          <w:spacing w:val="2"/>
        </w:rPr>
        <w:t>20</w:t>
      </w:r>
    </w:p>
    <w:p w14:paraId="32A9B03D" w14:textId="2B18C0BA" w:rsidR="007965C8" w:rsidRDefault="003C31AA" w:rsidP="0038188B">
      <w:pPr>
        <w:pStyle w:val="ListParagraph"/>
        <w:keepNext/>
        <w:tabs>
          <w:tab w:val="left" w:pos="1620"/>
          <w:tab w:val="left" w:pos="1710"/>
          <w:tab w:val="left" w:pos="8820"/>
        </w:tabs>
        <w:ind w:left="1526" w:right="1238" w:hanging="270"/>
        <w:jc w:val="center"/>
        <w:rPr>
          <w:i/>
          <w:spacing w:val="2"/>
        </w:rPr>
      </w:pPr>
      <w:r>
        <w:rPr>
          <w:noProof/>
        </w:rPr>
        <w:drawing>
          <wp:anchor distT="0" distB="0" distL="114300" distR="114300" simplePos="0" relativeHeight="251658244" behindDoc="1" locked="0" layoutInCell="1" allowOverlap="1" wp14:anchorId="723D810D" wp14:editId="672D4D16">
            <wp:simplePos x="0" y="0"/>
            <wp:positionH relativeFrom="margin">
              <wp:posOffset>321945</wp:posOffset>
            </wp:positionH>
            <wp:positionV relativeFrom="paragraph">
              <wp:posOffset>189230</wp:posOffset>
            </wp:positionV>
            <wp:extent cx="5778500" cy="2713990"/>
            <wp:effectExtent l="0" t="0" r="0" b="0"/>
            <wp:wrapSquare wrapText="bothSides"/>
            <wp:docPr id="6188901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4">
                      <a:extLst>
                        <a:ext uri="{28A0092B-C50C-407E-A947-70E740481C1C}">
                          <a14:useLocalDpi xmlns:a14="http://schemas.microsoft.com/office/drawing/2010/main" val="0"/>
                        </a:ext>
                      </a:extLst>
                    </a:blip>
                    <a:stretch>
                      <a:fillRect/>
                    </a:stretch>
                  </pic:blipFill>
                  <pic:spPr>
                    <a:xfrm>
                      <a:off x="0" y="0"/>
                      <a:ext cx="5778500" cy="2713990"/>
                    </a:xfrm>
                    <a:prstGeom prst="rect">
                      <a:avLst/>
                    </a:prstGeom>
                  </pic:spPr>
                </pic:pic>
              </a:graphicData>
            </a:graphic>
            <wp14:sizeRelH relativeFrom="page">
              <wp14:pctWidth>0</wp14:pctWidth>
            </wp14:sizeRelH>
            <wp14:sizeRelV relativeFrom="page">
              <wp14:pctHeight>0</wp14:pctHeight>
            </wp14:sizeRelV>
          </wp:anchor>
        </w:drawing>
      </w:r>
      <w:r w:rsidR="12C3CB5B" w:rsidRPr="0F9F2C32">
        <w:rPr>
          <w:i/>
          <w:iCs/>
          <w:spacing w:val="2"/>
        </w:rPr>
        <w:t xml:space="preserve">(in millions of </w:t>
      </w:r>
      <w:r w:rsidR="57C7EDB9" w:rsidRPr="0F9F2C32">
        <w:rPr>
          <w:i/>
          <w:iCs/>
          <w:spacing w:val="2"/>
        </w:rPr>
        <w:t xml:space="preserve">United States </w:t>
      </w:r>
      <w:r w:rsidR="12C3CB5B" w:rsidRPr="0F9F2C32">
        <w:rPr>
          <w:i/>
          <w:iCs/>
          <w:spacing w:val="2"/>
        </w:rPr>
        <w:t>dollars)</w:t>
      </w:r>
    </w:p>
    <w:p w14:paraId="0883B6D2" w14:textId="01DC42B0" w:rsidR="00D20701" w:rsidRPr="000E57AE" w:rsidRDefault="00D20701" w:rsidP="0038188B">
      <w:pPr>
        <w:pStyle w:val="ListParagraph"/>
        <w:keepNext/>
        <w:tabs>
          <w:tab w:val="left" w:pos="1620"/>
          <w:tab w:val="left" w:pos="1710"/>
          <w:tab w:val="left" w:pos="8820"/>
        </w:tabs>
        <w:ind w:left="1526" w:right="1238" w:hanging="270"/>
        <w:jc w:val="center"/>
      </w:pPr>
    </w:p>
    <w:p w14:paraId="400956E1" w14:textId="659FFD34" w:rsidR="00F56DAB" w:rsidRPr="000E57AE" w:rsidRDefault="003B7574" w:rsidP="000578BE">
      <w:pPr>
        <w:pStyle w:val="H4"/>
        <w:tabs>
          <w:tab w:val="clear" w:pos="1742"/>
          <w:tab w:val="left" w:pos="1440"/>
          <w:tab w:val="left" w:pos="1620"/>
        </w:tabs>
        <w:spacing w:before="240" w:after="240" w:line="240" w:lineRule="auto"/>
        <w:ind w:left="1008" w:firstLine="0"/>
        <w:outlineLvl w:val="2"/>
      </w:pPr>
      <w:bookmarkStart w:id="316" w:name="_Toc40281198"/>
      <w:bookmarkStart w:id="317" w:name="_Toc40281357"/>
      <w:bookmarkStart w:id="318" w:name="_Toc44499884"/>
      <w:bookmarkStart w:id="319" w:name="_Toc44603231"/>
      <w:bookmarkStart w:id="320" w:name="_Toc44606544"/>
      <w:bookmarkStart w:id="321" w:name="_Toc39596249"/>
      <w:bookmarkStart w:id="322" w:name="_Toc45297430"/>
      <w:bookmarkStart w:id="323" w:name="_Toc46221141"/>
      <w:bookmarkStart w:id="324" w:name="_Toc46399206"/>
      <w:bookmarkStart w:id="325" w:name="_Toc75466843"/>
      <w:r w:rsidRPr="00B47CA4">
        <w:t>Comparison of programme expenses by region, 20</w:t>
      </w:r>
      <w:r w:rsidR="006C7982" w:rsidRPr="00B47CA4">
        <w:t>19</w:t>
      </w:r>
      <w:r w:rsidRPr="00B47CA4">
        <w:t>-20</w:t>
      </w:r>
      <w:bookmarkEnd w:id="316"/>
      <w:bookmarkEnd w:id="317"/>
      <w:bookmarkEnd w:id="318"/>
      <w:bookmarkEnd w:id="319"/>
      <w:bookmarkEnd w:id="320"/>
      <w:bookmarkEnd w:id="321"/>
      <w:bookmarkEnd w:id="322"/>
      <w:bookmarkEnd w:id="323"/>
      <w:bookmarkEnd w:id="324"/>
      <w:r w:rsidR="006C7982" w:rsidRPr="00B47CA4">
        <w:t>20</w:t>
      </w:r>
      <w:bookmarkEnd w:id="325"/>
    </w:p>
    <w:p w14:paraId="4156BF3E" w14:textId="349FDD9B" w:rsidR="00293747" w:rsidRPr="00842755" w:rsidRDefault="007F068A" w:rsidP="00AF3FD4">
      <w:pPr>
        <w:pStyle w:val="ListParagraph"/>
        <w:numPr>
          <w:ilvl w:val="0"/>
          <w:numId w:val="5"/>
        </w:numPr>
        <w:spacing w:before="240" w:after="240" w:line="240" w:lineRule="auto"/>
        <w:ind w:right="1267"/>
        <w:contextualSpacing w:val="0"/>
        <w:jc w:val="both"/>
      </w:pPr>
      <w:r w:rsidRPr="00842755">
        <w:t xml:space="preserve">Overall programme delivery in </w:t>
      </w:r>
      <w:r w:rsidR="00585042" w:rsidRPr="00842755">
        <w:t xml:space="preserve">the </w:t>
      </w:r>
      <w:r w:rsidRPr="00842755">
        <w:t xml:space="preserve">Africa region </w:t>
      </w:r>
      <w:r w:rsidR="00986640" w:rsidRPr="00842755">
        <w:t>increased</w:t>
      </w:r>
      <w:r w:rsidR="000245E1" w:rsidRPr="00842755">
        <w:t xml:space="preserve"> </w:t>
      </w:r>
      <w:r w:rsidRPr="00842755">
        <w:t xml:space="preserve">by </w:t>
      </w:r>
      <w:r w:rsidR="00123DD1" w:rsidRPr="00842755">
        <w:t>9.2</w:t>
      </w:r>
      <w:r w:rsidRPr="00842755">
        <w:t xml:space="preserve"> per cent. </w:t>
      </w:r>
      <w:r w:rsidRPr="00B664C6">
        <w:t xml:space="preserve">The top three countries with the largest programme delivery in </w:t>
      </w:r>
      <w:r w:rsidR="00123DD1" w:rsidRPr="00B664C6">
        <w:t>2020</w:t>
      </w:r>
      <w:r w:rsidRPr="00B664C6">
        <w:t xml:space="preserve"> </w:t>
      </w:r>
      <w:r w:rsidR="00FC1CC5" w:rsidRPr="00B664C6">
        <w:t xml:space="preserve">were </w:t>
      </w:r>
      <w:r w:rsidR="006049F9" w:rsidRPr="00B664C6">
        <w:t>Zimbabwe ($</w:t>
      </w:r>
      <w:r w:rsidR="00C4286B" w:rsidRPr="00B664C6">
        <w:t>171</w:t>
      </w:r>
      <w:r w:rsidR="006049F9" w:rsidRPr="00B664C6">
        <w:t> million)</w:t>
      </w:r>
      <w:r w:rsidRPr="00B664C6">
        <w:t xml:space="preserve">, </w:t>
      </w:r>
      <w:r w:rsidR="00FC1CC5" w:rsidRPr="00B664C6">
        <w:t xml:space="preserve">the </w:t>
      </w:r>
      <w:r w:rsidRPr="00B664C6">
        <w:t xml:space="preserve">Democratic Republic of </w:t>
      </w:r>
      <w:r w:rsidR="00BA5ED1" w:rsidRPr="00B664C6">
        <w:t xml:space="preserve">the </w:t>
      </w:r>
      <w:r w:rsidRPr="00B664C6">
        <w:t>Congo (</w:t>
      </w:r>
      <w:r w:rsidR="00C93BC0" w:rsidRPr="00B664C6">
        <w:t>$</w:t>
      </w:r>
      <w:r w:rsidR="00C4286B" w:rsidRPr="00B664C6">
        <w:t>85</w:t>
      </w:r>
      <w:r w:rsidRPr="00B664C6">
        <w:t xml:space="preserve"> million) and </w:t>
      </w:r>
      <w:r w:rsidR="00C4286B" w:rsidRPr="00B664C6">
        <w:t xml:space="preserve">Central African Republic </w:t>
      </w:r>
      <w:r w:rsidRPr="00B664C6">
        <w:t>($</w:t>
      </w:r>
      <w:r w:rsidR="00C51441" w:rsidRPr="00B664C6">
        <w:t>70</w:t>
      </w:r>
      <w:r w:rsidR="00FC1CC5" w:rsidRPr="00B664C6">
        <w:t> </w:t>
      </w:r>
      <w:r w:rsidRPr="00B664C6">
        <w:t xml:space="preserve">million). </w:t>
      </w:r>
      <w:r w:rsidR="00046337" w:rsidRPr="00B664C6">
        <w:t xml:space="preserve">Of </w:t>
      </w:r>
      <w:r w:rsidR="00CC229A" w:rsidRPr="00B664C6">
        <w:t xml:space="preserve">the $171 million delivery in </w:t>
      </w:r>
      <w:r w:rsidR="007E512D" w:rsidRPr="00B664C6">
        <w:t>Zimbabwe</w:t>
      </w:r>
      <w:r w:rsidR="00CC229A" w:rsidRPr="00B664C6">
        <w:t>,</w:t>
      </w:r>
      <w:r w:rsidR="003F2899" w:rsidRPr="00B664C6">
        <w:t xml:space="preserve"> $</w:t>
      </w:r>
      <w:r w:rsidR="00430AA9" w:rsidRPr="00B664C6">
        <w:t>134</w:t>
      </w:r>
      <w:r w:rsidR="003F2899" w:rsidRPr="00B664C6">
        <w:t xml:space="preserve"> million </w:t>
      </w:r>
      <w:r w:rsidR="00C23DE7" w:rsidRPr="00B664C6">
        <w:t>(</w:t>
      </w:r>
      <w:r w:rsidR="00430AA9" w:rsidRPr="00B664C6">
        <w:t>80</w:t>
      </w:r>
      <w:r w:rsidR="00C23DE7" w:rsidRPr="00B664C6">
        <w:t xml:space="preserve"> per cent) was </w:t>
      </w:r>
      <w:r w:rsidR="00BA0578" w:rsidRPr="00B664C6">
        <w:t>funded by the Global Fund</w:t>
      </w:r>
      <w:r w:rsidR="00734CFB" w:rsidRPr="00B664C6">
        <w:t>.</w:t>
      </w:r>
      <w:r w:rsidR="00BA0578" w:rsidRPr="00B664C6">
        <w:t xml:space="preserve"> </w:t>
      </w:r>
      <w:r w:rsidR="00A4766C" w:rsidRPr="00B664C6">
        <w:t xml:space="preserve">Of the top </w:t>
      </w:r>
      <w:r w:rsidR="00A4474F" w:rsidRPr="00B664C6">
        <w:t>seven</w:t>
      </w:r>
      <w:r w:rsidR="00A4766C" w:rsidRPr="00B664C6">
        <w:t xml:space="preserve"> Country Offices within this region with more than $</w:t>
      </w:r>
      <w:r w:rsidR="00A4474F" w:rsidRPr="00B664C6">
        <w:t>5</w:t>
      </w:r>
      <w:r w:rsidR="00A4766C" w:rsidRPr="00B664C6">
        <w:t>0 million deliv</w:t>
      </w:r>
      <w:r w:rsidR="003954C7" w:rsidRPr="00B664C6">
        <w:t xml:space="preserve">ery, Central African Republic, </w:t>
      </w:r>
      <w:r w:rsidR="002A0FCD" w:rsidRPr="00B664C6">
        <w:t>Ethiopia, and Nigeria increased delivery by 24 million</w:t>
      </w:r>
      <w:r w:rsidR="00E7213D" w:rsidRPr="00B664C6">
        <w:t xml:space="preserve"> (</w:t>
      </w:r>
      <w:r w:rsidR="00055DB3" w:rsidRPr="00B664C6">
        <w:t>52 per cent)</w:t>
      </w:r>
      <w:r w:rsidR="002A0FCD" w:rsidRPr="00B664C6">
        <w:t>, by 20 million</w:t>
      </w:r>
      <w:r w:rsidR="00055DB3" w:rsidRPr="00B664C6">
        <w:t xml:space="preserve"> (54 per cent)</w:t>
      </w:r>
      <w:r w:rsidR="002A0FCD" w:rsidRPr="00B664C6">
        <w:t>, and by 27 million</w:t>
      </w:r>
      <w:r w:rsidR="00055DB3" w:rsidRPr="00B664C6">
        <w:t xml:space="preserve"> (102 per cent)</w:t>
      </w:r>
      <w:r w:rsidR="002A0FCD" w:rsidRPr="00B664C6">
        <w:t xml:space="preserve">, </w:t>
      </w:r>
      <w:r w:rsidR="00E7213D" w:rsidRPr="00B664C6">
        <w:t>respectively</w:t>
      </w:r>
      <w:r w:rsidR="00430AA9" w:rsidRPr="00B664C6">
        <w:t>.</w:t>
      </w:r>
    </w:p>
    <w:p w14:paraId="37F38EA2" w14:textId="7041368F" w:rsidR="0014785B" w:rsidRPr="00842755" w:rsidRDefault="00351E19" w:rsidP="00AF3FD4">
      <w:pPr>
        <w:pStyle w:val="ListParagraph"/>
        <w:numPr>
          <w:ilvl w:val="0"/>
          <w:numId w:val="5"/>
        </w:numPr>
        <w:spacing w:before="240" w:after="240" w:line="240" w:lineRule="auto"/>
        <w:ind w:right="1267"/>
        <w:contextualSpacing w:val="0"/>
        <w:jc w:val="both"/>
      </w:pPr>
      <w:r w:rsidRPr="00842755">
        <w:lastRenderedPageBreak/>
        <w:t xml:space="preserve">Overall programme delivery in the Arab States region </w:t>
      </w:r>
      <w:r w:rsidR="00BB07E5" w:rsidRPr="00842755">
        <w:t>decreased</w:t>
      </w:r>
      <w:r w:rsidRPr="00842755">
        <w:t xml:space="preserve"> by </w:t>
      </w:r>
      <w:r w:rsidR="0090382C" w:rsidRPr="00842755">
        <w:t>9.7</w:t>
      </w:r>
      <w:r w:rsidR="00ED3732" w:rsidRPr="00842755">
        <w:t xml:space="preserve"> </w:t>
      </w:r>
      <w:r w:rsidRPr="00842755">
        <w:t xml:space="preserve">per cent. </w:t>
      </w:r>
      <w:r w:rsidR="009B1161" w:rsidRPr="00842755">
        <w:t xml:space="preserve">Iraq </w:t>
      </w:r>
      <w:r w:rsidR="00261F17" w:rsidRPr="00842755">
        <w:t xml:space="preserve">has </w:t>
      </w:r>
      <w:r w:rsidR="009B1161" w:rsidRPr="00842755">
        <w:t>the second largest programme delivery in UNDP. Iraq delivered a total of $</w:t>
      </w:r>
      <w:r w:rsidR="00AC6646" w:rsidRPr="00842755">
        <w:t>236</w:t>
      </w:r>
      <w:r w:rsidR="009B1161" w:rsidRPr="00842755">
        <w:t xml:space="preserve"> million, a </w:t>
      </w:r>
      <w:r w:rsidR="00AC6646" w:rsidRPr="00842755">
        <w:t>decrease</w:t>
      </w:r>
      <w:r w:rsidR="009B1161" w:rsidRPr="00842755">
        <w:t xml:space="preserve"> of </w:t>
      </w:r>
      <w:r w:rsidR="00DC6F93" w:rsidRPr="00842755">
        <w:t>27</w:t>
      </w:r>
      <w:r w:rsidR="009B1161" w:rsidRPr="00842755">
        <w:t xml:space="preserve"> per cent from </w:t>
      </w:r>
      <w:r w:rsidR="00BA5ED1" w:rsidRPr="00842755">
        <w:t xml:space="preserve">the </w:t>
      </w:r>
      <w:r w:rsidR="00DC6F93" w:rsidRPr="00842755">
        <w:t>2019</w:t>
      </w:r>
      <w:r w:rsidR="009B1161" w:rsidRPr="00842755">
        <w:t xml:space="preserve"> delivery of $</w:t>
      </w:r>
      <w:r w:rsidR="00E763F5" w:rsidRPr="00842755">
        <w:t>323</w:t>
      </w:r>
      <w:r w:rsidR="00FC1CC5" w:rsidRPr="00842755">
        <w:t> </w:t>
      </w:r>
      <w:r w:rsidR="009B1161" w:rsidRPr="00842755">
        <w:t xml:space="preserve">million. Of that amount, </w:t>
      </w:r>
      <w:r w:rsidR="00F83196" w:rsidRPr="00842755">
        <w:t>94</w:t>
      </w:r>
      <w:r w:rsidR="009B1161" w:rsidRPr="00842755">
        <w:t xml:space="preserve"> per</w:t>
      </w:r>
      <w:r w:rsidR="0036649C" w:rsidRPr="00842755">
        <w:t xml:space="preserve"> </w:t>
      </w:r>
      <w:r w:rsidR="009B1161" w:rsidRPr="00842755">
        <w:t>cent was funded by donor country governments under third-party cost-sharing arrangement</w:t>
      </w:r>
      <w:r w:rsidR="00BA5ED1" w:rsidRPr="00842755">
        <w:t>s</w:t>
      </w:r>
      <w:r w:rsidR="009B1161" w:rsidRPr="00842755">
        <w:t xml:space="preserve">. Yemen was also one of the top </w:t>
      </w:r>
      <w:r w:rsidR="00442374" w:rsidRPr="00842755">
        <w:t>ten</w:t>
      </w:r>
      <w:r w:rsidR="009B1161" w:rsidRPr="00842755">
        <w:t xml:space="preserve"> countr</w:t>
      </w:r>
      <w:r w:rsidR="00734CFB" w:rsidRPr="00842755">
        <w:t>ies</w:t>
      </w:r>
      <w:r w:rsidR="00FC1CC5" w:rsidRPr="00842755">
        <w:t>,</w:t>
      </w:r>
      <w:r w:rsidR="009B1161" w:rsidRPr="00842755">
        <w:t xml:space="preserve"> with total programme delivery of $</w:t>
      </w:r>
      <w:r w:rsidR="00B93CF6" w:rsidRPr="00842755">
        <w:t>122</w:t>
      </w:r>
      <w:r w:rsidR="009B1161" w:rsidRPr="00842755">
        <w:t xml:space="preserve"> million</w:t>
      </w:r>
      <w:r w:rsidR="008475B8" w:rsidRPr="00842755">
        <w:t xml:space="preserve">, of which </w:t>
      </w:r>
      <w:r w:rsidR="00001B39" w:rsidRPr="00842755">
        <w:t>55</w:t>
      </w:r>
      <w:r w:rsidR="007C2DEB" w:rsidRPr="00842755">
        <w:t xml:space="preserve"> per</w:t>
      </w:r>
      <w:r w:rsidR="0059324E" w:rsidRPr="00842755">
        <w:t xml:space="preserve"> </w:t>
      </w:r>
      <w:r w:rsidR="007C2DEB" w:rsidRPr="00842755">
        <w:t>cent</w:t>
      </w:r>
      <w:r w:rsidR="008475B8" w:rsidRPr="00842755">
        <w:t xml:space="preserve"> were funded by the World Bank Group</w:t>
      </w:r>
      <w:r w:rsidR="0047727B" w:rsidRPr="00842755">
        <w:t>.</w:t>
      </w:r>
    </w:p>
    <w:p w14:paraId="270A9D4A" w14:textId="451BD8CB" w:rsidR="00682DA2" w:rsidRPr="00842755" w:rsidRDefault="00026CE8" w:rsidP="00AF3FD4">
      <w:pPr>
        <w:pStyle w:val="ListParagraph"/>
        <w:numPr>
          <w:ilvl w:val="0"/>
          <w:numId w:val="5"/>
        </w:numPr>
        <w:spacing w:before="240" w:after="240" w:line="240" w:lineRule="auto"/>
        <w:ind w:right="1267"/>
        <w:contextualSpacing w:val="0"/>
        <w:jc w:val="both"/>
      </w:pPr>
      <w:r w:rsidRPr="00842755">
        <w:t xml:space="preserve">In </w:t>
      </w:r>
      <w:r w:rsidR="00FC1CC5" w:rsidRPr="00842755">
        <w:t xml:space="preserve">the </w:t>
      </w:r>
      <w:r w:rsidRPr="00842755">
        <w:t xml:space="preserve">Asia and the Pacific region, </w:t>
      </w:r>
      <w:r w:rsidR="009B1161" w:rsidRPr="00842755">
        <w:t xml:space="preserve">Afghanistan delivered the highest level of programme expenses </w:t>
      </w:r>
      <w:r w:rsidR="003A7213" w:rsidRPr="00842755">
        <w:t xml:space="preserve">in UNDP at </w:t>
      </w:r>
      <w:r w:rsidR="009B1161" w:rsidRPr="00842755">
        <w:t>$</w:t>
      </w:r>
      <w:r w:rsidR="008345F6" w:rsidRPr="00842755">
        <w:t>421</w:t>
      </w:r>
      <w:r w:rsidR="009B1161" w:rsidRPr="00842755">
        <w:t xml:space="preserve"> million</w:t>
      </w:r>
      <w:r w:rsidR="00A96C4C" w:rsidRPr="00842755">
        <w:t>,</w:t>
      </w:r>
      <w:r w:rsidR="00B70F3D" w:rsidRPr="00842755">
        <w:t xml:space="preserve"> inclu</w:t>
      </w:r>
      <w:r w:rsidR="00EB5271" w:rsidRPr="00842755">
        <w:t>ding</w:t>
      </w:r>
      <w:r w:rsidR="00E863D8" w:rsidRPr="00842755">
        <w:t xml:space="preserve"> </w:t>
      </w:r>
      <w:r w:rsidR="00892BE8" w:rsidRPr="00842755">
        <w:t>$313 million under cost-sharing agreements</w:t>
      </w:r>
      <w:r w:rsidR="00C3274E" w:rsidRPr="00842755">
        <w:t xml:space="preserve"> and </w:t>
      </w:r>
      <w:r w:rsidR="009B1161" w:rsidRPr="00842755">
        <w:t>$</w:t>
      </w:r>
      <w:r w:rsidR="00155A7B" w:rsidRPr="00842755">
        <w:t>97</w:t>
      </w:r>
      <w:r w:rsidR="009B1161" w:rsidRPr="00842755">
        <w:t xml:space="preserve"> million for the Law and Order Trust Fund for Afghanistan</w:t>
      </w:r>
      <w:r w:rsidR="00C3274E" w:rsidRPr="00842755">
        <w:t>.</w:t>
      </w:r>
      <w:r w:rsidR="00CE428D" w:rsidRPr="00842755">
        <w:t xml:space="preserve"> </w:t>
      </w:r>
      <w:r w:rsidR="00096C2F" w:rsidRPr="00842755">
        <w:t>O</w:t>
      </w:r>
      <w:r w:rsidR="00A6456D" w:rsidRPr="00842755">
        <w:t xml:space="preserve">f the </w:t>
      </w:r>
      <w:r w:rsidR="000A396D" w:rsidRPr="00842755">
        <w:t>six</w:t>
      </w:r>
      <w:r w:rsidR="001E3D69" w:rsidRPr="00842755">
        <w:t xml:space="preserve"> </w:t>
      </w:r>
      <w:r w:rsidR="003D6BA0" w:rsidRPr="00842755">
        <w:t>Country Offices with</w:t>
      </w:r>
      <w:r w:rsidR="00D358E5" w:rsidRPr="00842755">
        <w:t xml:space="preserve"> more than $30 million delivery</w:t>
      </w:r>
      <w:r w:rsidR="001E3D69" w:rsidRPr="00842755">
        <w:t>;</w:t>
      </w:r>
      <w:r w:rsidR="003D6BA0" w:rsidRPr="00842755">
        <w:t xml:space="preserve"> </w:t>
      </w:r>
      <w:r w:rsidR="00912EFB" w:rsidRPr="00842755">
        <w:t>Bangladesh</w:t>
      </w:r>
      <w:r w:rsidR="00D358E5" w:rsidRPr="00842755">
        <w:t xml:space="preserve">, </w:t>
      </w:r>
      <w:r w:rsidR="009810DB" w:rsidRPr="00842755">
        <w:t xml:space="preserve">Pakistan, </w:t>
      </w:r>
      <w:r w:rsidR="00D358E5" w:rsidRPr="00842755">
        <w:t>India</w:t>
      </w:r>
      <w:r w:rsidR="0015002F" w:rsidRPr="00842755">
        <w:t>,</w:t>
      </w:r>
      <w:r w:rsidR="00E7076F" w:rsidRPr="00842755">
        <w:t xml:space="preserve"> </w:t>
      </w:r>
      <w:r w:rsidR="000B4141" w:rsidRPr="00842755">
        <w:t>Fiji</w:t>
      </w:r>
      <w:r w:rsidR="00A42F4F" w:rsidRPr="00842755">
        <w:t>, and China</w:t>
      </w:r>
      <w:r w:rsidR="000B4141" w:rsidRPr="00842755">
        <w:t xml:space="preserve"> </w:t>
      </w:r>
      <w:r w:rsidR="007A2D59" w:rsidRPr="00842755">
        <w:t>ha</w:t>
      </w:r>
      <w:r w:rsidR="004A10B9" w:rsidRPr="00842755">
        <w:t xml:space="preserve">ve </w:t>
      </w:r>
      <w:r w:rsidR="00A4766C" w:rsidRPr="00842755">
        <w:t>increased their delivery, each within a range of $</w:t>
      </w:r>
      <w:r w:rsidR="006D3D77" w:rsidRPr="00842755">
        <w:t>1</w:t>
      </w:r>
      <w:r w:rsidR="00A4766C" w:rsidRPr="00842755">
        <w:t xml:space="preserve"> million of $</w:t>
      </w:r>
      <w:r w:rsidR="006D3D77" w:rsidRPr="00842755">
        <w:t>5</w:t>
      </w:r>
      <w:r w:rsidR="00A4766C" w:rsidRPr="00842755">
        <w:t xml:space="preserve"> million. </w:t>
      </w:r>
    </w:p>
    <w:p w14:paraId="7BD64769" w14:textId="0592D1E8" w:rsidR="00F82B59" w:rsidRPr="00842755" w:rsidRDefault="00F82B59" w:rsidP="00AF3FD4">
      <w:pPr>
        <w:pStyle w:val="ListParagraph"/>
        <w:numPr>
          <w:ilvl w:val="0"/>
          <w:numId w:val="5"/>
        </w:numPr>
        <w:spacing w:before="240" w:after="240" w:line="240" w:lineRule="auto"/>
        <w:ind w:right="1267"/>
        <w:contextualSpacing w:val="0"/>
        <w:jc w:val="both"/>
      </w:pPr>
      <w:r w:rsidRPr="00842755">
        <w:t xml:space="preserve">Overall programme delivery in the Europe and the Commonwealth of Independent States (CIS) region increased by </w:t>
      </w:r>
      <w:r w:rsidR="00EB618E" w:rsidRPr="00842755">
        <w:t>2</w:t>
      </w:r>
      <w:r w:rsidR="00AD0B56">
        <w:t>.</w:t>
      </w:r>
      <w:r w:rsidR="00EB618E" w:rsidRPr="00842755">
        <w:t>9</w:t>
      </w:r>
      <w:r w:rsidRPr="00842755">
        <w:t xml:space="preserve"> per cent. Ukraine has the highest programme delivery at $</w:t>
      </w:r>
      <w:r w:rsidR="0046693A" w:rsidRPr="00842755">
        <w:t>134</w:t>
      </w:r>
      <w:r w:rsidRPr="00842755">
        <w:t xml:space="preserve"> million, and the highest increase in programme delivery </w:t>
      </w:r>
      <w:r w:rsidR="002E14FC" w:rsidRPr="00842755">
        <w:t xml:space="preserve">in this region </w:t>
      </w:r>
      <w:r w:rsidRPr="00842755">
        <w:t xml:space="preserve">was in </w:t>
      </w:r>
      <w:r w:rsidR="002E14FC" w:rsidRPr="00842755">
        <w:t>Bosnia and Herzegovina</w:t>
      </w:r>
      <w:r w:rsidRPr="00842755">
        <w:t>, which increased to $</w:t>
      </w:r>
      <w:r w:rsidR="00A83C1A" w:rsidRPr="00AF3FD4">
        <w:t>48</w:t>
      </w:r>
      <w:r w:rsidRPr="00842755">
        <w:t xml:space="preserve"> million from $</w:t>
      </w:r>
      <w:r w:rsidR="00A83C1A" w:rsidRPr="00842755">
        <w:t>40</w:t>
      </w:r>
      <w:r w:rsidRPr="00842755">
        <w:t xml:space="preserve"> million in 201</w:t>
      </w:r>
      <w:r w:rsidR="00A83C1A" w:rsidRPr="00842755">
        <w:t>9</w:t>
      </w:r>
      <w:r w:rsidRPr="00842755">
        <w:t>, funded by government cost-sharing for the procurement of health products.</w:t>
      </w:r>
      <w:r w:rsidR="002268FB" w:rsidRPr="00842755">
        <w:t xml:space="preserve"> </w:t>
      </w:r>
    </w:p>
    <w:p w14:paraId="5D40EC15" w14:textId="3ED7C72B" w:rsidR="00BE3441" w:rsidRPr="00B664C6" w:rsidRDefault="00304E65" w:rsidP="00AF3FD4">
      <w:pPr>
        <w:pStyle w:val="ListParagraph"/>
        <w:numPr>
          <w:ilvl w:val="0"/>
          <w:numId w:val="5"/>
        </w:numPr>
        <w:spacing w:before="240" w:after="240" w:line="240" w:lineRule="auto"/>
        <w:ind w:right="1267"/>
        <w:contextualSpacing w:val="0"/>
        <w:jc w:val="both"/>
      </w:pPr>
      <w:r w:rsidRPr="00B664C6">
        <w:t>I</w:t>
      </w:r>
      <w:r w:rsidR="00246EE6" w:rsidRPr="00B664C6">
        <w:t xml:space="preserve">n </w:t>
      </w:r>
      <w:r w:rsidR="00FC1CC5" w:rsidRPr="00B664C6">
        <w:t xml:space="preserve">the </w:t>
      </w:r>
      <w:r w:rsidR="00246EE6" w:rsidRPr="00B664C6">
        <w:t xml:space="preserve">Latin America </w:t>
      </w:r>
      <w:r w:rsidR="00FC1CC5" w:rsidRPr="00B664C6">
        <w:t xml:space="preserve">and </w:t>
      </w:r>
      <w:r w:rsidR="00246EE6" w:rsidRPr="00B664C6">
        <w:t>the Caribbean region</w:t>
      </w:r>
      <w:r w:rsidRPr="00B664C6">
        <w:t xml:space="preserve">, </w:t>
      </w:r>
      <w:r w:rsidR="00BA543D" w:rsidRPr="00B664C6">
        <w:t xml:space="preserve">overall programme delivery </w:t>
      </w:r>
      <w:r w:rsidR="00853249" w:rsidRPr="00B664C6">
        <w:t>in</w:t>
      </w:r>
      <w:r w:rsidR="00BA543D" w:rsidRPr="00B664C6">
        <w:t xml:space="preserve">creased by </w:t>
      </w:r>
      <w:r w:rsidR="00853249" w:rsidRPr="00B664C6">
        <w:t>17.3</w:t>
      </w:r>
      <w:r w:rsidR="00BA543D" w:rsidRPr="00B664C6">
        <w:t xml:space="preserve"> per cent</w:t>
      </w:r>
      <w:r w:rsidR="0060706D" w:rsidRPr="00B664C6">
        <w:t>,</w:t>
      </w:r>
      <w:r w:rsidR="00FE33A1" w:rsidRPr="00B664C6">
        <w:t xml:space="preserve"> </w:t>
      </w:r>
      <w:r w:rsidR="00A8787C" w:rsidRPr="00B664C6">
        <w:t xml:space="preserve">as a </w:t>
      </w:r>
      <w:r w:rsidR="00DB596C" w:rsidRPr="00B664C6">
        <w:t xml:space="preserve">result of the </w:t>
      </w:r>
      <w:r w:rsidR="006872AC" w:rsidRPr="00B664C6">
        <w:t xml:space="preserve">resource mobilization </w:t>
      </w:r>
      <w:r w:rsidR="00B170B6" w:rsidRPr="00B664C6">
        <w:t xml:space="preserve">effort </w:t>
      </w:r>
      <w:r w:rsidR="006872AC" w:rsidRPr="00B664C6">
        <w:t xml:space="preserve">emanating from </w:t>
      </w:r>
      <w:r w:rsidR="00A8787C" w:rsidRPr="00B664C6">
        <w:t xml:space="preserve">climate </w:t>
      </w:r>
      <w:r w:rsidR="006872AC" w:rsidRPr="00B664C6">
        <w:t>change</w:t>
      </w:r>
      <w:r w:rsidR="006143BE" w:rsidRPr="00B664C6">
        <w:t>-</w:t>
      </w:r>
      <w:r w:rsidR="006872AC" w:rsidRPr="00B664C6">
        <w:t>related in</w:t>
      </w:r>
      <w:r w:rsidR="004F734E" w:rsidRPr="00B664C6">
        <w:t>itiative</w:t>
      </w:r>
      <w:r w:rsidR="006143BE" w:rsidRPr="00B664C6">
        <w:t>s</w:t>
      </w:r>
      <w:r w:rsidR="00551FCC" w:rsidRPr="00B664C6">
        <w:t xml:space="preserve">. </w:t>
      </w:r>
      <w:r w:rsidR="001D3CB2" w:rsidRPr="00B664C6">
        <w:t>Argentina has the highest programme delivery</w:t>
      </w:r>
      <w:r w:rsidR="002268FB" w:rsidRPr="00B664C6">
        <w:t>,</w:t>
      </w:r>
      <w:r w:rsidR="001D3CB2" w:rsidRPr="00B664C6">
        <w:t xml:space="preserve"> </w:t>
      </w:r>
      <w:r w:rsidR="002268FB" w:rsidRPr="00B664C6">
        <w:t xml:space="preserve">at </w:t>
      </w:r>
      <w:r w:rsidR="001D3CB2" w:rsidRPr="00B664C6">
        <w:t>$</w:t>
      </w:r>
      <w:r w:rsidR="007C1224" w:rsidRPr="00B664C6">
        <w:t>180</w:t>
      </w:r>
      <w:r w:rsidR="001D3CB2" w:rsidRPr="00B664C6">
        <w:t xml:space="preserve"> million</w:t>
      </w:r>
      <w:r w:rsidR="007C1224" w:rsidRPr="00B664C6">
        <w:t xml:space="preserve">, </w:t>
      </w:r>
      <w:r w:rsidR="002A026A" w:rsidRPr="00B664C6">
        <w:t xml:space="preserve">an increase of 44 per cent from </w:t>
      </w:r>
      <w:r w:rsidR="002E739E" w:rsidRPr="00B664C6">
        <w:t>the 2019 delivery of $125 million</w:t>
      </w:r>
      <w:r w:rsidR="001D3CB2" w:rsidRPr="00B664C6">
        <w:t xml:space="preserve">. </w:t>
      </w:r>
      <w:r w:rsidR="00847E23" w:rsidRPr="00B664C6">
        <w:t xml:space="preserve">The second highest </w:t>
      </w:r>
      <w:r w:rsidR="005F3FDB" w:rsidRPr="00B664C6">
        <w:t>delivery is Dominican Republic, which increased to $</w:t>
      </w:r>
      <w:r w:rsidR="00716364" w:rsidRPr="00B664C6">
        <w:t>67</w:t>
      </w:r>
      <w:r w:rsidR="005F3FDB" w:rsidRPr="00B664C6">
        <w:t xml:space="preserve"> million </w:t>
      </w:r>
      <w:r w:rsidR="00716364" w:rsidRPr="00B664C6">
        <w:t>from</w:t>
      </w:r>
      <w:r w:rsidR="005F3FDB" w:rsidRPr="00B664C6">
        <w:t xml:space="preserve"> $</w:t>
      </w:r>
      <w:r w:rsidR="00716364" w:rsidRPr="00B664C6">
        <w:t>43</w:t>
      </w:r>
      <w:r w:rsidR="005F3FDB" w:rsidRPr="00B664C6">
        <w:t xml:space="preserve"> million</w:t>
      </w:r>
      <w:r w:rsidR="00716364" w:rsidRPr="00B664C6">
        <w:t xml:space="preserve"> in 2019. </w:t>
      </w:r>
      <w:r w:rsidR="005F3FDB" w:rsidRPr="00B664C6">
        <w:t xml:space="preserve"> </w:t>
      </w:r>
      <w:r w:rsidR="0082582B" w:rsidRPr="00B664C6">
        <w:t>Colombia</w:t>
      </w:r>
      <w:r w:rsidR="000770AE" w:rsidRPr="00B664C6">
        <w:t xml:space="preserve"> </w:t>
      </w:r>
      <w:r w:rsidR="000409FA" w:rsidRPr="00B664C6">
        <w:t>has the third largest delivery of $67 million, and Honduras increased its programme delivery to $48 million from $14 million in 2019.</w:t>
      </w:r>
      <w:r w:rsidR="00354A06" w:rsidRPr="00B664C6">
        <w:t xml:space="preserve"> </w:t>
      </w:r>
    </w:p>
    <w:p w14:paraId="1EADD76B" w14:textId="77777777" w:rsidR="009C6522" w:rsidRPr="00FB7ECE" w:rsidRDefault="009C6522" w:rsidP="000578BE">
      <w:pPr>
        <w:pStyle w:val="H4"/>
        <w:tabs>
          <w:tab w:val="clear" w:pos="1742"/>
          <w:tab w:val="left" w:pos="1440"/>
          <w:tab w:val="left" w:pos="1620"/>
        </w:tabs>
        <w:spacing w:before="240" w:after="240" w:line="240" w:lineRule="auto"/>
        <w:ind w:left="1008" w:firstLine="0"/>
        <w:outlineLvl w:val="2"/>
      </w:pPr>
      <w:bookmarkStart w:id="326" w:name="_Toc39596250"/>
      <w:bookmarkStart w:id="327" w:name="_Toc40281199"/>
      <w:bookmarkStart w:id="328" w:name="_Toc40281358"/>
      <w:bookmarkStart w:id="329" w:name="_Toc44499885"/>
      <w:bookmarkStart w:id="330" w:name="_Toc44603232"/>
      <w:bookmarkStart w:id="331" w:name="_Toc44606545"/>
      <w:bookmarkStart w:id="332" w:name="_Toc45297431"/>
      <w:bookmarkStart w:id="333" w:name="_Toc46221142"/>
      <w:bookmarkStart w:id="334" w:name="_Toc46399207"/>
      <w:bookmarkStart w:id="335" w:name="_Toc75466844"/>
      <w:r w:rsidRPr="00FB7ECE">
        <w:t>United Nations development coordination expenses</w:t>
      </w:r>
      <w:bookmarkEnd w:id="326"/>
      <w:bookmarkEnd w:id="327"/>
      <w:bookmarkEnd w:id="328"/>
      <w:bookmarkEnd w:id="329"/>
      <w:bookmarkEnd w:id="330"/>
      <w:bookmarkEnd w:id="331"/>
      <w:bookmarkEnd w:id="332"/>
      <w:bookmarkEnd w:id="333"/>
      <w:bookmarkEnd w:id="334"/>
      <w:bookmarkEnd w:id="335"/>
    </w:p>
    <w:p w14:paraId="0E2DEC08" w14:textId="4DE1A7B1" w:rsidR="009C6522" w:rsidRPr="00FB7ECE" w:rsidRDefault="008215C6" w:rsidP="00AF3FD4">
      <w:pPr>
        <w:pStyle w:val="ListParagraph"/>
        <w:numPr>
          <w:ilvl w:val="0"/>
          <w:numId w:val="5"/>
        </w:numPr>
        <w:spacing w:before="240" w:after="240" w:line="240" w:lineRule="auto"/>
        <w:ind w:right="1267"/>
        <w:contextualSpacing w:val="0"/>
        <w:jc w:val="both"/>
      </w:pPr>
      <w:r w:rsidRPr="00FB7ECE">
        <w:t xml:space="preserve">UNDP effectively supported the rapid transition of the United Nations development system, following General Assembly resolution 72/279 on United Nations repositioning.  </w:t>
      </w:r>
      <w:r w:rsidRPr="00B664C6">
        <w:t xml:space="preserve">In </w:t>
      </w:r>
      <w:r w:rsidR="00D0555B" w:rsidRPr="00B664C6">
        <w:t>2020</w:t>
      </w:r>
      <w:r w:rsidRPr="00B664C6">
        <w:t>, UNDP’s support to the resident coordinator system was $</w:t>
      </w:r>
      <w:r w:rsidR="008A2BD7" w:rsidRPr="00B664C6">
        <w:t>15.3</w:t>
      </w:r>
      <w:r w:rsidRPr="00B664C6">
        <w:t xml:space="preserve"> million, 0.</w:t>
      </w:r>
      <w:r w:rsidR="00F24E16" w:rsidRPr="00B664C6">
        <w:t>3</w:t>
      </w:r>
      <w:r w:rsidRPr="00B664C6">
        <w:t xml:space="preserve"> per cent of UNDP total expenses. This amount includes UNDP’s contribution of $10.3 million </w:t>
      </w:r>
      <w:r w:rsidR="00E72E0C" w:rsidRPr="00B664C6">
        <w:t xml:space="preserve">(2019: $10.3 million) </w:t>
      </w:r>
      <w:r w:rsidRPr="00B664C6">
        <w:t>to the cost-sharing arrangement among United Nations development system entities, and an additional $</w:t>
      </w:r>
      <w:r w:rsidR="0074280E" w:rsidRPr="00B664C6">
        <w:t>5.0</w:t>
      </w:r>
      <w:r w:rsidRPr="00B664C6">
        <w:t xml:space="preserve"> million </w:t>
      </w:r>
      <w:r w:rsidR="0074280E" w:rsidRPr="00B664C6">
        <w:t>(2019: $12.1 million)</w:t>
      </w:r>
      <w:r w:rsidR="0074280E">
        <w:t xml:space="preserve"> </w:t>
      </w:r>
      <w:r w:rsidRPr="00FB7ECE">
        <w:t xml:space="preserve">of legacy coordination support activities continued on a transitionary basis at the request of UN Development Coordination Office and its funding partners.  </w:t>
      </w:r>
      <w:r w:rsidR="00730CF5" w:rsidRPr="00FB7ECE" w:rsidDel="00730CF5">
        <w:t xml:space="preserve"> </w:t>
      </w:r>
    </w:p>
    <w:p w14:paraId="12C49F50" w14:textId="05A3F3F5" w:rsidR="009C6522" w:rsidRPr="00DC4085" w:rsidRDefault="009C6522" w:rsidP="00744ED6">
      <w:pPr>
        <w:pStyle w:val="H4"/>
        <w:tabs>
          <w:tab w:val="clear" w:pos="1742"/>
          <w:tab w:val="left" w:pos="1440"/>
          <w:tab w:val="left" w:pos="1620"/>
        </w:tabs>
        <w:spacing w:before="240" w:after="240" w:line="240" w:lineRule="auto"/>
        <w:ind w:left="1008" w:firstLine="0"/>
        <w:outlineLvl w:val="2"/>
      </w:pPr>
      <w:bookmarkStart w:id="336" w:name="_Toc39596251"/>
      <w:bookmarkStart w:id="337" w:name="_Toc40281200"/>
      <w:bookmarkStart w:id="338" w:name="_Toc40281359"/>
      <w:bookmarkStart w:id="339" w:name="_Toc44499886"/>
      <w:bookmarkStart w:id="340" w:name="_Toc44603233"/>
      <w:bookmarkStart w:id="341" w:name="_Toc44606546"/>
      <w:bookmarkStart w:id="342" w:name="_Toc45297432"/>
      <w:bookmarkStart w:id="343" w:name="_Toc46221143"/>
      <w:bookmarkStart w:id="344" w:name="_Toc46399208"/>
      <w:bookmarkStart w:id="345" w:name="_Toc75466845"/>
      <w:r w:rsidRPr="00DC4085">
        <w:t>Management expenses</w:t>
      </w:r>
      <w:bookmarkEnd w:id="336"/>
      <w:bookmarkEnd w:id="337"/>
      <w:bookmarkEnd w:id="338"/>
      <w:bookmarkEnd w:id="339"/>
      <w:bookmarkEnd w:id="340"/>
      <w:bookmarkEnd w:id="341"/>
      <w:bookmarkEnd w:id="342"/>
      <w:bookmarkEnd w:id="343"/>
      <w:bookmarkEnd w:id="344"/>
      <w:bookmarkEnd w:id="345"/>
    </w:p>
    <w:p w14:paraId="61E90894" w14:textId="1D7750D6" w:rsidR="00F575D3" w:rsidRPr="00182C72" w:rsidRDefault="00795B1F" w:rsidP="009D4BB3">
      <w:pPr>
        <w:pStyle w:val="SingleTxt"/>
        <w:numPr>
          <w:ilvl w:val="0"/>
          <w:numId w:val="5"/>
        </w:numPr>
        <w:tabs>
          <w:tab w:val="left" w:pos="1530"/>
        </w:tabs>
        <w:spacing w:before="240" w:after="240" w:line="240" w:lineRule="auto"/>
      </w:pPr>
      <w:r w:rsidRPr="00DC4085">
        <w:t xml:space="preserve"> Management expenses rose by </w:t>
      </w:r>
      <w:r w:rsidR="007325D3" w:rsidRPr="00DC4085">
        <w:t>14</w:t>
      </w:r>
      <w:r w:rsidRPr="00DC4085">
        <w:t xml:space="preserve"> per cent, to $</w:t>
      </w:r>
      <w:r w:rsidR="007325D3" w:rsidRPr="00DC4085">
        <w:t>446</w:t>
      </w:r>
      <w:r w:rsidRPr="00DC4085">
        <w:t xml:space="preserve"> million (</w:t>
      </w:r>
      <w:r w:rsidR="007325D3" w:rsidRPr="00DC4085">
        <w:t>2019</w:t>
      </w:r>
      <w:r w:rsidRPr="00DC4085">
        <w:t>: $</w:t>
      </w:r>
      <w:r w:rsidR="007325D3" w:rsidRPr="00DC4085">
        <w:t>392</w:t>
      </w:r>
      <w:r w:rsidRPr="00DC4085">
        <w:t xml:space="preserve"> million), </w:t>
      </w:r>
      <w:r w:rsidRPr="00182C72">
        <w:t>remaining within the parameters of the integrated resources plan, 2018-2021, and included increased spending for the Independent Evaluation Office and the Office of Audit and Investigations, and non-discretionary inflationary increases on staff costs</w:t>
      </w:r>
      <w:r w:rsidR="001F7D50" w:rsidRPr="00182C72">
        <w:t>.</w:t>
      </w:r>
    </w:p>
    <w:p w14:paraId="0BB55707" w14:textId="2CC4D151" w:rsidR="00EB049D" w:rsidRPr="00DC4085" w:rsidRDefault="00795B1F" w:rsidP="00AF3FD4">
      <w:pPr>
        <w:pStyle w:val="ListParagraph"/>
        <w:numPr>
          <w:ilvl w:val="0"/>
          <w:numId w:val="5"/>
        </w:numPr>
        <w:spacing w:before="240" w:after="240" w:line="240" w:lineRule="auto"/>
        <w:ind w:right="1267"/>
        <w:contextualSpacing w:val="0"/>
        <w:jc w:val="both"/>
      </w:pPr>
      <w:r w:rsidRPr="00DC4085">
        <w:t xml:space="preserve">It should be noted that, as a result of the delinking of the resident coordinator system from UNDP, many new UNDP leadership positions at the country level </w:t>
      </w:r>
      <w:r w:rsidR="008F5C25" w:rsidRPr="00DC4085">
        <w:t xml:space="preserve">started to be </w:t>
      </w:r>
      <w:r w:rsidRPr="00DC4085">
        <w:t xml:space="preserve">filled </w:t>
      </w:r>
      <w:r w:rsidR="00695D72" w:rsidRPr="00DC4085">
        <w:t>during</w:t>
      </w:r>
      <w:r w:rsidRPr="00DC4085">
        <w:t xml:space="preserve"> 2019</w:t>
      </w:r>
      <w:r w:rsidR="00A210AF" w:rsidRPr="00DC4085">
        <w:t xml:space="preserve"> and the full</w:t>
      </w:r>
      <w:r w:rsidR="00255DEB">
        <w:t xml:space="preserve"> </w:t>
      </w:r>
      <w:r w:rsidR="00A210AF" w:rsidRPr="00DC4085">
        <w:t>on</w:t>
      </w:r>
      <w:r w:rsidR="00255DEB">
        <w:t>-</w:t>
      </w:r>
      <w:r w:rsidR="00A210AF" w:rsidRPr="00DC4085">
        <w:t>boarding was completed by the end of 2019</w:t>
      </w:r>
      <w:r w:rsidR="00B73731">
        <w:t xml:space="preserve">, which resulted in savings </w:t>
      </w:r>
      <w:r w:rsidR="004F4411">
        <w:t>under</w:t>
      </w:r>
      <w:r w:rsidR="00603FFC">
        <w:t xml:space="preserve"> </w:t>
      </w:r>
      <w:r w:rsidR="004F4411">
        <w:t>management activities cost classifications category</w:t>
      </w:r>
      <w:r w:rsidR="00A210AF" w:rsidRPr="00DC4085">
        <w:t xml:space="preserve">. </w:t>
      </w:r>
      <w:r w:rsidR="008F5C25" w:rsidRPr="00DC4085">
        <w:t xml:space="preserve"> </w:t>
      </w:r>
      <w:r w:rsidR="00A210AF" w:rsidRPr="00DC4085">
        <w:t xml:space="preserve">Accordingly, 2020 </w:t>
      </w:r>
      <w:r w:rsidR="00441A18" w:rsidRPr="00DC4085">
        <w:t xml:space="preserve">is the first year to have full costs of </w:t>
      </w:r>
      <w:r w:rsidR="001E23F3" w:rsidRPr="00DC4085">
        <w:t xml:space="preserve">those newly established leadership positions at the </w:t>
      </w:r>
      <w:r w:rsidR="00F80171" w:rsidRPr="00DC4085">
        <w:t>country</w:t>
      </w:r>
      <w:r w:rsidR="001E23F3" w:rsidRPr="00DC4085">
        <w:t xml:space="preserve"> level, which contributed to </w:t>
      </w:r>
      <w:r w:rsidR="008F5C25" w:rsidRPr="00DC4085">
        <w:t xml:space="preserve">the </w:t>
      </w:r>
      <w:r w:rsidR="001E23F3" w:rsidRPr="00DC4085">
        <w:t xml:space="preserve">increase </w:t>
      </w:r>
      <w:r w:rsidR="00A71E26">
        <w:t xml:space="preserve">in </w:t>
      </w:r>
      <w:r w:rsidR="001E23F3" w:rsidRPr="00DC4085">
        <w:t>management expense</w:t>
      </w:r>
      <w:r w:rsidR="00852705">
        <w:t>s</w:t>
      </w:r>
      <w:r w:rsidR="001E23F3" w:rsidRPr="00DC4085">
        <w:t xml:space="preserve"> </w:t>
      </w:r>
      <w:r w:rsidR="00852705">
        <w:t>compared to 2019</w:t>
      </w:r>
      <w:r w:rsidRPr="00DC4085">
        <w:t xml:space="preserve">. </w:t>
      </w:r>
    </w:p>
    <w:p w14:paraId="3A6E1F34" w14:textId="7F1A13BB" w:rsidR="009C6522" w:rsidRPr="00DC4085" w:rsidRDefault="009C6522" w:rsidP="000578BE">
      <w:pPr>
        <w:pStyle w:val="H4"/>
        <w:tabs>
          <w:tab w:val="clear" w:pos="1742"/>
          <w:tab w:val="left" w:pos="1440"/>
          <w:tab w:val="left" w:pos="1620"/>
        </w:tabs>
        <w:spacing w:before="240" w:after="240" w:line="240" w:lineRule="auto"/>
        <w:ind w:left="1008" w:firstLine="0"/>
        <w:outlineLvl w:val="2"/>
      </w:pPr>
      <w:bookmarkStart w:id="346" w:name="_Toc39596252"/>
      <w:bookmarkStart w:id="347" w:name="_Toc40281201"/>
      <w:bookmarkStart w:id="348" w:name="_Toc40281360"/>
      <w:bookmarkStart w:id="349" w:name="_Toc44499887"/>
      <w:bookmarkStart w:id="350" w:name="_Toc44603234"/>
      <w:bookmarkStart w:id="351" w:name="_Toc44606547"/>
      <w:bookmarkStart w:id="352" w:name="_Toc45297433"/>
      <w:bookmarkStart w:id="353" w:name="_Toc46221144"/>
      <w:bookmarkStart w:id="354" w:name="_Toc46399209"/>
      <w:bookmarkStart w:id="355" w:name="_Toc75466846"/>
      <w:r w:rsidRPr="00DC4085">
        <w:lastRenderedPageBreak/>
        <w:t>Special</w:t>
      </w:r>
      <w:r w:rsidR="00B215B4" w:rsidRPr="00DC4085">
        <w:t xml:space="preserve"> </w:t>
      </w:r>
      <w:r w:rsidRPr="00DC4085">
        <w:t>purpose expenses</w:t>
      </w:r>
      <w:bookmarkEnd w:id="346"/>
      <w:bookmarkEnd w:id="347"/>
      <w:bookmarkEnd w:id="348"/>
      <w:bookmarkEnd w:id="349"/>
      <w:bookmarkEnd w:id="350"/>
      <w:bookmarkEnd w:id="351"/>
      <w:bookmarkEnd w:id="352"/>
      <w:bookmarkEnd w:id="353"/>
      <w:bookmarkEnd w:id="354"/>
      <w:bookmarkEnd w:id="355"/>
    </w:p>
    <w:p w14:paraId="4CE18A91" w14:textId="51924370" w:rsidR="009C6522" w:rsidRPr="00DC4085" w:rsidRDefault="00B215B4" w:rsidP="00AF3FD4">
      <w:pPr>
        <w:pStyle w:val="ListParagraph"/>
        <w:numPr>
          <w:ilvl w:val="0"/>
          <w:numId w:val="5"/>
        </w:numPr>
        <w:spacing w:before="240" w:after="240" w:line="240" w:lineRule="auto"/>
        <w:ind w:right="1267"/>
        <w:contextualSpacing w:val="0"/>
        <w:jc w:val="both"/>
      </w:pPr>
      <w:r w:rsidRPr="00DC4085">
        <w:t>Special purpose e</w:t>
      </w:r>
      <w:r w:rsidR="009C6522" w:rsidRPr="00DC4085">
        <w:t>xpenses totalled $</w:t>
      </w:r>
      <w:r w:rsidR="009C3F78" w:rsidRPr="00DC4085">
        <w:t>66</w:t>
      </w:r>
      <w:r w:rsidR="009C6522" w:rsidRPr="00DC4085">
        <w:t xml:space="preserve"> million (20</w:t>
      </w:r>
      <w:r w:rsidR="009C3F78" w:rsidRPr="00DC4085">
        <w:t>19</w:t>
      </w:r>
      <w:r w:rsidR="009C6522" w:rsidRPr="00DC4085">
        <w:t>: $</w:t>
      </w:r>
      <w:r w:rsidR="009C3F78" w:rsidRPr="00DC4085">
        <w:t>79</w:t>
      </w:r>
      <w:r w:rsidR="009C6522" w:rsidRPr="00DC4085">
        <w:t xml:space="preserve"> million). </w:t>
      </w:r>
      <w:r w:rsidR="00206FB2" w:rsidRPr="00DC4085">
        <w:t>This amount includes expenses of $</w:t>
      </w:r>
      <w:r w:rsidR="00E11810" w:rsidRPr="00DC4085">
        <w:t>51</w:t>
      </w:r>
      <w:r w:rsidR="00206FB2" w:rsidRPr="00DC4085">
        <w:t xml:space="preserve"> million for reimbursable support services, $</w:t>
      </w:r>
      <w:r w:rsidR="00F0159D" w:rsidRPr="00DC4085">
        <w:t>3</w:t>
      </w:r>
      <w:r w:rsidR="00206FB2" w:rsidRPr="00DC4085">
        <w:t xml:space="preserve"> million related to capital investments, $</w:t>
      </w:r>
      <w:r w:rsidR="00C540E9" w:rsidRPr="00DC4085">
        <w:t>9</w:t>
      </w:r>
      <w:r w:rsidR="00206FB2" w:rsidRPr="00DC4085">
        <w:t xml:space="preserve"> million</w:t>
      </w:r>
      <w:r w:rsidR="00206FB2" w:rsidRPr="00DC4085" w:rsidDel="00254502">
        <w:t xml:space="preserve"> </w:t>
      </w:r>
      <w:r w:rsidR="00206FB2" w:rsidRPr="00DC4085">
        <w:t>related to UNV and $</w:t>
      </w:r>
      <w:r w:rsidR="00C540E9" w:rsidRPr="00DC4085">
        <w:t>2</w:t>
      </w:r>
      <w:r w:rsidR="00206FB2" w:rsidRPr="00DC4085">
        <w:t xml:space="preserve"> million related to UNCDF.</w:t>
      </w:r>
    </w:p>
    <w:p w14:paraId="6FAB0B98" w14:textId="6B6BFE26" w:rsidR="009C6522" w:rsidRPr="00FB7ECE" w:rsidRDefault="009C6522" w:rsidP="000578BE">
      <w:pPr>
        <w:pStyle w:val="H4"/>
        <w:tabs>
          <w:tab w:val="clear" w:pos="1742"/>
          <w:tab w:val="left" w:pos="1440"/>
          <w:tab w:val="left" w:pos="1620"/>
        </w:tabs>
        <w:spacing w:before="240" w:after="240" w:line="240" w:lineRule="auto"/>
        <w:ind w:left="1008" w:firstLine="0"/>
        <w:outlineLvl w:val="2"/>
      </w:pPr>
      <w:bookmarkStart w:id="356" w:name="_Toc39596253"/>
      <w:bookmarkStart w:id="357" w:name="_Toc40281202"/>
      <w:bookmarkStart w:id="358" w:name="_Toc40281361"/>
      <w:bookmarkStart w:id="359" w:name="_Toc44499888"/>
      <w:bookmarkStart w:id="360" w:name="_Toc44603235"/>
      <w:bookmarkStart w:id="361" w:name="_Toc44606548"/>
      <w:bookmarkStart w:id="362" w:name="_Toc45297434"/>
      <w:bookmarkStart w:id="363" w:name="_Toc46221145"/>
      <w:bookmarkStart w:id="364" w:name="_Toc46399210"/>
      <w:bookmarkStart w:id="365" w:name="_Toc75466847"/>
      <w:r w:rsidRPr="00FB7ECE">
        <w:t>Other expenses</w:t>
      </w:r>
      <w:bookmarkEnd w:id="356"/>
      <w:bookmarkEnd w:id="357"/>
      <w:bookmarkEnd w:id="358"/>
      <w:bookmarkEnd w:id="359"/>
      <w:bookmarkEnd w:id="360"/>
      <w:bookmarkEnd w:id="361"/>
      <w:bookmarkEnd w:id="362"/>
      <w:bookmarkEnd w:id="363"/>
      <w:bookmarkEnd w:id="364"/>
      <w:bookmarkEnd w:id="365"/>
    </w:p>
    <w:p w14:paraId="745C3397" w14:textId="6D1035CB" w:rsidR="00637A8D" w:rsidRPr="00331E23" w:rsidRDefault="005475AE" w:rsidP="00AF3FD4">
      <w:pPr>
        <w:pStyle w:val="ListParagraph"/>
        <w:numPr>
          <w:ilvl w:val="0"/>
          <w:numId w:val="5"/>
        </w:numPr>
        <w:spacing w:before="240" w:after="240" w:line="240" w:lineRule="auto"/>
        <w:ind w:right="1267"/>
        <w:contextualSpacing w:val="0"/>
        <w:jc w:val="both"/>
      </w:pPr>
      <w:r w:rsidRPr="00331E23">
        <w:t>Other expenses totalled $</w:t>
      </w:r>
      <w:r w:rsidR="00D87A01" w:rsidRPr="00331E23">
        <w:t>210</w:t>
      </w:r>
      <w:r w:rsidRPr="00331E23">
        <w:t xml:space="preserve"> million (201</w:t>
      </w:r>
      <w:r w:rsidR="00D87A01" w:rsidRPr="00331E23">
        <w:t>9</w:t>
      </w:r>
      <w:r w:rsidRPr="00331E23">
        <w:t>: $</w:t>
      </w:r>
      <w:r w:rsidR="00F717E3" w:rsidRPr="00331E23">
        <w:t>188</w:t>
      </w:r>
      <w:r w:rsidRPr="00331E23">
        <w:t xml:space="preserve"> million), of which $</w:t>
      </w:r>
      <w:r w:rsidR="0045134F" w:rsidRPr="00331E23">
        <w:t>33</w:t>
      </w:r>
      <w:r w:rsidRPr="00331E23">
        <w:t xml:space="preserve"> million (201</w:t>
      </w:r>
      <w:r w:rsidR="0045134F" w:rsidRPr="00331E23">
        <w:t>9</w:t>
      </w:r>
      <w:r w:rsidRPr="00331E23">
        <w:t>: $</w:t>
      </w:r>
      <w:r w:rsidR="0045134F" w:rsidRPr="00331E23">
        <w:t>37</w:t>
      </w:r>
      <w:r w:rsidRPr="00331E23">
        <w:t> million) related to after-service health insurance</w:t>
      </w:r>
      <w:r w:rsidR="00A47C19" w:rsidRPr="00331E23">
        <w:t xml:space="preserve">, </w:t>
      </w:r>
      <w:r w:rsidR="00C11D49" w:rsidRPr="00331E23">
        <w:t>$</w:t>
      </w:r>
      <w:r w:rsidR="00945F33" w:rsidRPr="00331E23">
        <w:t>36</w:t>
      </w:r>
      <w:r w:rsidR="00C11D49" w:rsidRPr="00331E23">
        <w:t xml:space="preserve"> million (201</w:t>
      </w:r>
      <w:r w:rsidR="00945F33" w:rsidRPr="00331E23">
        <w:t>9</w:t>
      </w:r>
      <w:r w:rsidR="00C11D49" w:rsidRPr="00331E23">
        <w:t>: $</w:t>
      </w:r>
      <w:r w:rsidR="00945F33" w:rsidRPr="00331E23">
        <w:t>34</w:t>
      </w:r>
      <w:r w:rsidR="00C11D49" w:rsidRPr="00331E23">
        <w:t xml:space="preserve"> million) to common services, </w:t>
      </w:r>
      <w:r w:rsidR="0058549D" w:rsidRPr="00331E23">
        <w:t>$</w:t>
      </w:r>
      <w:r w:rsidR="00945F33" w:rsidRPr="00331E23">
        <w:t>34</w:t>
      </w:r>
      <w:r w:rsidR="0058549D" w:rsidRPr="00331E23">
        <w:t xml:space="preserve"> million (201</w:t>
      </w:r>
      <w:r w:rsidR="00945F33" w:rsidRPr="00331E23">
        <w:t>9</w:t>
      </w:r>
      <w:r w:rsidR="0058549D" w:rsidRPr="00331E23">
        <w:t>: $</w:t>
      </w:r>
      <w:r w:rsidR="00945F33" w:rsidRPr="00331E23">
        <w:t>34</w:t>
      </w:r>
      <w:r w:rsidR="00F6508B" w:rsidRPr="00331E23">
        <w:t xml:space="preserve"> million) </w:t>
      </w:r>
      <w:r w:rsidR="00134168" w:rsidRPr="00331E23">
        <w:t xml:space="preserve">to security-related activities, </w:t>
      </w:r>
      <w:r w:rsidR="00A47C19" w:rsidRPr="00331E23">
        <w:t>$</w:t>
      </w:r>
      <w:r w:rsidR="00945F33" w:rsidRPr="00331E23">
        <w:t>17</w:t>
      </w:r>
      <w:r w:rsidR="00A47C19" w:rsidRPr="00331E23">
        <w:t xml:space="preserve"> million</w:t>
      </w:r>
      <w:r w:rsidR="006E0CBA" w:rsidRPr="00331E23">
        <w:t xml:space="preserve"> (201</w:t>
      </w:r>
      <w:r w:rsidR="00945F33" w:rsidRPr="00331E23">
        <w:t>9</w:t>
      </w:r>
      <w:r w:rsidR="006E0CBA" w:rsidRPr="00331E23">
        <w:t>: $</w:t>
      </w:r>
      <w:r w:rsidR="00945F33" w:rsidRPr="00331E23">
        <w:t>19</w:t>
      </w:r>
      <w:r w:rsidR="006E0CBA" w:rsidRPr="00331E23">
        <w:t xml:space="preserve"> million) to the junior professional office programme,</w:t>
      </w:r>
      <w:r w:rsidR="00A47C19" w:rsidRPr="00331E23">
        <w:t xml:space="preserve"> and</w:t>
      </w:r>
      <w:r w:rsidRPr="00331E23">
        <w:t xml:space="preserve"> $</w:t>
      </w:r>
      <w:r w:rsidR="00405868" w:rsidRPr="00331E23">
        <w:t>19</w:t>
      </w:r>
      <w:r w:rsidRPr="00331E23">
        <w:t> million (201</w:t>
      </w:r>
      <w:r w:rsidR="00405868" w:rsidRPr="00331E23">
        <w:t>9</w:t>
      </w:r>
      <w:r w:rsidRPr="00331E23">
        <w:t xml:space="preserve">: </w:t>
      </w:r>
      <w:r w:rsidR="00405868" w:rsidRPr="00331E23">
        <w:t>13</w:t>
      </w:r>
      <w:r w:rsidRPr="00331E23">
        <w:t xml:space="preserve"> million) to currency revaluation and exchange rate fluctuations to voluntary contributions</w:t>
      </w:r>
      <w:r w:rsidR="00975944" w:rsidRPr="00331E23">
        <w:t>, $15 million (2019: $15 million) to the support fee for the Joint Programme, and $13 million (2019: $7 million) to Management Service Agreement related activities</w:t>
      </w:r>
      <w:r w:rsidR="00983301" w:rsidRPr="00331E23">
        <w:t>.</w:t>
      </w:r>
    </w:p>
    <w:p w14:paraId="66696985" w14:textId="3FCCBCF6" w:rsidR="00BE6202" w:rsidRPr="00FB7ECE" w:rsidRDefault="00BE6202" w:rsidP="000578BE">
      <w:pPr>
        <w:pStyle w:val="H4"/>
        <w:tabs>
          <w:tab w:val="clear" w:pos="1742"/>
          <w:tab w:val="left" w:pos="1440"/>
          <w:tab w:val="left" w:pos="1620"/>
        </w:tabs>
        <w:spacing w:before="240" w:after="240" w:line="240" w:lineRule="auto"/>
        <w:ind w:left="1008" w:firstLine="0"/>
        <w:outlineLvl w:val="2"/>
      </w:pPr>
      <w:bookmarkStart w:id="366" w:name="_Toc39596254"/>
      <w:bookmarkStart w:id="367" w:name="_Toc40281203"/>
      <w:bookmarkStart w:id="368" w:name="_Toc40281362"/>
      <w:bookmarkStart w:id="369" w:name="_Toc44499889"/>
      <w:bookmarkStart w:id="370" w:name="_Toc44603237"/>
      <w:bookmarkStart w:id="371" w:name="_Toc44606550"/>
      <w:bookmarkStart w:id="372" w:name="_Toc45297435"/>
      <w:bookmarkStart w:id="373" w:name="_Toc46221146"/>
      <w:bookmarkStart w:id="374" w:name="_Toc46399211"/>
      <w:bookmarkStart w:id="375" w:name="_Toc75466848"/>
      <w:r w:rsidRPr="00FB7ECE">
        <w:t>Regular resources and integrated budget expenditure</w:t>
      </w:r>
      <w:bookmarkEnd w:id="366"/>
      <w:bookmarkEnd w:id="367"/>
      <w:bookmarkEnd w:id="368"/>
      <w:bookmarkEnd w:id="369"/>
      <w:bookmarkEnd w:id="370"/>
      <w:bookmarkEnd w:id="371"/>
      <w:bookmarkEnd w:id="372"/>
      <w:bookmarkEnd w:id="373"/>
      <w:bookmarkEnd w:id="374"/>
      <w:bookmarkEnd w:id="375"/>
    </w:p>
    <w:p w14:paraId="7501FF6F" w14:textId="1049314D" w:rsidR="00BE6202" w:rsidRPr="00FB7ECE" w:rsidRDefault="00BE6202" w:rsidP="00AF3FD4">
      <w:pPr>
        <w:pStyle w:val="ListParagraph"/>
        <w:numPr>
          <w:ilvl w:val="0"/>
          <w:numId w:val="5"/>
        </w:numPr>
        <w:spacing w:before="240" w:after="240" w:line="240" w:lineRule="auto"/>
        <w:ind w:right="1267"/>
        <w:contextualSpacing w:val="0"/>
        <w:jc w:val="both"/>
      </w:pPr>
      <w:r w:rsidRPr="00FB7ECE">
        <w:t>For activities reported in 20</w:t>
      </w:r>
      <w:r w:rsidR="00B942DF">
        <w:t>20</w:t>
      </w:r>
      <w:r w:rsidRPr="00FB7ECE">
        <w:t xml:space="preserve">, UNDP operates within the integrated budget, 2018-2021, as approved by the Executive Board in decision 2017/31, for regular resources-financed activities: (a) programmatic components; and (b) institutional components. </w:t>
      </w:r>
    </w:p>
    <w:p w14:paraId="746336C0" w14:textId="1C426988" w:rsidR="00BE6202" w:rsidRPr="00131CDF" w:rsidRDefault="00BE6202" w:rsidP="00AF3FD4">
      <w:pPr>
        <w:pStyle w:val="ListParagraph"/>
        <w:numPr>
          <w:ilvl w:val="0"/>
          <w:numId w:val="5"/>
        </w:numPr>
        <w:spacing w:before="240" w:after="240" w:line="240" w:lineRule="auto"/>
        <w:ind w:right="1267"/>
        <w:contextualSpacing w:val="0"/>
        <w:jc w:val="both"/>
      </w:pPr>
      <w:r w:rsidRPr="00131CDF">
        <w:t>A</w:t>
      </w:r>
      <w:r w:rsidR="00525415" w:rsidRPr="00131CDF">
        <w:t>ppendix</w:t>
      </w:r>
      <w:r w:rsidRPr="00131CDF">
        <w:t xml:space="preserve"> II and figure </w:t>
      </w:r>
      <w:r w:rsidR="004D4DCC" w:rsidRPr="00131CDF">
        <w:t>V</w:t>
      </w:r>
      <w:r w:rsidRPr="00131CDF">
        <w:t xml:space="preserve"> </w:t>
      </w:r>
      <w:r w:rsidR="00F157B2" w:rsidRPr="00131CDF">
        <w:t>below</w:t>
      </w:r>
      <w:r w:rsidRPr="00131CDF">
        <w:t xml:space="preserve"> compare the final approved budget, covering both programmatic and institutional components, with the actual expenditure amounts, calculated on the same basis as the corresponding budget for regular resources (modified accruals basis). </w:t>
      </w:r>
    </w:p>
    <w:p w14:paraId="2E4AEEA1" w14:textId="70FA28C7" w:rsidR="00474FDC" w:rsidRPr="00131CDF" w:rsidRDefault="00474FDC" w:rsidP="003F5F37">
      <w:pPr>
        <w:keepNext/>
        <w:ind w:left="708" w:hanging="708"/>
        <w:jc w:val="center"/>
        <w:rPr>
          <w:b/>
        </w:rPr>
      </w:pPr>
      <w:r w:rsidRPr="00131CDF">
        <w:rPr>
          <w:b/>
        </w:rPr>
        <w:t xml:space="preserve">Figure </w:t>
      </w:r>
      <w:r w:rsidR="004D4DCC" w:rsidRPr="00131CDF">
        <w:rPr>
          <w:b/>
        </w:rPr>
        <w:t>V</w:t>
      </w:r>
      <w:r w:rsidRPr="00131CDF">
        <w:rPr>
          <w:b/>
        </w:rPr>
        <w:t xml:space="preserve">. Regular resources, comparison of </w:t>
      </w:r>
      <w:r w:rsidR="00417188" w:rsidRPr="00131CDF">
        <w:rPr>
          <w:b/>
        </w:rPr>
        <w:t>budget</w:t>
      </w:r>
      <w:r w:rsidR="00417188" w:rsidRPr="00131CDF" w:rsidDel="002562DB">
        <w:rPr>
          <w:b/>
        </w:rPr>
        <w:t xml:space="preserve"> </w:t>
      </w:r>
      <w:r w:rsidR="00417188" w:rsidRPr="00131CDF">
        <w:rPr>
          <w:b/>
        </w:rPr>
        <w:t xml:space="preserve">to </w:t>
      </w:r>
      <w:r w:rsidRPr="00131CDF">
        <w:rPr>
          <w:b/>
        </w:rPr>
        <w:t xml:space="preserve">actual expenditure, </w:t>
      </w:r>
      <w:r w:rsidR="00033527" w:rsidRPr="00131CDF">
        <w:rPr>
          <w:b/>
        </w:rPr>
        <w:t>2020</w:t>
      </w:r>
    </w:p>
    <w:p w14:paraId="22EBA680" w14:textId="12378970" w:rsidR="00C00EEE" w:rsidRDefault="02E8E41C" w:rsidP="00C00EEE">
      <w:pPr>
        <w:keepNext/>
        <w:jc w:val="center"/>
        <w:rPr>
          <w:i/>
          <w:spacing w:val="2"/>
        </w:rPr>
      </w:pPr>
      <w:r w:rsidRPr="0F9F2C32">
        <w:rPr>
          <w:i/>
          <w:iCs/>
          <w:spacing w:val="2"/>
        </w:rPr>
        <w:t>(in millions of United States dollars)</w:t>
      </w:r>
    </w:p>
    <w:p w14:paraId="6D641772" w14:textId="77A050AC" w:rsidR="00200F19" w:rsidRDefault="00B664C6" w:rsidP="00C00EEE">
      <w:pPr>
        <w:keepNext/>
        <w:jc w:val="center"/>
        <w:rPr>
          <w:i/>
          <w:spacing w:val="2"/>
        </w:rPr>
      </w:pPr>
      <w:r>
        <w:rPr>
          <w:noProof/>
        </w:rPr>
        <w:drawing>
          <wp:anchor distT="0" distB="0" distL="114300" distR="114300" simplePos="0" relativeHeight="251658245" behindDoc="1" locked="0" layoutInCell="1" allowOverlap="1" wp14:anchorId="6DA4EE65" wp14:editId="1EECF7EE">
            <wp:simplePos x="0" y="0"/>
            <wp:positionH relativeFrom="column">
              <wp:posOffset>542925</wp:posOffset>
            </wp:positionH>
            <wp:positionV relativeFrom="paragraph">
              <wp:posOffset>76200</wp:posOffset>
            </wp:positionV>
            <wp:extent cx="5235575" cy="3000375"/>
            <wp:effectExtent l="0" t="0" r="3175" b="9525"/>
            <wp:wrapTight wrapText="bothSides">
              <wp:wrapPolygon edited="0">
                <wp:start x="0" y="0"/>
                <wp:lineTo x="0" y="21531"/>
                <wp:lineTo x="21535" y="21531"/>
                <wp:lineTo x="21535" y="0"/>
                <wp:lineTo x="0" y="0"/>
              </wp:wrapPolygon>
            </wp:wrapTight>
            <wp:docPr id="1872657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25">
                      <a:extLst>
                        <a:ext uri="{28A0092B-C50C-407E-A947-70E740481C1C}">
                          <a14:useLocalDpi xmlns:a14="http://schemas.microsoft.com/office/drawing/2010/main" val="0"/>
                        </a:ext>
                      </a:extLst>
                    </a:blip>
                    <a:stretch>
                      <a:fillRect/>
                    </a:stretch>
                  </pic:blipFill>
                  <pic:spPr>
                    <a:xfrm>
                      <a:off x="0" y="0"/>
                      <a:ext cx="5235575" cy="3000375"/>
                    </a:xfrm>
                    <a:prstGeom prst="rect">
                      <a:avLst/>
                    </a:prstGeom>
                  </pic:spPr>
                </pic:pic>
              </a:graphicData>
            </a:graphic>
            <wp14:sizeRelH relativeFrom="page">
              <wp14:pctWidth>0</wp14:pctWidth>
            </wp14:sizeRelH>
            <wp14:sizeRelV relativeFrom="page">
              <wp14:pctHeight>0</wp14:pctHeight>
            </wp14:sizeRelV>
          </wp:anchor>
        </w:drawing>
      </w:r>
    </w:p>
    <w:p w14:paraId="484ADBD6" w14:textId="2D1AA12E" w:rsidR="00190898" w:rsidRDefault="00190898" w:rsidP="00AF3FD4">
      <w:pPr>
        <w:pStyle w:val="ListParagraph"/>
        <w:numPr>
          <w:ilvl w:val="0"/>
          <w:numId w:val="5"/>
        </w:numPr>
        <w:spacing w:before="240" w:after="240" w:line="240" w:lineRule="auto"/>
        <w:ind w:right="1267"/>
        <w:contextualSpacing w:val="0"/>
        <w:jc w:val="both"/>
      </w:pPr>
      <w:r w:rsidRPr="00030DD4">
        <w:t>UNDP</w:t>
      </w:r>
      <w:r>
        <w:t>’s</w:t>
      </w:r>
      <w:r w:rsidRPr="00030DD4">
        <w:t xml:space="preserve"> performance in 20</w:t>
      </w:r>
      <w:r w:rsidR="00200F19">
        <w:t>20</w:t>
      </w:r>
      <w:r w:rsidRPr="00030DD4">
        <w:t xml:space="preserve"> should be considered against the backdrop of two contexts: </w:t>
      </w:r>
    </w:p>
    <w:p w14:paraId="7AE07110" w14:textId="03CD71CC" w:rsidR="00190898" w:rsidRDefault="00190898" w:rsidP="005F648C">
      <w:pPr>
        <w:pStyle w:val="ListParagraph"/>
        <w:numPr>
          <w:ilvl w:val="0"/>
          <w:numId w:val="11"/>
        </w:numPr>
        <w:tabs>
          <w:tab w:val="left" w:pos="1267"/>
          <w:tab w:val="left" w:pos="1530"/>
          <w:tab w:val="left" w:pos="2693"/>
          <w:tab w:val="left" w:pos="3182"/>
          <w:tab w:val="left" w:pos="3658"/>
          <w:tab w:val="left" w:pos="4133"/>
          <w:tab w:val="left" w:pos="4622"/>
          <w:tab w:val="left" w:pos="5098"/>
          <w:tab w:val="left" w:pos="5573"/>
          <w:tab w:val="left" w:pos="6048"/>
        </w:tabs>
        <w:spacing w:before="120" w:after="120" w:line="240" w:lineRule="auto"/>
        <w:ind w:left="2059" w:right="1267"/>
        <w:contextualSpacing w:val="0"/>
        <w:jc w:val="both"/>
      </w:pPr>
      <w:r>
        <w:lastRenderedPageBreak/>
        <w:t>T</w:t>
      </w:r>
      <w:r w:rsidRPr="00DF6999">
        <w:t>he overarching objective of the UNDP budget was to ensure financial sustainability with respect to the institutional and programmatic components, achieve a better equilibrium between regular and other resources</w:t>
      </w:r>
      <w:r w:rsidR="006524B0">
        <w:t>,</w:t>
      </w:r>
      <w:r w:rsidRPr="00DF6999">
        <w:t xml:space="preserve"> and increase productivity over time; and </w:t>
      </w:r>
    </w:p>
    <w:p w14:paraId="0F5E683A" w14:textId="73E90160" w:rsidR="00190898" w:rsidRPr="00DF6999" w:rsidRDefault="00190898" w:rsidP="005F648C">
      <w:pPr>
        <w:pStyle w:val="ListParagraph"/>
        <w:numPr>
          <w:ilvl w:val="0"/>
          <w:numId w:val="11"/>
        </w:numPr>
        <w:tabs>
          <w:tab w:val="left" w:pos="1267"/>
          <w:tab w:val="left" w:pos="1530"/>
          <w:tab w:val="left" w:pos="2693"/>
          <w:tab w:val="left" w:pos="3182"/>
          <w:tab w:val="left" w:pos="3658"/>
          <w:tab w:val="left" w:pos="4133"/>
          <w:tab w:val="left" w:pos="4622"/>
          <w:tab w:val="left" w:pos="5098"/>
          <w:tab w:val="left" w:pos="5573"/>
          <w:tab w:val="left" w:pos="6048"/>
        </w:tabs>
        <w:spacing w:before="120" w:after="120" w:line="240" w:lineRule="auto"/>
        <w:ind w:left="2059" w:right="1267"/>
        <w:contextualSpacing w:val="0"/>
        <w:jc w:val="both"/>
      </w:pPr>
      <w:r w:rsidRPr="00DF6999">
        <w:t>General Assembly resolution 72/279 of 31 May 2018 on the repositioning of the United Nations development system</w:t>
      </w:r>
      <w:r>
        <w:t>.</w:t>
      </w:r>
      <w:r w:rsidRPr="00DF6999">
        <w:t xml:space="preserve"> UNDP continued to support the functioning of the independent and reinvigorated resident coordinator system, helping to ensure that </w:t>
      </w:r>
      <w:r w:rsidR="00DD37B3">
        <w:t>R</w:t>
      </w:r>
      <w:r w:rsidRPr="00DF6999">
        <w:t xml:space="preserve">esident </w:t>
      </w:r>
      <w:r w:rsidR="00DD37B3">
        <w:t>C</w:t>
      </w:r>
      <w:r w:rsidRPr="00DF6999">
        <w:t xml:space="preserve">oordinators and their offices are able to carry out their critical coordination functions seamlessly. At the same time, UNDP maintained its business continuity and continued successfully to drive forward the Strategic Plan, 2018-2021. </w:t>
      </w:r>
    </w:p>
    <w:p w14:paraId="28F207F5" w14:textId="2E3FD2DA" w:rsidR="00474FDC" w:rsidRPr="000E57AE" w:rsidRDefault="00190898" w:rsidP="00AF3FD4">
      <w:pPr>
        <w:pStyle w:val="ListParagraph"/>
        <w:numPr>
          <w:ilvl w:val="0"/>
          <w:numId w:val="5"/>
        </w:numPr>
        <w:spacing w:before="240" w:after="240" w:line="240" w:lineRule="auto"/>
        <w:ind w:right="1267"/>
        <w:contextualSpacing w:val="0"/>
        <w:jc w:val="both"/>
      </w:pPr>
      <w:r w:rsidRPr="00030DD4">
        <w:t xml:space="preserve">Table </w:t>
      </w:r>
      <w:r w:rsidRPr="00190898">
        <w:t>5</w:t>
      </w:r>
      <w:r w:rsidR="00ED60B8">
        <w:t xml:space="preserve"> below </w:t>
      </w:r>
      <w:r w:rsidRPr="00030DD4">
        <w:t>compares actual expenditures for 20</w:t>
      </w:r>
      <w:r w:rsidR="008F6661">
        <w:t>19</w:t>
      </w:r>
      <w:r w:rsidRPr="00030DD4">
        <w:t xml:space="preserve"> and 20</w:t>
      </w:r>
      <w:r w:rsidR="008F6661">
        <w:t>20</w:t>
      </w:r>
      <w:r w:rsidRPr="00030DD4">
        <w:t>. In 20</w:t>
      </w:r>
      <w:r w:rsidR="008F6661">
        <w:t>20</w:t>
      </w:r>
      <w:r w:rsidRPr="00030DD4">
        <w:t>, the share of regular resources spent for institutional activities was $</w:t>
      </w:r>
      <w:r w:rsidR="008F6661">
        <w:t>216</w:t>
      </w:r>
      <w:r w:rsidRPr="00030DD4">
        <w:t xml:space="preserve"> million, which was $</w:t>
      </w:r>
      <w:r w:rsidR="00001904">
        <w:t>11</w:t>
      </w:r>
      <w:r w:rsidRPr="00030DD4">
        <w:t xml:space="preserve"> million or </w:t>
      </w:r>
      <w:r w:rsidR="00001904">
        <w:t>5</w:t>
      </w:r>
      <w:r w:rsidRPr="00030DD4">
        <w:t xml:space="preserve"> per cent </w:t>
      </w:r>
      <w:r w:rsidR="00001904">
        <w:t>less</w:t>
      </w:r>
      <w:r w:rsidR="00AB64C9">
        <w:t>,</w:t>
      </w:r>
      <w:r w:rsidRPr="00030DD4">
        <w:t xml:space="preserve"> compared to $</w:t>
      </w:r>
      <w:r w:rsidR="00001904">
        <w:t>227</w:t>
      </w:r>
      <w:r w:rsidRPr="00030DD4">
        <w:t xml:space="preserve"> million in 20</w:t>
      </w:r>
      <w:r w:rsidR="00001904">
        <w:t>19</w:t>
      </w:r>
      <w:r w:rsidRPr="00030DD4">
        <w:t>. The share of regular resources spent for programmatic activities was $</w:t>
      </w:r>
      <w:r w:rsidR="00460C80">
        <w:t>488</w:t>
      </w:r>
      <w:r w:rsidRPr="00030DD4">
        <w:t xml:space="preserve"> million, which was $</w:t>
      </w:r>
      <w:r w:rsidR="00460C80">
        <w:t>48</w:t>
      </w:r>
      <w:r w:rsidRPr="00030DD4">
        <w:t xml:space="preserve"> million or </w:t>
      </w:r>
      <w:r w:rsidR="00460C80">
        <w:t>11</w:t>
      </w:r>
      <w:r w:rsidRPr="00030DD4">
        <w:t> per cent more</w:t>
      </w:r>
      <w:r w:rsidR="00AB64C9">
        <w:t>,</w:t>
      </w:r>
      <w:r w:rsidRPr="00030DD4">
        <w:t xml:space="preserve"> compared to $</w:t>
      </w:r>
      <w:r w:rsidR="00460C80">
        <w:t>440</w:t>
      </w:r>
      <w:r w:rsidRPr="00030DD4">
        <w:t xml:space="preserve"> million in 20</w:t>
      </w:r>
      <w:r w:rsidR="00460C80">
        <w:t>19</w:t>
      </w:r>
      <w:r w:rsidRPr="00030DD4">
        <w:t>.</w:t>
      </w:r>
    </w:p>
    <w:p w14:paraId="682806A3" w14:textId="53B5B4E7" w:rsidR="00474FDC" w:rsidRPr="00CF5ABA" w:rsidRDefault="00474FDC" w:rsidP="003E18FC">
      <w:pPr>
        <w:keepNext/>
        <w:ind w:left="708" w:hanging="708"/>
        <w:jc w:val="center"/>
        <w:rPr>
          <w:b/>
        </w:rPr>
      </w:pPr>
      <w:bookmarkStart w:id="376" w:name="_Toc46221147"/>
      <w:r w:rsidRPr="00CF5ABA">
        <w:rPr>
          <w:b/>
        </w:rPr>
        <w:t xml:space="preserve">Table </w:t>
      </w:r>
      <w:r w:rsidR="00C9140A" w:rsidRPr="00CF5ABA">
        <w:rPr>
          <w:b/>
        </w:rPr>
        <w:t>5</w:t>
      </w:r>
      <w:r w:rsidRPr="00CF5ABA">
        <w:rPr>
          <w:b/>
        </w:rPr>
        <w:t>. Integrated budget expenditure, by cost classification category, 20</w:t>
      </w:r>
      <w:r w:rsidR="00CF5ABA">
        <w:rPr>
          <w:b/>
        </w:rPr>
        <w:t>19</w:t>
      </w:r>
      <w:r w:rsidRPr="00CF5ABA">
        <w:rPr>
          <w:b/>
        </w:rPr>
        <w:t>-20</w:t>
      </w:r>
      <w:bookmarkEnd w:id="376"/>
      <w:r w:rsidR="00CF5ABA">
        <w:rPr>
          <w:b/>
        </w:rPr>
        <w:t>20</w:t>
      </w:r>
    </w:p>
    <w:p w14:paraId="62938F3D" w14:textId="5FB4393E" w:rsidR="00474FDC" w:rsidRPr="000C4DE4" w:rsidRDefault="00474FDC" w:rsidP="003F5F37">
      <w:pPr>
        <w:pStyle w:val="SingleTxt"/>
        <w:keepNext/>
        <w:spacing w:after="0" w:line="200" w:lineRule="exact"/>
        <w:jc w:val="center"/>
        <w:rPr>
          <w:i/>
          <w:spacing w:val="2"/>
        </w:rPr>
      </w:pPr>
      <w:r w:rsidRPr="00CF5ABA">
        <w:rPr>
          <w:i/>
          <w:spacing w:val="2"/>
        </w:rPr>
        <w:t xml:space="preserve">(in millions of </w:t>
      </w:r>
      <w:r w:rsidR="000C4DE4" w:rsidRPr="00CF5ABA">
        <w:rPr>
          <w:i/>
          <w:spacing w:val="2"/>
        </w:rPr>
        <w:t xml:space="preserve">United States </w:t>
      </w:r>
      <w:r w:rsidRPr="00CF5ABA">
        <w:rPr>
          <w:i/>
          <w:spacing w:val="2"/>
        </w:rPr>
        <w:t>dollars)</w:t>
      </w:r>
    </w:p>
    <w:p w14:paraId="51EB0E98" w14:textId="77777777" w:rsidR="00474FDC" w:rsidRPr="000E57AE" w:rsidRDefault="00474FDC" w:rsidP="003F5F37">
      <w:pPr>
        <w:pStyle w:val="SingleTxt"/>
        <w:keepNext/>
        <w:spacing w:after="0" w:line="120" w:lineRule="exact"/>
        <w:rPr>
          <w:sz w:val="10"/>
          <w:szCs w:val="14"/>
        </w:rPr>
      </w:pPr>
    </w:p>
    <w:p w14:paraId="419BCB97" w14:textId="3494CCA1" w:rsidR="00474FDC" w:rsidRPr="000E57AE" w:rsidRDefault="00474FDC" w:rsidP="003F5F37">
      <w:pPr>
        <w:pStyle w:val="SingleTxt"/>
        <w:keepNext/>
        <w:spacing w:after="0" w:line="120" w:lineRule="exact"/>
        <w:rPr>
          <w:sz w:val="10"/>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1530"/>
        <w:gridCol w:w="1530"/>
      </w:tblGrid>
      <w:tr w:rsidR="00CF5ABA" w:rsidRPr="000E57AE" w14:paraId="40A24E0D" w14:textId="77777777" w:rsidTr="0032253F">
        <w:trPr>
          <w:trHeight w:val="354"/>
          <w:jc w:val="center"/>
        </w:trPr>
        <w:tc>
          <w:tcPr>
            <w:tcW w:w="2765" w:type="dxa"/>
            <w:shd w:val="clear" w:color="auto" w:fill="auto"/>
            <w:vAlign w:val="center"/>
          </w:tcPr>
          <w:p w14:paraId="10DE28B0" w14:textId="77777777" w:rsidR="00CF5ABA" w:rsidRPr="000E57AE" w:rsidRDefault="00CF5ABA" w:rsidP="00CF5ABA">
            <w:pPr>
              <w:keepNext/>
              <w:spacing w:line="276" w:lineRule="auto"/>
              <w:jc w:val="center"/>
              <w:rPr>
                <w:b/>
                <w:sz w:val="16"/>
                <w:szCs w:val="16"/>
              </w:rPr>
            </w:pPr>
            <w:r w:rsidRPr="000E57AE">
              <w:rPr>
                <w:b/>
                <w:sz w:val="16"/>
                <w:szCs w:val="16"/>
              </w:rPr>
              <w:t>Regular resources</w:t>
            </w:r>
          </w:p>
        </w:tc>
        <w:tc>
          <w:tcPr>
            <w:tcW w:w="1530" w:type="dxa"/>
          </w:tcPr>
          <w:p w14:paraId="7947020E" w14:textId="196C5DC3" w:rsidR="00CF5ABA" w:rsidRDefault="00CF5ABA" w:rsidP="00CF5ABA">
            <w:pPr>
              <w:keepNext/>
              <w:spacing w:line="276" w:lineRule="auto"/>
              <w:jc w:val="center"/>
              <w:rPr>
                <w:b/>
                <w:sz w:val="16"/>
                <w:szCs w:val="16"/>
              </w:rPr>
            </w:pPr>
            <w:r>
              <w:rPr>
                <w:b/>
                <w:sz w:val="16"/>
                <w:szCs w:val="16"/>
              </w:rPr>
              <w:t>2020 actual</w:t>
            </w:r>
          </w:p>
          <w:p w14:paraId="093BDDA9" w14:textId="1BCA4F74" w:rsidR="00CF5ABA" w:rsidRPr="000E57AE" w:rsidRDefault="00CF5ABA" w:rsidP="00CF5ABA">
            <w:pPr>
              <w:keepNext/>
              <w:spacing w:line="276" w:lineRule="auto"/>
              <w:jc w:val="center"/>
              <w:rPr>
                <w:b/>
                <w:sz w:val="16"/>
                <w:szCs w:val="16"/>
              </w:rPr>
            </w:pPr>
            <w:r>
              <w:rPr>
                <w:b/>
                <w:sz w:val="16"/>
                <w:szCs w:val="16"/>
              </w:rPr>
              <w:t>expenditures</w:t>
            </w:r>
          </w:p>
        </w:tc>
        <w:tc>
          <w:tcPr>
            <w:tcW w:w="1530" w:type="dxa"/>
            <w:shd w:val="clear" w:color="auto" w:fill="auto"/>
          </w:tcPr>
          <w:p w14:paraId="73639C4E" w14:textId="77777777" w:rsidR="00CF5ABA" w:rsidRDefault="00CF5ABA" w:rsidP="00CF5ABA">
            <w:pPr>
              <w:keepNext/>
              <w:spacing w:line="276" w:lineRule="auto"/>
              <w:jc w:val="center"/>
              <w:rPr>
                <w:b/>
                <w:sz w:val="16"/>
                <w:szCs w:val="16"/>
              </w:rPr>
            </w:pPr>
            <w:r>
              <w:rPr>
                <w:b/>
                <w:sz w:val="16"/>
                <w:szCs w:val="16"/>
              </w:rPr>
              <w:t>2019 actual</w:t>
            </w:r>
          </w:p>
          <w:p w14:paraId="35CBB0B2" w14:textId="4F70405D" w:rsidR="00CF5ABA" w:rsidRPr="000E57AE" w:rsidRDefault="00CF5ABA" w:rsidP="00CF5ABA">
            <w:pPr>
              <w:keepNext/>
              <w:spacing w:line="276" w:lineRule="auto"/>
              <w:jc w:val="center"/>
              <w:rPr>
                <w:b/>
                <w:sz w:val="16"/>
                <w:szCs w:val="16"/>
              </w:rPr>
            </w:pPr>
            <w:r>
              <w:rPr>
                <w:b/>
                <w:sz w:val="16"/>
                <w:szCs w:val="16"/>
              </w:rPr>
              <w:t>expenditures</w:t>
            </w:r>
          </w:p>
        </w:tc>
      </w:tr>
      <w:tr w:rsidR="00CF5ABA" w:rsidRPr="000E57AE" w14:paraId="1C128177" w14:textId="77777777" w:rsidTr="0032253F">
        <w:trPr>
          <w:trHeight w:val="216"/>
          <w:jc w:val="center"/>
        </w:trPr>
        <w:tc>
          <w:tcPr>
            <w:tcW w:w="2765" w:type="dxa"/>
            <w:tcBorders>
              <w:top w:val="nil"/>
              <w:left w:val="single" w:sz="4" w:space="0" w:color="auto"/>
              <w:bottom w:val="dotted" w:sz="4" w:space="0" w:color="auto"/>
              <w:right w:val="nil"/>
            </w:tcBorders>
            <w:shd w:val="clear" w:color="auto" w:fill="auto"/>
            <w:vAlign w:val="bottom"/>
          </w:tcPr>
          <w:p w14:paraId="2D990E42" w14:textId="77777777" w:rsidR="00CF5ABA" w:rsidRPr="000E57AE" w:rsidRDefault="00CF5ABA" w:rsidP="00CF5ABA">
            <w:pPr>
              <w:keepNext/>
              <w:spacing w:line="276" w:lineRule="auto"/>
              <w:jc w:val="both"/>
              <w:rPr>
                <w:sz w:val="16"/>
              </w:rPr>
            </w:pPr>
            <w:r w:rsidRPr="000E57AE">
              <w:rPr>
                <w:rFonts w:eastAsia="Times New Roman"/>
                <w:color w:val="000000"/>
                <w:spacing w:val="0"/>
                <w:w w:val="100"/>
                <w:kern w:val="0"/>
                <w:sz w:val="16"/>
              </w:rPr>
              <w:t>Programmatic component</w:t>
            </w:r>
          </w:p>
        </w:tc>
        <w:tc>
          <w:tcPr>
            <w:tcW w:w="1530" w:type="dxa"/>
            <w:tcBorders>
              <w:top w:val="nil"/>
              <w:left w:val="single" w:sz="4" w:space="0" w:color="auto"/>
              <w:bottom w:val="dotted" w:sz="4" w:space="0" w:color="auto"/>
              <w:right w:val="single" w:sz="4" w:space="0" w:color="auto"/>
            </w:tcBorders>
          </w:tcPr>
          <w:p w14:paraId="2DAA4F29" w14:textId="6D55AF9E" w:rsidR="00CF5ABA" w:rsidRPr="000E57AE" w:rsidRDefault="00CF5ABA" w:rsidP="00CF5ABA">
            <w:pPr>
              <w:keepNext/>
              <w:spacing w:line="276" w:lineRule="auto"/>
              <w:jc w:val="right"/>
              <w:rPr>
                <w:rFonts w:eastAsia="Times New Roman"/>
                <w:color w:val="000000"/>
                <w:spacing w:val="0"/>
                <w:w w:val="100"/>
                <w:kern w:val="0"/>
                <w:sz w:val="16"/>
              </w:rPr>
            </w:pPr>
            <w:r>
              <w:rPr>
                <w:rFonts w:eastAsia="Times New Roman"/>
                <w:color w:val="000000"/>
                <w:spacing w:val="0"/>
                <w:w w:val="100"/>
                <w:kern w:val="0"/>
                <w:sz w:val="16"/>
              </w:rPr>
              <w:t>488</w:t>
            </w:r>
          </w:p>
        </w:tc>
        <w:tc>
          <w:tcPr>
            <w:tcW w:w="1530" w:type="dxa"/>
            <w:tcBorders>
              <w:top w:val="nil"/>
              <w:left w:val="single" w:sz="4" w:space="0" w:color="auto"/>
              <w:bottom w:val="dotted" w:sz="4" w:space="0" w:color="auto"/>
              <w:right w:val="single" w:sz="4" w:space="0" w:color="auto"/>
            </w:tcBorders>
            <w:shd w:val="clear" w:color="auto" w:fill="auto"/>
          </w:tcPr>
          <w:p w14:paraId="63C4C308" w14:textId="6EEC7034" w:rsidR="00CF5ABA" w:rsidRPr="000E57AE" w:rsidRDefault="00CF5ABA" w:rsidP="00CF5ABA">
            <w:pPr>
              <w:keepNext/>
              <w:spacing w:line="276" w:lineRule="auto"/>
              <w:jc w:val="right"/>
              <w:rPr>
                <w:sz w:val="16"/>
              </w:rPr>
            </w:pPr>
            <w:r>
              <w:rPr>
                <w:rFonts w:eastAsia="Times New Roman"/>
                <w:color w:val="000000"/>
                <w:spacing w:val="0"/>
                <w:w w:val="100"/>
                <w:kern w:val="0"/>
                <w:sz w:val="16"/>
              </w:rPr>
              <w:t>440</w:t>
            </w:r>
          </w:p>
        </w:tc>
      </w:tr>
      <w:tr w:rsidR="00CF5ABA" w:rsidRPr="000E57AE" w14:paraId="3B926535" w14:textId="77777777" w:rsidTr="0032253F">
        <w:trPr>
          <w:trHeight w:val="216"/>
          <w:jc w:val="center"/>
        </w:trPr>
        <w:tc>
          <w:tcPr>
            <w:tcW w:w="2765" w:type="dxa"/>
            <w:tcBorders>
              <w:top w:val="nil"/>
              <w:left w:val="single" w:sz="4" w:space="0" w:color="auto"/>
              <w:bottom w:val="nil"/>
              <w:right w:val="nil"/>
            </w:tcBorders>
            <w:shd w:val="clear" w:color="auto" w:fill="auto"/>
            <w:vAlign w:val="bottom"/>
          </w:tcPr>
          <w:p w14:paraId="0CFD7944" w14:textId="77777777" w:rsidR="00CF5ABA" w:rsidRPr="000E57AE" w:rsidRDefault="00CF5ABA" w:rsidP="00CF5ABA">
            <w:pPr>
              <w:keepNext/>
              <w:spacing w:line="276" w:lineRule="auto"/>
              <w:jc w:val="both"/>
              <w:rPr>
                <w:sz w:val="16"/>
              </w:rPr>
            </w:pPr>
            <w:r w:rsidRPr="000E57AE">
              <w:rPr>
                <w:rFonts w:eastAsia="Times New Roman"/>
                <w:color w:val="000000"/>
                <w:spacing w:val="0"/>
                <w:w w:val="100"/>
                <w:kern w:val="0"/>
                <w:sz w:val="16"/>
              </w:rPr>
              <w:t>Institutional component</w:t>
            </w:r>
          </w:p>
        </w:tc>
        <w:tc>
          <w:tcPr>
            <w:tcW w:w="1530" w:type="dxa"/>
            <w:tcBorders>
              <w:top w:val="nil"/>
              <w:left w:val="single" w:sz="4" w:space="0" w:color="auto"/>
              <w:bottom w:val="nil"/>
              <w:right w:val="single" w:sz="4" w:space="0" w:color="auto"/>
            </w:tcBorders>
          </w:tcPr>
          <w:p w14:paraId="676F1079" w14:textId="0B3F3FEE" w:rsidR="00CF5ABA" w:rsidRPr="000E57AE" w:rsidRDefault="00CF5ABA" w:rsidP="00CF5ABA">
            <w:pPr>
              <w:keepNext/>
              <w:spacing w:line="276" w:lineRule="auto"/>
              <w:jc w:val="right"/>
              <w:rPr>
                <w:rFonts w:eastAsia="Times New Roman"/>
                <w:color w:val="000000"/>
                <w:spacing w:val="0"/>
                <w:w w:val="100"/>
                <w:kern w:val="0"/>
                <w:sz w:val="16"/>
              </w:rPr>
            </w:pPr>
            <w:r>
              <w:rPr>
                <w:rFonts w:eastAsia="Times New Roman"/>
                <w:color w:val="000000"/>
                <w:spacing w:val="0"/>
                <w:w w:val="100"/>
                <w:kern w:val="0"/>
                <w:sz w:val="16"/>
              </w:rPr>
              <w:t>216</w:t>
            </w:r>
          </w:p>
        </w:tc>
        <w:tc>
          <w:tcPr>
            <w:tcW w:w="1530" w:type="dxa"/>
            <w:tcBorders>
              <w:top w:val="nil"/>
              <w:left w:val="single" w:sz="4" w:space="0" w:color="auto"/>
              <w:bottom w:val="nil"/>
              <w:right w:val="single" w:sz="4" w:space="0" w:color="auto"/>
            </w:tcBorders>
            <w:shd w:val="clear" w:color="auto" w:fill="auto"/>
          </w:tcPr>
          <w:p w14:paraId="7321E0AB" w14:textId="3D9B5EE6" w:rsidR="00CF5ABA" w:rsidRPr="000E57AE" w:rsidRDefault="00CF5ABA" w:rsidP="00CF5ABA">
            <w:pPr>
              <w:keepNext/>
              <w:spacing w:line="276" w:lineRule="auto"/>
              <w:jc w:val="right"/>
              <w:rPr>
                <w:sz w:val="16"/>
              </w:rPr>
            </w:pPr>
            <w:r>
              <w:rPr>
                <w:rFonts w:eastAsia="Times New Roman"/>
                <w:color w:val="000000"/>
                <w:spacing w:val="0"/>
                <w:w w:val="100"/>
                <w:kern w:val="0"/>
                <w:sz w:val="16"/>
              </w:rPr>
              <w:t>227</w:t>
            </w:r>
          </w:p>
        </w:tc>
      </w:tr>
      <w:tr w:rsidR="00CF5ABA" w:rsidRPr="000E57AE" w14:paraId="0C2B6BDE" w14:textId="77777777" w:rsidTr="0032253F">
        <w:trPr>
          <w:trHeight w:val="216"/>
          <w:jc w:val="center"/>
        </w:trPr>
        <w:tc>
          <w:tcPr>
            <w:tcW w:w="2765" w:type="dxa"/>
            <w:tcBorders>
              <w:top w:val="single" w:sz="4" w:space="0" w:color="auto"/>
              <w:left w:val="single" w:sz="4" w:space="0" w:color="auto"/>
              <w:bottom w:val="single" w:sz="4" w:space="0" w:color="auto"/>
              <w:right w:val="nil"/>
            </w:tcBorders>
            <w:shd w:val="clear" w:color="auto" w:fill="auto"/>
            <w:vAlign w:val="bottom"/>
          </w:tcPr>
          <w:p w14:paraId="7A417D97" w14:textId="77777777" w:rsidR="00CF5ABA" w:rsidRPr="000E57AE" w:rsidRDefault="00CF5ABA" w:rsidP="00CF5ABA">
            <w:pPr>
              <w:keepNext/>
              <w:spacing w:line="276" w:lineRule="auto"/>
              <w:jc w:val="both"/>
              <w:rPr>
                <w:b/>
                <w:i/>
                <w:sz w:val="16"/>
              </w:rPr>
            </w:pPr>
            <w:r w:rsidRPr="000E57AE">
              <w:rPr>
                <w:rFonts w:eastAsia="Times New Roman"/>
                <w:b/>
                <w:bCs/>
                <w:i/>
                <w:iCs/>
                <w:color w:val="000000"/>
                <w:spacing w:val="0"/>
                <w:w w:val="100"/>
                <w:kern w:val="0"/>
                <w:sz w:val="16"/>
              </w:rPr>
              <w:t>Total</w:t>
            </w:r>
          </w:p>
        </w:tc>
        <w:tc>
          <w:tcPr>
            <w:tcW w:w="1530" w:type="dxa"/>
            <w:tcBorders>
              <w:top w:val="single" w:sz="4" w:space="0" w:color="auto"/>
              <w:left w:val="single" w:sz="4" w:space="0" w:color="auto"/>
              <w:bottom w:val="single" w:sz="4" w:space="0" w:color="auto"/>
              <w:right w:val="single" w:sz="4" w:space="0" w:color="auto"/>
            </w:tcBorders>
          </w:tcPr>
          <w:p w14:paraId="22548332" w14:textId="148446EF" w:rsidR="00CF5ABA" w:rsidRPr="000E57AE" w:rsidRDefault="00CF5ABA" w:rsidP="00CF5ABA">
            <w:pPr>
              <w:keepNext/>
              <w:spacing w:line="276" w:lineRule="auto"/>
              <w:jc w:val="right"/>
              <w:rPr>
                <w:rFonts w:eastAsia="Times New Roman"/>
                <w:b/>
                <w:bCs/>
                <w:color w:val="000000"/>
                <w:spacing w:val="0"/>
                <w:w w:val="100"/>
                <w:kern w:val="0"/>
                <w:sz w:val="16"/>
              </w:rPr>
            </w:pPr>
            <w:r>
              <w:rPr>
                <w:rFonts w:eastAsia="Times New Roman"/>
                <w:b/>
                <w:bCs/>
                <w:color w:val="000000"/>
                <w:spacing w:val="0"/>
                <w:w w:val="100"/>
                <w:kern w:val="0"/>
                <w:sz w:val="16"/>
              </w:rPr>
              <w:t>704</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D7BF3CE" w14:textId="34E38451" w:rsidR="00CF5ABA" w:rsidRPr="000E57AE" w:rsidRDefault="00CF5ABA" w:rsidP="00CF5ABA">
            <w:pPr>
              <w:keepNext/>
              <w:spacing w:line="276" w:lineRule="auto"/>
              <w:jc w:val="right"/>
              <w:rPr>
                <w:b/>
                <w:sz w:val="16"/>
              </w:rPr>
            </w:pPr>
            <w:r>
              <w:rPr>
                <w:rFonts w:eastAsia="Times New Roman"/>
                <w:b/>
                <w:bCs/>
                <w:color w:val="000000"/>
                <w:spacing w:val="0"/>
                <w:w w:val="100"/>
                <w:kern w:val="0"/>
                <w:sz w:val="16"/>
              </w:rPr>
              <w:t>667</w:t>
            </w:r>
          </w:p>
        </w:tc>
      </w:tr>
      <w:tr w:rsidR="0091272B" w:rsidRPr="000E57AE" w14:paraId="1464586B" w14:textId="77777777" w:rsidTr="0091272B">
        <w:trPr>
          <w:gridAfter w:val="1"/>
          <w:wAfter w:w="1530" w:type="dxa"/>
          <w:trHeight w:val="20"/>
          <w:jc w:val="center"/>
        </w:trPr>
        <w:tc>
          <w:tcPr>
            <w:tcW w:w="2765" w:type="dxa"/>
            <w:tcBorders>
              <w:left w:val="nil"/>
              <w:bottom w:val="single" w:sz="4" w:space="0" w:color="auto"/>
              <w:right w:val="nil"/>
            </w:tcBorders>
            <w:shd w:val="clear" w:color="auto" w:fill="auto"/>
            <w:vAlign w:val="center"/>
          </w:tcPr>
          <w:p w14:paraId="78D5ED73" w14:textId="77777777" w:rsidR="0091272B" w:rsidRPr="000E57AE" w:rsidRDefault="0091272B" w:rsidP="003F5F37">
            <w:pPr>
              <w:keepNext/>
              <w:spacing w:line="276" w:lineRule="auto"/>
              <w:rPr>
                <w:b/>
                <w:sz w:val="16"/>
              </w:rPr>
            </w:pPr>
          </w:p>
        </w:tc>
        <w:tc>
          <w:tcPr>
            <w:tcW w:w="1530" w:type="dxa"/>
            <w:tcBorders>
              <w:left w:val="nil"/>
              <w:bottom w:val="single" w:sz="4" w:space="0" w:color="auto"/>
              <w:right w:val="nil"/>
            </w:tcBorders>
          </w:tcPr>
          <w:p w14:paraId="0900743A" w14:textId="77777777" w:rsidR="0091272B" w:rsidRPr="000E57AE" w:rsidRDefault="0091272B" w:rsidP="003F5F37">
            <w:pPr>
              <w:keepNext/>
              <w:spacing w:line="276" w:lineRule="auto"/>
              <w:jc w:val="center"/>
              <w:rPr>
                <w:b/>
                <w:sz w:val="16"/>
              </w:rPr>
            </w:pPr>
          </w:p>
        </w:tc>
      </w:tr>
      <w:tr w:rsidR="00CF5ABA" w:rsidRPr="000E57AE" w14:paraId="4146B866" w14:textId="77777777" w:rsidTr="0032253F">
        <w:trPr>
          <w:trHeight w:val="264"/>
          <w:jc w:val="center"/>
        </w:trPr>
        <w:tc>
          <w:tcPr>
            <w:tcW w:w="2765" w:type="dxa"/>
            <w:tcBorders>
              <w:top w:val="single" w:sz="4" w:space="0" w:color="auto"/>
              <w:left w:val="single" w:sz="4" w:space="0" w:color="auto"/>
              <w:bottom w:val="single" w:sz="4" w:space="0" w:color="auto"/>
              <w:right w:val="nil"/>
            </w:tcBorders>
            <w:shd w:val="clear" w:color="auto" w:fill="FFFFFF" w:themeFill="background1"/>
            <w:vAlign w:val="center"/>
          </w:tcPr>
          <w:p w14:paraId="68A0CBA6" w14:textId="77777777" w:rsidR="00CF5ABA" w:rsidRPr="000E57AE" w:rsidRDefault="00CF5ABA" w:rsidP="00CF5ABA">
            <w:pPr>
              <w:keepNext/>
              <w:spacing w:line="276" w:lineRule="auto"/>
              <w:jc w:val="center"/>
              <w:rPr>
                <w:b/>
                <w:sz w:val="16"/>
                <w:szCs w:val="16"/>
              </w:rPr>
            </w:pPr>
            <w:r w:rsidRPr="000E57AE">
              <w:rPr>
                <w:b/>
                <w:sz w:val="16"/>
                <w:szCs w:val="16"/>
              </w:rPr>
              <w:t>Cost classification category</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010193AF" w14:textId="31A1FE84" w:rsidR="00CF5ABA" w:rsidRDefault="00CF5ABA" w:rsidP="00CF5ABA">
            <w:pPr>
              <w:keepNext/>
              <w:spacing w:line="276" w:lineRule="auto"/>
              <w:jc w:val="center"/>
              <w:rPr>
                <w:b/>
                <w:sz w:val="16"/>
                <w:szCs w:val="16"/>
              </w:rPr>
            </w:pPr>
            <w:r>
              <w:rPr>
                <w:b/>
                <w:sz w:val="16"/>
                <w:szCs w:val="16"/>
              </w:rPr>
              <w:t>2020 actual</w:t>
            </w:r>
          </w:p>
          <w:p w14:paraId="02554D61" w14:textId="7B6D48A7" w:rsidR="00CF5ABA" w:rsidRPr="000E57AE" w:rsidRDefault="00CF5ABA" w:rsidP="00CF5ABA">
            <w:pPr>
              <w:keepNext/>
              <w:spacing w:line="276" w:lineRule="auto"/>
              <w:jc w:val="center"/>
              <w:rPr>
                <w:b/>
                <w:sz w:val="16"/>
                <w:szCs w:val="16"/>
              </w:rPr>
            </w:pPr>
            <w:r>
              <w:rPr>
                <w:b/>
                <w:sz w:val="16"/>
                <w:szCs w:val="16"/>
              </w:rPr>
              <w:t>expenditures</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00869A6F" w14:textId="77777777" w:rsidR="00CF5ABA" w:rsidRDefault="00CF5ABA" w:rsidP="00CF5ABA">
            <w:pPr>
              <w:keepNext/>
              <w:spacing w:line="276" w:lineRule="auto"/>
              <w:jc w:val="center"/>
              <w:rPr>
                <w:b/>
                <w:sz w:val="16"/>
                <w:szCs w:val="16"/>
              </w:rPr>
            </w:pPr>
            <w:r>
              <w:rPr>
                <w:b/>
                <w:sz w:val="16"/>
                <w:szCs w:val="16"/>
              </w:rPr>
              <w:t>2019 actual</w:t>
            </w:r>
          </w:p>
          <w:p w14:paraId="7BB183C8" w14:textId="46DF50B7" w:rsidR="00CF5ABA" w:rsidRPr="000E57AE" w:rsidRDefault="00CF5ABA" w:rsidP="00CF5ABA">
            <w:pPr>
              <w:keepNext/>
              <w:spacing w:line="276" w:lineRule="auto"/>
              <w:jc w:val="center"/>
              <w:rPr>
                <w:b/>
                <w:sz w:val="16"/>
                <w:szCs w:val="16"/>
              </w:rPr>
            </w:pPr>
            <w:r>
              <w:rPr>
                <w:b/>
                <w:sz w:val="16"/>
                <w:szCs w:val="16"/>
              </w:rPr>
              <w:t>expenditures</w:t>
            </w:r>
          </w:p>
        </w:tc>
      </w:tr>
      <w:tr w:rsidR="00CF5ABA" w:rsidRPr="000E57AE" w14:paraId="245182CB" w14:textId="77777777" w:rsidTr="0032253F">
        <w:trPr>
          <w:trHeight w:val="216"/>
          <w:jc w:val="center"/>
        </w:trPr>
        <w:tc>
          <w:tcPr>
            <w:tcW w:w="2765" w:type="dxa"/>
            <w:tcBorders>
              <w:top w:val="nil"/>
              <w:left w:val="single" w:sz="4" w:space="0" w:color="auto"/>
              <w:bottom w:val="dotted" w:sz="4" w:space="0" w:color="auto"/>
              <w:right w:val="single" w:sz="4" w:space="0" w:color="auto"/>
            </w:tcBorders>
            <w:shd w:val="clear" w:color="auto" w:fill="auto"/>
            <w:vAlign w:val="bottom"/>
          </w:tcPr>
          <w:p w14:paraId="511CFE1D" w14:textId="77777777" w:rsidR="00CF5ABA" w:rsidRPr="000E57AE" w:rsidRDefault="00CF5ABA" w:rsidP="00CF5ABA">
            <w:pPr>
              <w:keepNext/>
              <w:spacing w:line="276" w:lineRule="auto"/>
              <w:jc w:val="both"/>
              <w:rPr>
                <w:sz w:val="16"/>
              </w:rPr>
            </w:pPr>
            <w:r w:rsidRPr="000E57AE">
              <w:rPr>
                <w:rFonts w:eastAsia="Times New Roman"/>
                <w:color w:val="000000"/>
                <w:spacing w:val="0"/>
                <w:w w:val="100"/>
                <w:kern w:val="0"/>
                <w:sz w:val="16"/>
              </w:rPr>
              <w:t>Development activities</w:t>
            </w:r>
          </w:p>
        </w:tc>
        <w:tc>
          <w:tcPr>
            <w:tcW w:w="1530" w:type="dxa"/>
            <w:tcBorders>
              <w:top w:val="nil"/>
              <w:left w:val="nil"/>
              <w:bottom w:val="dotted" w:sz="4" w:space="0" w:color="auto"/>
              <w:right w:val="single" w:sz="4" w:space="0" w:color="auto"/>
            </w:tcBorders>
          </w:tcPr>
          <w:p w14:paraId="6054E43B" w14:textId="2EADD091" w:rsidR="00CF5ABA" w:rsidRPr="000E57AE" w:rsidRDefault="00CF5ABA" w:rsidP="00CF5ABA">
            <w:pPr>
              <w:keepNext/>
              <w:spacing w:line="276" w:lineRule="auto"/>
              <w:jc w:val="right"/>
              <w:rPr>
                <w:rFonts w:eastAsia="Times New Roman"/>
                <w:color w:val="000000"/>
                <w:spacing w:val="0"/>
                <w:w w:val="100"/>
                <w:kern w:val="0"/>
                <w:sz w:val="16"/>
              </w:rPr>
            </w:pPr>
            <w:r>
              <w:rPr>
                <w:rFonts w:eastAsia="Times New Roman"/>
                <w:color w:val="000000"/>
                <w:spacing w:val="0"/>
                <w:w w:val="100"/>
                <w:kern w:val="0"/>
                <w:sz w:val="16"/>
              </w:rPr>
              <w:t>529</w:t>
            </w:r>
          </w:p>
        </w:tc>
        <w:tc>
          <w:tcPr>
            <w:tcW w:w="1530" w:type="dxa"/>
            <w:tcBorders>
              <w:top w:val="nil"/>
              <w:left w:val="single" w:sz="4" w:space="0" w:color="auto"/>
              <w:bottom w:val="dotted" w:sz="4" w:space="0" w:color="auto"/>
              <w:right w:val="single" w:sz="4" w:space="0" w:color="auto"/>
            </w:tcBorders>
            <w:shd w:val="clear" w:color="auto" w:fill="auto"/>
          </w:tcPr>
          <w:p w14:paraId="604D8F4D" w14:textId="28D48A49" w:rsidR="00CF5ABA" w:rsidRPr="000E57AE" w:rsidRDefault="00CF5ABA" w:rsidP="00CF5ABA">
            <w:pPr>
              <w:keepNext/>
              <w:spacing w:line="276" w:lineRule="auto"/>
              <w:jc w:val="right"/>
              <w:rPr>
                <w:sz w:val="16"/>
              </w:rPr>
            </w:pPr>
            <w:r>
              <w:rPr>
                <w:rFonts w:eastAsia="Times New Roman"/>
                <w:color w:val="000000"/>
                <w:spacing w:val="0"/>
                <w:w w:val="100"/>
                <w:kern w:val="0"/>
                <w:sz w:val="16"/>
              </w:rPr>
              <w:t>484</w:t>
            </w:r>
          </w:p>
        </w:tc>
      </w:tr>
      <w:tr w:rsidR="00CF5ABA" w:rsidRPr="000E57AE" w14:paraId="2DDF78E3" w14:textId="77777777" w:rsidTr="0032253F">
        <w:trPr>
          <w:trHeight w:val="216"/>
          <w:jc w:val="center"/>
        </w:trPr>
        <w:tc>
          <w:tcPr>
            <w:tcW w:w="2765" w:type="dxa"/>
            <w:tcBorders>
              <w:top w:val="nil"/>
              <w:left w:val="single" w:sz="4" w:space="0" w:color="auto"/>
              <w:bottom w:val="dotted" w:sz="4" w:space="0" w:color="auto"/>
              <w:right w:val="single" w:sz="4" w:space="0" w:color="auto"/>
            </w:tcBorders>
            <w:shd w:val="clear" w:color="auto" w:fill="auto"/>
            <w:vAlign w:val="bottom"/>
          </w:tcPr>
          <w:p w14:paraId="66137385" w14:textId="77777777" w:rsidR="00CF5ABA" w:rsidRPr="000E57AE" w:rsidRDefault="00CF5ABA" w:rsidP="00CF5ABA">
            <w:pPr>
              <w:keepNext/>
              <w:spacing w:line="276" w:lineRule="auto"/>
              <w:rPr>
                <w:sz w:val="16"/>
              </w:rPr>
            </w:pPr>
            <w:r w:rsidRPr="000E57AE">
              <w:rPr>
                <w:rFonts w:eastAsia="Times New Roman"/>
                <w:color w:val="000000"/>
                <w:spacing w:val="0"/>
                <w:w w:val="100"/>
                <w:kern w:val="0"/>
                <w:sz w:val="16"/>
              </w:rPr>
              <w:t>United Nations coordination activities</w:t>
            </w:r>
          </w:p>
        </w:tc>
        <w:tc>
          <w:tcPr>
            <w:tcW w:w="1530" w:type="dxa"/>
            <w:tcBorders>
              <w:top w:val="nil"/>
              <w:left w:val="nil"/>
              <w:bottom w:val="dotted" w:sz="4" w:space="0" w:color="auto"/>
              <w:right w:val="single" w:sz="4" w:space="0" w:color="auto"/>
            </w:tcBorders>
          </w:tcPr>
          <w:p w14:paraId="2F35783C" w14:textId="5D271082" w:rsidR="00CF5ABA" w:rsidRPr="000E57AE" w:rsidRDefault="00CF5ABA" w:rsidP="00CF5ABA">
            <w:pPr>
              <w:keepNext/>
              <w:spacing w:line="276" w:lineRule="auto"/>
              <w:jc w:val="right"/>
              <w:rPr>
                <w:rFonts w:eastAsia="Times New Roman"/>
                <w:color w:val="000000"/>
                <w:spacing w:val="0"/>
                <w:w w:val="100"/>
                <w:kern w:val="0"/>
                <w:sz w:val="16"/>
              </w:rPr>
            </w:pPr>
            <w:r>
              <w:rPr>
                <w:rFonts w:eastAsia="Times New Roman"/>
                <w:color w:val="000000"/>
                <w:spacing w:val="0"/>
                <w:w w:val="100"/>
                <w:kern w:val="0"/>
                <w:sz w:val="16"/>
              </w:rPr>
              <w:t>10</w:t>
            </w:r>
          </w:p>
        </w:tc>
        <w:tc>
          <w:tcPr>
            <w:tcW w:w="1530" w:type="dxa"/>
            <w:tcBorders>
              <w:top w:val="nil"/>
              <w:left w:val="single" w:sz="4" w:space="0" w:color="auto"/>
              <w:bottom w:val="dotted" w:sz="4" w:space="0" w:color="auto"/>
              <w:right w:val="single" w:sz="4" w:space="0" w:color="auto"/>
            </w:tcBorders>
            <w:shd w:val="clear" w:color="auto" w:fill="auto"/>
          </w:tcPr>
          <w:p w14:paraId="1343A3FD" w14:textId="677ADCA1" w:rsidR="00CF5ABA" w:rsidRPr="000E57AE" w:rsidRDefault="00CF5ABA" w:rsidP="00CF5ABA">
            <w:pPr>
              <w:keepNext/>
              <w:spacing w:line="276" w:lineRule="auto"/>
              <w:jc w:val="right"/>
              <w:rPr>
                <w:sz w:val="16"/>
              </w:rPr>
            </w:pPr>
            <w:r>
              <w:rPr>
                <w:rFonts w:eastAsia="Times New Roman"/>
                <w:color w:val="000000"/>
                <w:spacing w:val="0"/>
                <w:w w:val="100"/>
                <w:kern w:val="0"/>
                <w:sz w:val="16"/>
              </w:rPr>
              <w:t>11</w:t>
            </w:r>
          </w:p>
        </w:tc>
      </w:tr>
      <w:tr w:rsidR="00CF5ABA" w:rsidRPr="000E57AE" w14:paraId="5A100E09" w14:textId="77777777" w:rsidTr="0032253F">
        <w:trPr>
          <w:trHeight w:val="216"/>
          <w:jc w:val="center"/>
        </w:trPr>
        <w:tc>
          <w:tcPr>
            <w:tcW w:w="2765" w:type="dxa"/>
            <w:tcBorders>
              <w:top w:val="nil"/>
              <w:left w:val="single" w:sz="4" w:space="0" w:color="auto"/>
              <w:bottom w:val="dotted" w:sz="4" w:space="0" w:color="auto"/>
              <w:right w:val="single" w:sz="4" w:space="0" w:color="auto"/>
            </w:tcBorders>
            <w:shd w:val="clear" w:color="auto" w:fill="auto"/>
            <w:vAlign w:val="bottom"/>
          </w:tcPr>
          <w:p w14:paraId="712D5FBF" w14:textId="77777777" w:rsidR="00CF5ABA" w:rsidRPr="000E57AE" w:rsidRDefault="00CF5ABA" w:rsidP="00CF5ABA">
            <w:pPr>
              <w:keepNext/>
              <w:spacing w:line="276" w:lineRule="auto"/>
              <w:jc w:val="both"/>
              <w:rPr>
                <w:sz w:val="16"/>
              </w:rPr>
            </w:pPr>
            <w:r w:rsidRPr="000E57AE">
              <w:rPr>
                <w:rFonts w:eastAsia="Times New Roman"/>
                <w:color w:val="000000"/>
                <w:spacing w:val="0"/>
                <w:w w:val="100"/>
                <w:kern w:val="0"/>
                <w:sz w:val="16"/>
              </w:rPr>
              <w:t>Management activities</w:t>
            </w:r>
          </w:p>
        </w:tc>
        <w:tc>
          <w:tcPr>
            <w:tcW w:w="1530" w:type="dxa"/>
            <w:tcBorders>
              <w:top w:val="nil"/>
              <w:left w:val="nil"/>
              <w:bottom w:val="dotted" w:sz="4" w:space="0" w:color="auto"/>
              <w:right w:val="single" w:sz="4" w:space="0" w:color="auto"/>
            </w:tcBorders>
          </w:tcPr>
          <w:p w14:paraId="2488DE28" w14:textId="3EB13028" w:rsidR="00CF5ABA" w:rsidRPr="000E57AE" w:rsidRDefault="00CF5ABA" w:rsidP="00CF5ABA">
            <w:pPr>
              <w:keepNext/>
              <w:spacing w:line="276" w:lineRule="auto"/>
              <w:jc w:val="right"/>
              <w:rPr>
                <w:rFonts w:eastAsia="Times New Roman"/>
                <w:color w:val="000000"/>
                <w:spacing w:val="0"/>
                <w:w w:val="100"/>
                <w:kern w:val="0"/>
                <w:sz w:val="16"/>
              </w:rPr>
            </w:pPr>
            <w:r>
              <w:rPr>
                <w:rFonts w:eastAsia="Times New Roman"/>
                <w:color w:val="000000"/>
                <w:spacing w:val="0"/>
                <w:w w:val="100"/>
                <w:kern w:val="0"/>
                <w:sz w:val="16"/>
              </w:rPr>
              <w:t>156</w:t>
            </w:r>
          </w:p>
        </w:tc>
        <w:tc>
          <w:tcPr>
            <w:tcW w:w="1530" w:type="dxa"/>
            <w:tcBorders>
              <w:top w:val="nil"/>
              <w:left w:val="single" w:sz="4" w:space="0" w:color="auto"/>
              <w:bottom w:val="dotted" w:sz="4" w:space="0" w:color="auto"/>
              <w:right w:val="single" w:sz="4" w:space="0" w:color="auto"/>
            </w:tcBorders>
            <w:shd w:val="clear" w:color="auto" w:fill="auto"/>
          </w:tcPr>
          <w:p w14:paraId="74BF26EF" w14:textId="0D10EFFC" w:rsidR="00CF5ABA" w:rsidRPr="000E57AE" w:rsidRDefault="00CF5ABA" w:rsidP="00CF5ABA">
            <w:pPr>
              <w:keepNext/>
              <w:spacing w:line="276" w:lineRule="auto"/>
              <w:jc w:val="right"/>
              <w:rPr>
                <w:sz w:val="16"/>
              </w:rPr>
            </w:pPr>
            <w:r>
              <w:rPr>
                <w:rFonts w:eastAsia="Times New Roman"/>
                <w:color w:val="000000"/>
                <w:spacing w:val="0"/>
                <w:w w:val="100"/>
                <w:kern w:val="0"/>
                <w:sz w:val="16"/>
              </w:rPr>
              <w:t>164</w:t>
            </w:r>
          </w:p>
        </w:tc>
      </w:tr>
      <w:tr w:rsidR="00CF5ABA" w:rsidRPr="000E57AE" w14:paraId="5CC5BC39" w14:textId="77777777" w:rsidTr="0032253F">
        <w:trPr>
          <w:trHeight w:val="216"/>
          <w:jc w:val="center"/>
        </w:trPr>
        <w:tc>
          <w:tcPr>
            <w:tcW w:w="2765" w:type="dxa"/>
            <w:tcBorders>
              <w:top w:val="nil"/>
              <w:left w:val="single" w:sz="4" w:space="0" w:color="auto"/>
              <w:bottom w:val="nil"/>
              <w:right w:val="single" w:sz="4" w:space="0" w:color="auto"/>
            </w:tcBorders>
            <w:shd w:val="clear" w:color="auto" w:fill="auto"/>
            <w:vAlign w:val="bottom"/>
          </w:tcPr>
          <w:p w14:paraId="34F75612" w14:textId="77777777" w:rsidR="00CF5ABA" w:rsidRPr="000E57AE" w:rsidRDefault="00CF5ABA" w:rsidP="00CF5ABA">
            <w:pPr>
              <w:keepNext/>
              <w:spacing w:line="276" w:lineRule="auto"/>
              <w:jc w:val="both"/>
              <w:rPr>
                <w:sz w:val="16"/>
              </w:rPr>
            </w:pPr>
            <w:r w:rsidRPr="000E57AE">
              <w:rPr>
                <w:rFonts w:eastAsia="Times New Roman"/>
                <w:color w:val="000000"/>
                <w:spacing w:val="0"/>
                <w:w w:val="100"/>
                <w:kern w:val="0"/>
                <w:sz w:val="16"/>
              </w:rPr>
              <w:t>Special purpose activities</w:t>
            </w:r>
          </w:p>
        </w:tc>
        <w:tc>
          <w:tcPr>
            <w:tcW w:w="1530" w:type="dxa"/>
            <w:tcBorders>
              <w:top w:val="nil"/>
              <w:left w:val="nil"/>
              <w:bottom w:val="nil"/>
              <w:right w:val="single" w:sz="4" w:space="0" w:color="auto"/>
            </w:tcBorders>
          </w:tcPr>
          <w:p w14:paraId="2562D717" w14:textId="2E913BB5" w:rsidR="00CF5ABA" w:rsidRPr="000E57AE" w:rsidRDefault="00CF5ABA" w:rsidP="00CF5ABA">
            <w:pPr>
              <w:keepNext/>
              <w:spacing w:line="276" w:lineRule="auto"/>
              <w:jc w:val="right"/>
              <w:rPr>
                <w:rFonts w:eastAsia="Times New Roman"/>
                <w:color w:val="000000"/>
                <w:spacing w:val="0"/>
                <w:w w:val="100"/>
                <w:kern w:val="0"/>
                <w:sz w:val="16"/>
              </w:rPr>
            </w:pPr>
            <w:r>
              <w:rPr>
                <w:rFonts w:eastAsia="Times New Roman"/>
                <w:color w:val="000000"/>
                <w:spacing w:val="0"/>
                <w:w w:val="100"/>
                <w:kern w:val="0"/>
                <w:sz w:val="16"/>
              </w:rPr>
              <w:t>8</w:t>
            </w:r>
          </w:p>
        </w:tc>
        <w:tc>
          <w:tcPr>
            <w:tcW w:w="1530" w:type="dxa"/>
            <w:tcBorders>
              <w:top w:val="nil"/>
              <w:left w:val="single" w:sz="4" w:space="0" w:color="auto"/>
              <w:bottom w:val="nil"/>
              <w:right w:val="single" w:sz="4" w:space="0" w:color="auto"/>
            </w:tcBorders>
            <w:shd w:val="clear" w:color="auto" w:fill="auto"/>
          </w:tcPr>
          <w:p w14:paraId="0FADD279" w14:textId="0CDA24B8" w:rsidR="00CF5ABA" w:rsidRPr="000E57AE" w:rsidRDefault="00CF5ABA" w:rsidP="00CF5ABA">
            <w:pPr>
              <w:keepNext/>
              <w:spacing w:line="276" w:lineRule="auto"/>
              <w:jc w:val="right"/>
              <w:rPr>
                <w:sz w:val="16"/>
              </w:rPr>
            </w:pPr>
            <w:r>
              <w:rPr>
                <w:rFonts w:eastAsia="Times New Roman"/>
                <w:color w:val="000000"/>
                <w:spacing w:val="0"/>
                <w:w w:val="100"/>
                <w:kern w:val="0"/>
                <w:sz w:val="16"/>
              </w:rPr>
              <w:t>8</w:t>
            </w:r>
          </w:p>
        </w:tc>
      </w:tr>
      <w:tr w:rsidR="00CF5ABA" w:rsidRPr="000E57AE" w14:paraId="4560AC66" w14:textId="77777777" w:rsidTr="0032253F">
        <w:trPr>
          <w:trHeight w:val="216"/>
          <w:jc w:val="center"/>
        </w:trPr>
        <w:tc>
          <w:tcPr>
            <w:tcW w:w="276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8D2CD65" w14:textId="77777777" w:rsidR="00CF5ABA" w:rsidRPr="000E57AE" w:rsidRDefault="00CF5ABA" w:rsidP="00CF5ABA">
            <w:pPr>
              <w:keepNext/>
              <w:spacing w:line="276" w:lineRule="auto"/>
              <w:jc w:val="both"/>
              <w:rPr>
                <w:b/>
                <w:i/>
                <w:sz w:val="16"/>
                <w:szCs w:val="18"/>
              </w:rPr>
            </w:pPr>
            <w:r w:rsidRPr="000E57AE">
              <w:rPr>
                <w:rFonts w:eastAsia="Times New Roman"/>
                <w:b/>
                <w:bCs/>
                <w:i/>
                <w:iCs/>
                <w:color w:val="000000"/>
                <w:spacing w:val="0"/>
                <w:w w:val="100"/>
                <w:kern w:val="0"/>
                <w:sz w:val="16"/>
              </w:rPr>
              <w:t>Total</w:t>
            </w:r>
          </w:p>
        </w:tc>
        <w:tc>
          <w:tcPr>
            <w:tcW w:w="1530" w:type="dxa"/>
            <w:tcBorders>
              <w:top w:val="single" w:sz="4" w:space="0" w:color="auto"/>
              <w:left w:val="nil"/>
              <w:bottom w:val="single" w:sz="4" w:space="0" w:color="auto"/>
              <w:right w:val="single" w:sz="4" w:space="0" w:color="auto"/>
            </w:tcBorders>
            <w:shd w:val="clear" w:color="auto" w:fill="FFFFFF" w:themeFill="background1"/>
          </w:tcPr>
          <w:p w14:paraId="49D57F43" w14:textId="14AC6C0B" w:rsidR="00CF5ABA" w:rsidRPr="000E57AE" w:rsidRDefault="00CF5ABA" w:rsidP="00CF5ABA">
            <w:pPr>
              <w:keepNext/>
              <w:spacing w:line="276" w:lineRule="auto"/>
              <w:jc w:val="right"/>
              <w:rPr>
                <w:rFonts w:eastAsia="Times New Roman"/>
                <w:b/>
                <w:bCs/>
                <w:color w:val="000000"/>
                <w:spacing w:val="0"/>
                <w:w w:val="100"/>
                <w:kern w:val="0"/>
                <w:sz w:val="16"/>
              </w:rPr>
            </w:pPr>
            <w:r>
              <w:rPr>
                <w:rFonts w:eastAsia="Times New Roman"/>
                <w:b/>
                <w:bCs/>
                <w:color w:val="000000"/>
                <w:spacing w:val="0"/>
                <w:w w:val="100"/>
                <w:kern w:val="0"/>
                <w:sz w:val="16"/>
              </w:rPr>
              <w:t>704</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3A1E6ABE" w14:textId="730A0CAF" w:rsidR="00CF5ABA" w:rsidRPr="000E57AE" w:rsidRDefault="00CF5ABA" w:rsidP="00CF5ABA">
            <w:pPr>
              <w:keepNext/>
              <w:spacing w:line="276" w:lineRule="auto"/>
              <w:jc w:val="right"/>
              <w:rPr>
                <w:sz w:val="16"/>
                <w:szCs w:val="18"/>
              </w:rPr>
            </w:pPr>
            <w:r>
              <w:rPr>
                <w:rFonts w:eastAsia="Times New Roman"/>
                <w:b/>
                <w:bCs/>
                <w:color w:val="000000"/>
                <w:spacing w:val="0"/>
                <w:w w:val="100"/>
                <w:kern w:val="0"/>
                <w:sz w:val="16"/>
              </w:rPr>
              <w:t>667</w:t>
            </w:r>
          </w:p>
        </w:tc>
      </w:tr>
    </w:tbl>
    <w:p w14:paraId="3AC90162" w14:textId="08EC684D" w:rsidR="0026176E" w:rsidRPr="000E57AE" w:rsidRDefault="002C3524" w:rsidP="00AF3FD4">
      <w:pPr>
        <w:pStyle w:val="ListParagraph"/>
        <w:numPr>
          <w:ilvl w:val="0"/>
          <w:numId w:val="5"/>
        </w:numPr>
        <w:spacing w:before="240" w:after="240" w:line="240" w:lineRule="auto"/>
        <w:ind w:right="1267"/>
        <w:contextualSpacing w:val="0"/>
        <w:jc w:val="both"/>
      </w:pPr>
      <w:r w:rsidRPr="000E57AE">
        <w:t>A</w:t>
      </w:r>
      <w:r>
        <w:t>ppendix</w:t>
      </w:r>
      <w:r w:rsidR="0026176E" w:rsidRPr="000E57AE">
        <w:t xml:space="preserve"> III.A presents the integrated resources plan that covers regular and other resources for 2018-</w:t>
      </w:r>
      <w:r w:rsidR="00F77B36" w:rsidRPr="000E57AE">
        <w:t>20</w:t>
      </w:r>
      <w:r w:rsidR="00471C88">
        <w:t>20</w:t>
      </w:r>
      <w:r w:rsidR="00F77B36" w:rsidRPr="000E57AE">
        <w:t xml:space="preserve"> </w:t>
      </w:r>
      <w:r w:rsidR="0026176E" w:rsidRPr="000E57AE">
        <w:t>and compares the plan with 201</w:t>
      </w:r>
      <w:r w:rsidR="0026176E" w:rsidRPr="000E57AE" w:rsidDel="0091272B">
        <w:t>8</w:t>
      </w:r>
      <w:r w:rsidR="00F77B36">
        <w:t>-</w:t>
      </w:r>
      <w:r w:rsidR="0026176E" w:rsidRPr="000E57AE">
        <w:t>20</w:t>
      </w:r>
      <w:r w:rsidR="00471C88">
        <w:t>20</w:t>
      </w:r>
      <w:r w:rsidR="0026176E" w:rsidRPr="000E57AE">
        <w:t xml:space="preserve"> actuals. This comparison shows that:</w:t>
      </w:r>
    </w:p>
    <w:p w14:paraId="4C46EC49" w14:textId="2EE6F85F" w:rsidR="002006FB" w:rsidRPr="000E57AE" w:rsidRDefault="6CE2B655" w:rsidP="00177E20">
      <w:pPr>
        <w:pStyle w:val="SingleTxt"/>
        <w:numPr>
          <w:ilvl w:val="2"/>
          <w:numId w:val="14"/>
        </w:numPr>
        <w:tabs>
          <w:tab w:val="clear" w:pos="1267"/>
          <w:tab w:val="clear" w:pos="1742"/>
          <w:tab w:val="clear" w:pos="2218"/>
          <w:tab w:val="left" w:pos="1620"/>
          <w:tab w:val="left" w:pos="2250"/>
        </w:tabs>
        <w:spacing w:before="240" w:after="240" w:line="240" w:lineRule="auto"/>
        <w:rPr>
          <w:rFonts w:eastAsia="Times New Roman"/>
        </w:rPr>
      </w:pPr>
      <w:r w:rsidRPr="00A60AC7">
        <w:t xml:space="preserve"> </w:t>
      </w:r>
      <w:r w:rsidR="0026176E" w:rsidRPr="00A60AC7">
        <w:t>activities reported in 20</w:t>
      </w:r>
      <w:r w:rsidR="00471C88">
        <w:t>20</w:t>
      </w:r>
      <w:r w:rsidR="0026176E" w:rsidRPr="00A60AC7">
        <w:t xml:space="preserve"> remain within the integrated resources plan;</w:t>
      </w:r>
    </w:p>
    <w:p w14:paraId="57E384A2" w14:textId="5B6F35DD" w:rsidR="00D67C32" w:rsidRPr="00D67C32" w:rsidRDefault="65A4D3A2" w:rsidP="00177E20">
      <w:pPr>
        <w:pStyle w:val="SingleTxt"/>
        <w:numPr>
          <w:ilvl w:val="2"/>
          <w:numId w:val="14"/>
        </w:numPr>
        <w:tabs>
          <w:tab w:val="clear" w:pos="1267"/>
          <w:tab w:val="clear" w:pos="1742"/>
          <w:tab w:val="clear" w:pos="2218"/>
          <w:tab w:val="left" w:pos="1620"/>
          <w:tab w:val="left" w:pos="2250"/>
        </w:tabs>
        <w:spacing w:before="240" w:after="240" w:line="240" w:lineRule="auto"/>
      </w:pPr>
      <w:r w:rsidRPr="000E57AE">
        <w:t xml:space="preserve"> </w:t>
      </w:r>
      <w:r w:rsidR="0026176E" w:rsidRPr="000E57AE">
        <w:t>at the end of 20</w:t>
      </w:r>
      <w:r w:rsidR="00471C88">
        <w:t>20</w:t>
      </w:r>
      <w:r w:rsidR="0026176E" w:rsidRPr="000E57AE">
        <w:t>, the expenditure ratio for management activities (</w:t>
      </w:r>
      <w:r w:rsidR="008F3CF7">
        <w:t>regular (</w:t>
      </w:r>
      <w:r w:rsidR="0026176E" w:rsidRPr="000E57AE">
        <w:t>core</w:t>
      </w:r>
      <w:r w:rsidR="008F3CF7">
        <w:t>)</w:t>
      </w:r>
      <w:r w:rsidR="0026176E" w:rsidRPr="000E57AE">
        <w:t xml:space="preserve"> </w:t>
      </w:r>
      <w:r w:rsidR="003D2C74" w:rsidRPr="0043301C">
        <w:t>and</w:t>
      </w:r>
      <w:r w:rsidR="0026176E" w:rsidRPr="000E57AE">
        <w:t xml:space="preserve"> </w:t>
      </w:r>
      <w:r w:rsidR="008F3CF7">
        <w:t>other (</w:t>
      </w:r>
      <w:r w:rsidR="0026176E" w:rsidRPr="000E57AE">
        <w:t>non-core</w:t>
      </w:r>
      <w:r w:rsidR="008F3CF7">
        <w:t>)</w:t>
      </w:r>
      <w:r w:rsidR="0026176E" w:rsidRPr="000E57AE">
        <w:t>) to total activities (i.e.</w:t>
      </w:r>
      <w:r w:rsidR="000C4DE4">
        <w:t>,</w:t>
      </w:r>
      <w:r w:rsidR="0026176E" w:rsidRPr="000E57AE">
        <w:t xml:space="preserve"> management efficiency ratio) was </w:t>
      </w:r>
      <w:r w:rsidR="001A05AD">
        <w:t>7.5</w:t>
      </w:r>
      <w:r w:rsidR="0026176E" w:rsidRPr="000E57AE">
        <w:t xml:space="preserve"> per cent (201</w:t>
      </w:r>
      <w:r w:rsidR="00780227">
        <w:t>9</w:t>
      </w:r>
      <w:r w:rsidR="000A1FC9" w:rsidRPr="000E57AE">
        <w:t>:</w:t>
      </w:r>
      <w:r w:rsidR="0026176E" w:rsidRPr="000E57AE">
        <w:t xml:space="preserve"> </w:t>
      </w:r>
      <w:r w:rsidR="00780227">
        <w:t>7.5</w:t>
      </w:r>
      <w:r w:rsidR="0026176E" w:rsidRPr="000E57AE">
        <w:t xml:space="preserve"> per cent)</w:t>
      </w:r>
      <w:r w:rsidR="0065428D" w:rsidRPr="000E57AE">
        <w:t>;</w:t>
      </w:r>
      <w:r w:rsidR="0026176E" w:rsidRPr="000E57AE">
        <w:t xml:space="preserve"> </w:t>
      </w:r>
    </w:p>
    <w:p w14:paraId="4E642C11" w14:textId="52468986" w:rsidR="0026176E" w:rsidRPr="00DC38D5" w:rsidRDefault="20AD0A7F" w:rsidP="00177E20">
      <w:pPr>
        <w:pStyle w:val="SingleTxt"/>
        <w:numPr>
          <w:ilvl w:val="2"/>
          <w:numId w:val="14"/>
        </w:numPr>
        <w:tabs>
          <w:tab w:val="clear" w:pos="1267"/>
          <w:tab w:val="clear" w:pos="1742"/>
          <w:tab w:val="clear" w:pos="2218"/>
          <w:tab w:val="left" w:pos="1620"/>
          <w:tab w:val="left" w:pos="2250"/>
        </w:tabs>
        <w:spacing w:before="240" w:after="240" w:line="240" w:lineRule="auto"/>
        <w:rPr>
          <w:lang w:val="en-US"/>
        </w:rPr>
      </w:pPr>
      <w:r>
        <w:t xml:space="preserve"> </w:t>
      </w:r>
      <w:r w:rsidR="000C4DE4">
        <w:t xml:space="preserve">the </w:t>
      </w:r>
      <w:r w:rsidR="0026176E" w:rsidRPr="000E57AE">
        <w:t>overall expenditure</w:t>
      </w:r>
      <w:r w:rsidR="000C4DE4">
        <w:t xml:space="preserve"> </w:t>
      </w:r>
      <w:r w:rsidR="0026176E" w:rsidRPr="000E57AE">
        <w:t xml:space="preserve">level of programmatic activities </w:t>
      </w:r>
      <w:r w:rsidR="00F771F5">
        <w:t>at the end of</w:t>
      </w:r>
      <w:r w:rsidR="00F771F5" w:rsidRPr="000E57AE">
        <w:t xml:space="preserve"> </w:t>
      </w:r>
      <w:r w:rsidR="0026176E" w:rsidRPr="000E57AE">
        <w:t>20</w:t>
      </w:r>
      <w:r w:rsidR="00B0676E">
        <w:t>20</w:t>
      </w:r>
      <w:r w:rsidR="0026176E" w:rsidRPr="000E57AE">
        <w:t xml:space="preserve"> </w:t>
      </w:r>
      <w:proofErr w:type="gramStart"/>
      <w:r w:rsidR="007C0EDC">
        <w:t>include</w:t>
      </w:r>
      <w:proofErr w:type="gramEnd"/>
      <w:r w:rsidR="007C0EDC">
        <w:t xml:space="preserve"> utilization of prior </w:t>
      </w:r>
      <w:r w:rsidR="00EC42FB">
        <w:t>years’</w:t>
      </w:r>
      <w:r w:rsidR="007C0EDC">
        <w:t xml:space="preserve"> unspent </w:t>
      </w:r>
      <w:r w:rsidR="00EC42FB">
        <w:t>balances</w:t>
      </w:r>
      <w:r w:rsidR="007C0EDC">
        <w:t xml:space="preserve"> and </w:t>
      </w:r>
      <w:r w:rsidR="00D61963">
        <w:t>reache</w:t>
      </w:r>
      <w:r w:rsidR="00B72FC4">
        <w:t>d</w:t>
      </w:r>
      <w:r w:rsidR="00D61963">
        <w:t xml:space="preserve"> </w:t>
      </w:r>
      <w:r w:rsidR="00D914E7">
        <w:t>106</w:t>
      </w:r>
      <w:r w:rsidR="0026176E" w:rsidRPr="00D61963">
        <w:t xml:space="preserve"> per cent </w:t>
      </w:r>
      <w:r w:rsidR="00D914E7">
        <w:t xml:space="preserve">compared to 2020 programme budget </w:t>
      </w:r>
      <w:r w:rsidR="0026176E" w:rsidRPr="00D61963">
        <w:t>(</w:t>
      </w:r>
      <w:r w:rsidR="00E968FB">
        <w:t>201</w:t>
      </w:r>
      <w:r w:rsidR="008B22B7">
        <w:t>9</w:t>
      </w:r>
      <w:r w:rsidR="00E968FB">
        <w:t>: 90</w:t>
      </w:r>
      <w:r w:rsidR="0026176E" w:rsidRPr="00D61963">
        <w:t>.</w:t>
      </w:r>
      <w:r w:rsidR="008B22B7">
        <w:t>7</w:t>
      </w:r>
      <w:r w:rsidR="0026176E" w:rsidRPr="00D61963">
        <w:t xml:space="preserve"> per cent).</w:t>
      </w:r>
    </w:p>
    <w:p w14:paraId="108F86BD" w14:textId="4086BDBC" w:rsidR="0026176E" w:rsidRPr="000E57AE" w:rsidRDefault="00F57891" w:rsidP="00AF3FD4">
      <w:pPr>
        <w:pStyle w:val="ListParagraph"/>
        <w:numPr>
          <w:ilvl w:val="0"/>
          <w:numId w:val="5"/>
        </w:numPr>
        <w:spacing w:before="240" w:after="240" w:line="240" w:lineRule="auto"/>
        <w:ind w:right="1267"/>
        <w:contextualSpacing w:val="0"/>
        <w:jc w:val="both"/>
      </w:pPr>
      <w:r w:rsidRPr="000E57AE">
        <w:t>A</w:t>
      </w:r>
      <w:r>
        <w:t>ppendix</w:t>
      </w:r>
      <w:r w:rsidR="0026176E" w:rsidRPr="000E57AE">
        <w:t xml:space="preserve"> III.B presents 201</w:t>
      </w:r>
      <w:r w:rsidR="0026176E" w:rsidRPr="000E57AE" w:rsidDel="00761234">
        <w:t>8</w:t>
      </w:r>
      <w:r w:rsidR="00EB5020">
        <w:t>-</w:t>
      </w:r>
      <w:r w:rsidR="0026176E" w:rsidRPr="000E57AE">
        <w:t>20</w:t>
      </w:r>
      <w:r w:rsidR="002B7E96">
        <w:t>20</w:t>
      </w:r>
      <w:r w:rsidR="0026176E" w:rsidRPr="000E57AE">
        <w:t xml:space="preserve"> actuals versus estimates of the institutional components of the integrated resources plan by category of expenditures, while </w:t>
      </w:r>
      <w:r>
        <w:t>appendix</w:t>
      </w:r>
      <w:r w:rsidR="0026176E" w:rsidRPr="000E57AE">
        <w:t xml:space="preserve"> III.C presents information on resources allocated to posts by location.</w:t>
      </w:r>
    </w:p>
    <w:bookmarkEnd w:id="243"/>
    <w:p w14:paraId="7F05C532" w14:textId="6D67340E" w:rsidR="003A32A3" w:rsidRPr="00507534" w:rsidRDefault="006A4015" w:rsidP="005F648C">
      <w:pPr>
        <w:pStyle w:val="HCh"/>
        <w:numPr>
          <w:ilvl w:val="0"/>
          <w:numId w:val="13"/>
        </w:numPr>
        <w:spacing w:before="360" w:after="240" w:line="240" w:lineRule="auto"/>
        <w:ind w:right="1267"/>
      </w:pPr>
      <w:r>
        <w:lastRenderedPageBreak/>
        <w:tab/>
      </w:r>
      <w:bookmarkStart w:id="377" w:name="_Toc75466849"/>
      <w:r w:rsidR="0044151A" w:rsidRPr="00507534">
        <w:t xml:space="preserve">Financial </w:t>
      </w:r>
      <w:r w:rsidR="00E82350" w:rsidRPr="00507534">
        <w:t>p</w:t>
      </w:r>
      <w:r w:rsidR="0044151A" w:rsidRPr="00507534">
        <w:t>osition</w:t>
      </w:r>
      <w:bookmarkEnd w:id="377"/>
    </w:p>
    <w:p w14:paraId="74F45DFF" w14:textId="4375DDB9" w:rsidR="00717F24" w:rsidRPr="009E5F63" w:rsidRDefault="004D3601" w:rsidP="005F648C">
      <w:pPr>
        <w:pStyle w:val="H1"/>
        <w:numPr>
          <w:ilvl w:val="1"/>
          <w:numId w:val="7"/>
        </w:numPr>
        <w:tabs>
          <w:tab w:val="clear" w:pos="1022"/>
          <w:tab w:val="clear" w:pos="1742"/>
          <w:tab w:val="right" w:pos="1440"/>
          <w:tab w:val="left" w:pos="1800"/>
        </w:tabs>
        <w:spacing w:before="240" w:after="240" w:line="240" w:lineRule="auto"/>
        <w:ind w:left="1152" w:right="0"/>
        <w:outlineLvl w:val="1"/>
      </w:pPr>
      <w:bookmarkStart w:id="378" w:name="_Toc39596168"/>
      <w:bookmarkStart w:id="379" w:name="_Toc39596212"/>
      <w:bookmarkStart w:id="380" w:name="_Toc39596256"/>
      <w:bookmarkStart w:id="381" w:name="_Toc75466850"/>
      <w:bookmarkStart w:id="382" w:name="_Hlk1477398"/>
      <w:bookmarkEnd w:id="378"/>
      <w:bookmarkEnd w:id="379"/>
      <w:bookmarkEnd w:id="380"/>
      <w:r w:rsidRPr="000E57AE">
        <w:t>Assets</w:t>
      </w:r>
      <w:bookmarkEnd w:id="381"/>
    </w:p>
    <w:bookmarkEnd w:id="382"/>
    <w:p w14:paraId="2327BEAB" w14:textId="57D92E57" w:rsidR="009972C4" w:rsidRPr="00AF3FD4" w:rsidRDefault="00970A1E" w:rsidP="00AF3FD4">
      <w:pPr>
        <w:pStyle w:val="ListParagraph"/>
        <w:numPr>
          <w:ilvl w:val="0"/>
          <w:numId w:val="5"/>
        </w:numPr>
        <w:spacing w:before="240" w:after="240" w:line="240" w:lineRule="auto"/>
        <w:ind w:right="1267"/>
        <w:contextualSpacing w:val="0"/>
        <w:jc w:val="both"/>
      </w:pPr>
      <w:r w:rsidRPr="000E57AE">
        <w:t xml:space="preserve">Total assets registered </w:t>
      </w:r>
      <w:r w:rsidRPr="00BC225E">
        <w:t>$</w:t>
      </w:r>
      <w:r w:rsidR="00BF1C05" w:rsidRPr="00BC225E">
        <w:t>14.</w:t>
      </w:r>
      <w:r w:rsidR="00BD19F8" w:rsidRPr="00BC225E">
        <w:t>3</w:t>
      </w:r>
      <w:r w:rsidR="00E9711F" w:rsidRPr="00BC225E">
        <w:t xml:space="preserve"> </w:t>
      </w:r>
      <w:r w:rsidR="00F029F6" w:rsidRPr="00BC225E">
        <w:t>b</w:t>
      </w:r>
      <w:r w:rsidR="00E9711F" w:rsidRPr="00BC225E">
        <w:t>illion (201</w:t>
      </w:r>
      <w:r w:rsidR="00BF1C05" w:rsidRPr="00BC225E">
        <w:t>9</w:t>
      </w:r>
      <w:r w:rsidR="00C75F13">
        <w:t>:</w:t>
      </w:r>
      <w:r w:rsidR="00E9711F" w:rsidRPr="00BC225E">
        <w:t xml:space="preserve"> $</w:t>
      </w:r>
      <w:r w:rsidR="00036B97" w:rsidRPr="00BC225E">
        <w:t>12</w:t>
      </w:r>
      <w:r w:rsidR="00492099" w:rsidRPr="00BC225E">
        <w:t>.</w:t>
      </w:r>
      <w:r w:rsidR="00BF1C05" w:rsidRPr="00BC225E">
        <w:t>5</w:t>
      </w:r>
      <w:r w:rsidR="00E9711F" w:rsidRPr="00BC225E">
        <w:t xml:space="preserve"> </w:t>
      </w:r>
      <w:r w:rsidR="006E6EBB" w:rsidRPr="00BC225E">
        <w:t>b</w:t>
      </w:r>
      <w:r w:rsidR="00E9711F" w:rsidRPr="00BC225E">
        <w:t>illion)</w:t>
      </w:r>
      <w:r w:rsidR="00766914" w:rsidRPr="00BC225E">
        <w:t>,</w:t>
      </w:r>
      <w:r w:rsidR="004F6372" w:rsidRPr="00BC225E">
        <w:t xml:space="preserve"> representing an increase of </w:t>
      </w:r>
      <w:r w:rsidR="003D7ED9" w:rsidRPr="00BC225E">
        <w:t>1</w:t>
      </w:r>
      <w:r w:rsidR="00BD19F8" w:rsidRPr="00BC225E">
        <w:t>5</w:t>
      </w:r>
      <w:r w:rsidR="00B4722F" w:rsidRPr="00BC225E">
        <w:t xml:space="preserve"> per</w:t>
      </w:r>
      <w:r w:rsidR="00B61A0A" w:rsidRPr="00BC225E">
        <w:t xml:space="preserve"> </w:t>
      </w:r>
      <w:r w:rsidR="00B4722F" w:rsidRPr="00BC225E">
        <w:t xml:space="preserve">cent. </w:t>
      </w:r>
      <w:r w:rsidR="00F123BD" w:rsidRPr="00BC225E">
        <w:t xml:space="preserve">UNDP assets consist mainly of </w:t>
      </w:r>
      <w:r w:rsidR="007E4833" w:rsidRPr="00BC225E">
        <w:t>investments</w:t>
      </w:r>
      <w:r w:rsidR="00F123BD" w:rsidRPr="00BC225E">
        <w:t xml:space="preserve"> to fund known liabilities, as well as </w:t>
      </w:r>
      <w:r w:rsidR="00A47F7C" w:rsidRPr="00BC225E">
        <w:t>contributions r</w:t>
      </w:r>
      <w:r w:rsidR="00A47F7C" w:rsidRPr="000E57AE">
        <w:t xml:space="preserve">eceivable, as set out below. </w:t>
      </w:r>
    </w:p>
    <w:p w14:paraId="34DEDD9C" w14:textId="5C822F18" w:rsidR="000B1F9D" w:rsidRPr="00CC147A" w:rsidRDefault="00B937C4" w:rsidP="5D788B90">
      <w:pPr>
        <w:pStyle w:val="SingleTxt"/>
        <w:keepNext/>
        <w:tabs>
          <w:tab w:val="clear" w:pos="2218"/>
        </w:tabs>
        <w:spacing w:after="0"/>
        <w:ind w:left="2398" w:hanging="1138"/>
        <w:jc w:val="center"/>
        <w:rPr>
          <w:b/>
          <w:highlight w:val="cyan"/>
        </w:rPr>
      </w:pPr>
      <w:r w:rsidRPr="00B664C6">
        <w:rPr>
          <w:b/>
        </w:rPr>
        <w:t xml:space="preserve">Figure </w:t>
      </w:r>
      <w:r w:rsidR="004D4DCC" w:rsidRPr="00B664C6">
        <w:rPr>
          <w:b/>
        </w:rPr>
        <w:t>VI</w:t>
      </w:r>
      <w:r w:rsidR="00A1202C" w:rsidRPr="00B664C6">
        <w:rPr>
          <w:b/>
        </w:rPr>
        <w:t xml:space="preserve">.  </w:t>
      </w:r>
      <w:r w:rsidR="000B1F9D" w:rsidRPr="00B664C6">
        <w:rPr>
          <w:b/>
        </w:rPr>
        <w:t xml:space="preserve">UNDP </w:t>
      </w:r>
      <w:r w:rsidR="00452A2D" w:rsidRPr="00B664C6">
        <w:rPr>
          <w:b/>
        </w:rPr>
        <w:t>a</w:t>
      </w:r>
      <w:r w:rsidR="000B1F9D" w:rsidRPr="00B664C6">
        <w:rPr>
          <w:b/>
        </w:rPr>
        <w:t xml:space="preserve">ssets, </w:t>
      </w:r>
      <w:r w:rsidR="00702F31" w:rsidRPr="00B664C6">
        <w:rPr>
          <w:b/>
        </w:rPr>
        <w:t>2019-2020</w:t>
      </w:r>
    </w:p>
    <w:p w14:paraId="56089FFD" w14:textId="09559512" w:rsidR="00033B7C" w:rsidRPr="00F875D7" w:rsidRDefault="00B664C6" w:rsidP="00F875D7">
      <w:pPr>
        <w:pStyle w:val="SingleTxt"/>
        <w:keepNext/>
        <w:tabs>
          <w:tab w:val="clear" w:pos="2218"/>
        </w:tabs>
        <w:ind w:left="3024" w:hanging="1764"/>
        <w:jc w:val="center"/>
        <w:rPr>
          <w:i/>
          <w:iCs/>
        </w:rPr>
      </w:pPr>
      <w:r>
        <w:rPr>
          <w:noProof/>
        </w:rPr>
        <w:drawing>
          <wp:anchor distT="0" distB="0" distL="114300" distR="114300" simplePos="0" relativeHeight="251658246" behindDoc="1" locked="0" layoutInCell="1" allowOverlap="1" wp14:anchorId="0317AB30" wp14:editId="7D2027BC">
            <wp:simplePos x="0" y="0"/>
            <wp:positionH relativeFrom="margin">
              <wp:posOffset>527050</wp:posOffset>
            </wp:positionH>
            <wp:positionV relativeFrom="paragraph">
              <wp:posOffset>200025</wp:posOffset>
            </wp:positionV>
            <wp:extent cx="5448300" cy="2794000"/>
            <wp:effectExtent l="0" t="0" r="0" b="6350"/>
            <wp:wrapSquare wrapText="bothSides"/>
            <wp:docPr id="1429017342" name="Picture 173501329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5013290"/>
                    <pic:cNvPicPr/>
                  </pic:nvPicPr>
                  <pic:blipFill>
                    <a:blip r:embed="rId26">
                      <a:extLst>
                        <a:ext uri="{28A0092B-C50C-407E-A947-70E740481C1C}">
                          <a14:useLocalDpi xmlns:a14="http://schemas.microsoft.com/office/drawing/2010/main" val="0"/>
                        </a:ext>
                      </a:extLst>
                    </a:blip>
                    <a:stretch>
                      <a:fillRect/>
                    </a:stretch>
                  </pic:blipFill>
                  <pic:spPr>
                    <a:xfrm>
                      <a:off x="0" y="0"/>
                      <a:ext cx="5448300" cy="2794000"/>
                    </a:xfrm>
                    <a:prstGeom prst="rect">
                      <a:avLst/>
                    </a:prstGeom>
                  </pic:spPr>
                </pic:pic>
              </a:graphicData>
            </a:graphic>
            <wp14:sizeRelH relativeFrom="page">
              <wp14:pctWidth>0</wp14:pctWidth>
            </wp14:sizeRelH>
            <wp14:sizeRelV relativeFrom="page">
              <wp14:pctHeight>0</wp14:pctHeight>
            </wp14:sizeRelV>
          </wp:anchor>
        </w:drawing>
      </w:r>
      <w:r w:rsidR="4484479D" w:rsidRPr="0F9F2C32">
        <w:rPr>
          <w:i/>
          <w:iCs/>
        </w:rPr>
        <w:t xml:space="preserve">(in millions of </w:t>
      </w:r>
      <w:r w:rsidR="2E908218" w:rsidRPr="0F9F2C32">
        <w:rPr>
          <w:i/>
          <w:iCs/>
        </w:rPr>
        <w:t xml:space="preserve">United States </w:t>
      </w:r>
      <w:r w:rsidR="4484479D" w:rsidRPr="0F9F2C32">
        <w:rPr>
          <w:i/>
          <w:iCs/>
        </w:rPr>
        <w:t>dollars)</w:t>
      </w:r>
      <w:bookmarkStart w:id="383" w:name="_Toc39596258"/>
      <w:bookmarkStart w:id="384" w:name="_Toc40281206"/>
      <w:bookmarkStart w:id="385" w:name="_Toc40281365"/>
      <w:bookmarkStart w:id="386" w:name="_Toc44499892"/>
      <w:r w:rsidR="4074E311" w:rsidRPr="0F9F2C32">
        <w:rPr>
          <w:noProof/>
        </w:rPr>
        <w:t xml:space="preserve"> </w:t>
      </w:r>
    </w:p>
    <w:p w14:paraId="7EA6C807" w14:textId="439609E2" w:rsidR="00472981" w:rsidRPr="009E5F63" w:rsidRDefault="00472981" w:rsidP="009E5F63">
      <w:pPr>
        <w:pStyle w:val="H4"/>
        <w:tabs>
          <w:tab w:val="clear" w:pos="1742"/>
          <w:tab w:val="left" w:pos="1440"/>
          <w:tab w:val="left" w:pos="1620"/>
        </w:tabs>
        <w:spacing w:before="240" w:after="240" w:line="240" w:lineRule="auto"/>
        <w:ind w:left="1008" w:firstLine="0"/>
        <w:outlineLvl w:val="2"/>
      </w:pPr>
      <w:bookmarkStart w:id="387" w:name="_Toc44603240"/>
      <w:bookmarkStart w:id="388" w:name="_Toc44606553"/>
      <w:bookmarkStart w:id="389" w:name="_Toc45297438"/>
      <w:bookmarkStart w:id="390" w:name="_Toc46221150"/>
      <w:bookmarkStart w:id="391" w:name="_Toc46399214"/>
      <w:bookmarkStart w:id="392" w:name="_Toc75466851"/>
      <w:r w:rsidRPr="000E57AE">
        <w:t>Cash and investments</w:t>
      </w:r>
      <w:bookmarkEnd w:id="383"/>
      <w:bookmarkEnd w:id="384"/>
      <w:bookmarkEnd w:id="385"/>
      <w:bookmarkEnd w:id="386"/>
      <w:bookmarkEnd w:id="387"/>
      <w:bookmarkEnd w:id="388"/>
      <w:bookmarkEnd w:id="389"/>
      <w:bookmarkEnd w:id="390"/>
      <w:bookmarkEnd w:id="391"/>
      <w:bookmarkEnd w:id="392"/>
    </w:p>
    <w:p w14:paraId="5F54AADA" w14:textId="2BC94177" w:rsidR="002C1049" w:rsidRPr="00AF3FD4" w:rsidRDefault="009960EC" w:rsidP="00AF3FD4">
      <w:pPr>
        <w:pStyle w:val="ListParagraph"/>
        <w:numPr>
          <w:ilvl w:val="0"/>
          <w:numId w:val="5"/>
        </w:numPr>
        <w:spacing w:before="240" w:after="240" w:line="240" w:lineRule="auto"/>
        <w:ind w:right="1267"/>
        <w:contextualSpacing w:val="0"/>
        <w:jc w:val="both"/>
      </w:pPr>
      <w:r w:rsidRPr="000E57AE">
        <w:t xml:space="preserve">Total </w:t>
      </w:r>
      <w:r w:rsidR="00DE2BC5" w:rsidRPr="000E57AE">
        <w:t>cash and cash eq</w:t>
      </w:r>
      <w:r w:rsidR="005D5895" w:rsidRPr="000E57AE">
        <w:t>u</w:t>
      </w:r>
      <w:r w:rsidR="00DE2BC5" w:rsidRPr="000E57AE">
        <w:t xml:space="preserve">ivalents </w:t>
      </w:r>
      <w:r w:rsidR="005D5895" w:rsidRPr="000E57AE">
        <w:t xml:space="preserve">and </w:t>
      </w:r>
      <w:r w:rsidR="00C734EB" w:rsidRPr="000E57AE">
        <w:t xml:space="preserve">investments </w:t>
      </w:r>
      <w:r w:rsidR="00DB0C47" w:rsidRPr="000E57AE">
        <w:t>amounted to $</w:t>
      </w:r>
      <w:r w:rsidR="005C3096">
        <w:t>839</w:t>
      </w:r>
      <w:r w:rsidR="00DB0C47" w:rsidRPr="000E57AE">
        <w:t xml:space="preserve"> million and $</w:t>
      </w:r>
      <w:r w:rsidR="005C3096">
        <w:t>7.2</w:t>
      </w:r>
      <w:r w:rsidR="00492099">
        <w:t xml:space="preserve"> billion</w:t>
      </w:r>
      <w:r w:rsidR="0015701C">
        <w:t>,</w:t>
      </w:r>
      <w:r w:rsidR="00DB0C47" w:rsidRPr="000E57AE">
        <w:t xml:space="preserve"> respectively</w:t>
      </w:r>
      <w:r w:rsidR="00CB5862" w:rsidRPr="000E57AE">
        <w:t>.</w:t>
      </w:r>
      <w:r w:rsidR="00D2391E" w:rsidRPr="00AF3FD4">
        <w:t xml:space="preserve"> </w:t>
      </w:r>
    </w:p>
    <w:p w14:paraId="4E2B6634" w14:textId="77166CE2" w:rsidR="001326F4" w:rsidRPr="000E57AE" w:rsidRDefault="00986235" w:rsidP="00AF3FD4">
      <w:pPr>
        <w:pStyle w:val="ListParagraph"/>
        <w:numPr>
          <w:ilvl w:val="0"/>
          <w:numId w:val="5"/>
        </w:numPr>
        <w:spacing w:before="240" w:after="240" w:line="240" w:lineRule="auto"/>
        <w:ind w:right="1267"/>
        <w:contextualSpacing w:val="0"/>
        <w:jc w:val="both"/>
      </w:pPr>
      <w:r w:rsidRPr="000E57AE">
        <w:t xml:space="preserve">The </w:t>
      </w:r>
      <w:r w:rsidR="00584DAB" w:rsidRPr="000E57AE">
        <w:t>majority</w:t>
      </w:r>
      <w:r w:rsidR="001578CC" w:rsidRPr="000E57AE">
        <w:t xml:space="preserve"> </w:t>
      </w:r>
      <w:r w:rsidR="00584DAB" w:rsidRPr="000E57AE">
        <w:t xml:space="preserve">of investments and cash and cash equivalents </w:t>
      </w:r>
      <w:r w:rsidR="00BF4C75" w:rsidRPr="000E57AE">
        <w:t xml:space="preserve">in other resources </w:t>
      </w:r>
      <w:r w:rsidR="00584DAB" w:rsidRPr="000E57AE">
        <w:t xml:space="preserve">are </w:t>
      </w:r>
      <w:r w:rsidR="00CB6AC7" w:rsidRPr="000E57AE">
        <w:t xml:space="preserve">earmarked for programme activities </w:t>
      </w:r>
      <w:r w:rsidR="00BE0D2F" w:rsidRPr="000E57AE">
        <w:t>funded through cost-sharing and trust fund agreements with donors</w:t>
      </w:r>
      <w:r w:rsidR="001578CC" w:rsidRPr="000E57AE">
        <w:t xml:space="preserve">. </w:t>
      </w:r>
      <w:r w:rsidR="00992880" w:rsidRPr="000E57AE">
        <w:t>The investments</w:t>
      </w:r>
      <w:r w:rsidR="00F75026" w:rsidRPr="000E57AE">
        <w:t xml:space="preserve"> and cash equivalents in </w:t>
      </w:r>
      <w:r w:rsidR="00E374EA" w:rsidRPr="000E57AE">
        <w:t xml:space="preserve">regular resources and other resources </w:t>
      </w:r>
      <w:r w:rsidR="001326F4" w:rsidRPr="000E57AE">
        <w:t xml:space="preserve">also </w:t>
      </w:r>
      <w:r w:rsidR="00EF3A5C" w:rsidRPr="000E57AE">
        <w:t>include</w:t>
      </w:r>
      <w:r w:rsidR="00AF1D2C">
        <w:t>s</w:t>
      </w:r>
      <w:r w:rsidR="00EF3A5C" w:rsidRPr="000E57AE">
        <w:t xml:space="preserve"> </w:t>
      </w:r>
      <w:r w:rsidR="00782C88" w:rsidRPr="000E57AE">
        <w:t>$</w:t>
      </w:r>
      <w:r w:rsidR="00F407DA">
        <w:t>91</w:t>
      </w:r>
      <w:r w:rsidR="00864247">
        <w:t>8</w:t>
      </w:r>
      <w:r w:rsidR="00142C8D" w:rsidRPr="000E57AE">
        <w:t xml:space="preserve"> million for </w:t>
      </w:r>
      <w:r w:rsidR="0015701C">
        <w:t xml:space="preserve">after-service health insurance </w:t>
      </w:r>
      <w:r w:rsidR="00B0558E" w:rsidRPr="00B0558E">
        <w:t>(ASHI)</w:t>
      </w:r>
      <w:r w:rsidR="00B0558E">
        <w:t xml:space="preserve"> </w:t>
      </w:r>
      <w:r w:rsidR="006F620A" w:rsidRPr="000E57AE">
        <w:t>and the amount</w:t>
      </w:r>
      <w:r w:rsidR="00D05994" w:rsidRPr="000E57AE">
        <w:t xml:space="preserve"> invested for </w:t>
      </w:r>
      <w:r w:rsidR="00BA02F2" w:rsidRPr="000E57AE">
        <w:t xml:space="preserve">the </w:t>
      </w:r>
      <w:r w:rsidR="00BC33B8" w:rsidRPr="000E57AE">
        <w:t xml:space="preserve">Executive Board mandated </w:t>
      </w:r>
      <w:r w:rsidR="00531DC0" w:rsidRPr="000E57AE">
        <w:t xml:space="preserve">operational </w:t>
      </w:r>
      <w:r w:rsidR="00BA02F2" w:rsidRPr="000E57AE">
        <w:t>reserves of $</w:t>
      </w:r>
      <w:r w:rsidR="00421104">
        <w:t>299</w:t>
      </w:r>
      <w:r w:rsidR="006D6B85">
        <w:t> </w:t>
      </w:r>
      <w:r w:rsidR="00BA02F2" w:rsidRPr="000E57AE">
        <w:t>million</w:t>
      </w:r>
      <w:r w:rsidR="00BC33B8" w:rsidRPr="000E57AE">
        <w:t xml:space="preserve"> and </w:t>
      </w:r>
      <w:r w:rsidR="0015701C">
        <w:t xml:space="preserve">the Programme of Assistance to the Palestinian People </w:t>
      </w:r>
      <w:r w:rsidR="006D6B85">
        <w:t xml:space="preserve">(PAPP) </w:t>
      </w:r>
      <w:r w:rsidR="00BC33B8" w:rsidRPr="000E57AE">
        <w:t>Endowment Fund of $3</w:t>
      </w:r>
      <w:r w:rsidR="0015701C">
        <w:t> </w:t>
      </w:r>
      <w:r w:rsidR="00346C4D" w:rsidRPr="000E57AE">
        <w:t>million</w:t>
      </w:r>
      <w:r w:rsidR="00C26EA7" w:rsidRPr="000E57AE">
        <w:t>.</w:t>
      </w:r>
    </w:p>
    <w:p w14:paraId="71FCC024" w14:textId="318F151A" w:rsidR="00722D46" w:rsidRPr="000E57AE" w:rsidRDefault="001326F4" w:rsidP="00AF3FD4">
      <w:pPr>
        <w:pStyle w:val="ListParagraph"/>
        <w:numPr>
          <w:ilvl w:val="0"/>
          <w:numId w:val="5"/>
        </w:numPr>
        <w:spacing w:before="240" w:after="240" w:line="240" w:lineRule="auto"/>
        <w:ind w:right="1267"/>
        <w:contextualSpacing w:val="0"/>
        <w:jc w:val="both"/>
      </w:pPr>
      <w:r w:rsidRPr="000E57AE">
        <w:t xml:space="preserve">The </w:t>
      </w:r>
      <w:r w:rsidR="00986235" w:rsidRPr="000E57AE">
        <w:t xml:space="preserve">total </w:t>
      </w:r>
      <w:r w:rsidR="00185F29" w:rsidRPr="000E57AE">
        <w:t xml:space="preserve">cash and investments </w:t>
      </w:r>
      <w:r w:rsidRPr="000E57AE">
        <w:t xml:space="preserve">for </w:t>
      </w:r>
      <w:r w:rsidR="002967DF">
        <w:t>Multi-Partner Trust Fund Office</w:t>
      </w:r>
      <w:r w:rsidRPr="000E57AE">
        <w:t xml:space="preserve"> </w:t>
      </w:r>
      <w:r w:rsidR="00986235" w:rsidRPr="000E57AE">
        <w:t>of $</w:t>
      </w:r>
      <w:r w:rsidR="00421104">
        <w:t>1,029</w:t>
      </w:r>
      <w:r w:rsidR="00986235" w:rsidRPr="000E57AE">
        <w:t xml:space="preserve"> </w:t>
      </w:r>
      <w:r w:rsidR="00185F29" w:rsidRPr="000E57AE">
        <w:t xml:space="preserve">million </w:t>
      </w:r>
      <w:r w:rsidR="00434BCA" w:rsidRPr="000E57AE">
        <w:t xml:space="preserve">(cash and cash equivalents of </w:t>
      </w:r>
      <w:r w:rsidR="00041766" w:rsidRPr="000E57AE">
        <w:t>$</w:t>
      </w:r>
      <w:r w:rsidR="00D44D09">
        <w:t>339</w:t>
      </w:r>
      <w:r w:rsidR="00041766" w:rsidRPr="000E57AE">
        <w:t xml:space="preserve"> million and investments </w:t>
      </w:r>
      <w:r w:rsidR="0015701C">
        <w:t xml:space="preserve">of </w:t>
      </w:r>
      <w:r w:rsidR="00041766" w:rsidRPr="000E57AE">
        <w:t>$</w:t>
      </w:r>
      <w:r w:rsidR="00D44D09">
        <w:t>690</w:t>
      </w:r>
      <w:r w:rsidR="00041766" w:rsidRPr="000E57AE">
        <w:t xml:space="preserve"> million) </w:t>
      </w:r>
      <w:r w:rsidR="00FD476B" w:rsidRPr="000E57AE">
        <w:t xml:space="preserve">represent funds provided to UNDP by </w:t>
      </w:r>
      <w:r w:rsidR="007F64EF">
        <w:t>funding partners</w:t>
      </w:r>
      <w:r w:rsidR="00FD476B" w:rsidRPr="000E57AE">
        <w:t xml:space="preserve"> to be held on their behalf </w:t>
      </w:r>
      <w:r w:rsidR="00080AA8" w:rsidRPr="000E57AE">
        <w:t xml:space="preserve">for future disbursement to organizations of the United Nations system and to national governments. </w:t>
      </w:r>
    </w:p>
    <w:p w14:paraId="5E3EC56B" w14:textId="2828F638" w:rsidR="00472981" w:rsidRPr="009E5F63" w:rsidRDefault="00472981" w:rsidP="007A712B">
      <w:pPr>
        <w:pStyle w:val="H4"/>
        <w:tabs>
          <w:tab w:val="clear" w:pos="1742"/>
          <w:tab w:val="left" w:pos="1440"/>
          <w:tab w:val="left" w:pos="1620"/>
        </w:tabs>
        <w:spacing w:before="240" w:after="240" w:line="240" w:lineRule="auto"/>
        <w:ind w:left="1008" w:firstLine="0"/>
        <w:outlineLvl w:val="2"/>
      </w:pPr>
      <w:bookmarkStart w:id="393" w:name="_Toc39596259"/>
      <w:bookmarkStart w:id="394" w:name="_Toc40281207"/>
      <w:bookmarkStart w:id="395" w:name="_Toc40281366"/>
      <w:bookmarkStart w:id="396" w:name="_Toc44499893"/>
      <w:bookmarkStart w:id="397" w:name="_Toc44603241"/>
      <w:bookmarkStart w:id="398" w:name="_Toc44606554"/>
      <w:bookmarkStart w:id="399" w:name="_Toc45297439"/>
      <w:bookmarkStart w:id="400" w:name="_Toc46221151"/>
      <w:bookmarkStart w:id="401" w:name="_Toc46399215"/>
      <w:bookmarkStart w:id="402" w:name="_Toc75466852"/>
      <w:proofErr w:type="gramStart"/>
      <w:r w:rsidRPr="000E57AE">
        <w:t>Contributions</w:t>
      </w:r>
      <w:proofErr w:type="gramEnd"/>
      <w:r w:rsidRPr="000E57AE">
        <w:t xml:space="preserve"> receivable</w:t>
      </w:r>
      <w:bookmarkEnd w:id="393"/>
      <w:bookmarkEnd w:id="394"/>
      <w:bookmarkEnd w:id="395"/>
      <w:bookmarkEnd w:id="396"/>
      <w:bookmarkEnd w:id="397"/>
      <w:bookmarkEnd w:id="398"/>
      <w:bookmarkEnd w:id="399"/>
      <w:bookmarkEnd w:id="400"/>
      <w:bookmarkEnd w:id="401"/>
      <w:bookmarkEnd w:id="402"/>
    </w:p>
    <w:p w14:paraId="2928774F" w14:textId="69E41CF2" w:rsidR="003A32A3" w:rsidRPr="0057213A" w:rsidRDefault="002A502F" w:rsidP="00AF3FD4">
      <w:pPr>
        <w:pStyle w:val="ListParagraph"/>
        <w:numPr>
          <w:ilvl w:val="0"/>
          <w:numId w:val="5"/>
        </w:numPr>
        <w:spacing w:before="240" w:after="240" w:line="240" w:lineRule="auto"/>
        <w:ind w:right="1267"/>
        <w:contextualSpacing w:val="0"/>
        <w:jc w:val="both"/>
      </w:pPr>
      <w:bookmarkStart w:id="403" w:name="_Hlk1474284"/>
      <w:r w:rsidRPr="0057213A">
        <w:t>C</w:t>
      </w:r>
      <w:r w:rsidR="00472981" w:rsidRPr="0057213A">
        <w:t xml:space="preserve">ontributions receivable from </w:t>
      </w:r>
      <w:r w:rsidR="00966DF8" w:rsidRPr="0057213A">
        <w:t>funding partners</w:t>
      </w:r>
      <w:r w:rsidR="00472981" w:rsidRPr="0057213A">
        <w:t xml:space="preserve"> registered $</w:t>
      </w:r>
      <w:r w:rsidR="00621E9F" w:rsidRPr="0057213A">
        <w:t>4</w:t>
      </w:r>
      <w:r w:rsidR="00492099" w:rsidRPr="0057213A">
        <w:t>.</w:t>
      </w:r>
      <w:r w:rsidR="00762CE7" w:rsidRPr="0057213A">
        <w:t>8</w:t>
      </w:r>
      <w:r w:rsidR="00492099" w:rsidRPr="0057213A">
        <w:t xml:space="preserve"> billion</w:t>
      </w:r>
      <w:r w:rsidR="00562423" w:rsidRPr="0057213A">
        <w:t>, a</w:t>
      </w:r>
      <w:r w:rsidR="00DF52CC" w:rsidRPr="0057213A">
        <w:t>n increase</w:t>
      </w:r>
      <w:r w:rsidR="00562423" w:rsidRPr="0057213A">
        <w:t xml:space="preserve"> of </w:t>
      </w:r>
      <w:r w:rsidR="007A7C37" w:rsidRPr="0057213A">
        <w:t>$</w:t>
      </w:r>
      <w:r w:rsidR="00762CE7" w:rsidRPr="0057213A">
        <w:t>754</w:t>
      </w:r>
      <w:r w:rsidR="006B2B54" w:rsidRPr="0057213A">
        <w:t> </w:t>
      </w:r>
      <w:r w:rsidR="007A7C37" w:rsidRPr="0057213A">
        <w:t>million (</w:t>
      </w:r>
      <w:r w:rsidR="00600ED0" w:rsidRPr="0057213A">
        <w:t>1</w:t>
      </w:r>
      <w:r w:rsidR="00762CE7" w:rsidRPr="0057213A">
        <w:t>9</w:t>
      </w:r>
      <w:r w:rsidR="00470AD9" w:rsidRPr="0057213A">
        <w:t xml:space="preserve"> per cent</w:t>
      </w:r>
      <w:r w:rsidR="007A7C37" w:rsidRPr="0057213A">
        <w:t xml:space="preserve">) </w:t>
      </w:r>
      <w:r w:rsidR="00562423" w:rsidRPr="0057213A">
        <w:t xml:space="preserve">from </w:t>
      </w:r>
      <w:r w:rsidR="00470AD9" w:rsidRPr="0057213A">
        <w:t xml:space="preserve">the </w:t>
      </w:r>
      <w:r w:rsidR="00600ED0" w:rsidRPr="0057213A">
        <w:t>2019</w:t>
      </w:r>
      <w:r w:rsidR="00470AD9" w:rsidRPr="0057213A">
        <w:t xml:space="preserve"> amount of </w:t>
      </w:r>
      <w:r w:rsidR="00562423" w:rsidRPr="0057213A">
        <w:t>$</w:t>
      </w:r>
      <w:r w:rsidR="00251665" w:rsidRPr="0057213A">
        <w:t>4</w:t>
      </w:r>
      <w:r w:rsidR="00492099" w:rsidRPr="0057213A">
        <w:t>.</w:t>
      </w:r>
      <w:r w:rsidR="00600ED0" w:rsidRPr="0057213A">
        <w:t>1</w:t>
      </w:r>
      <w:r w:rsidR="00492099" w:rsidRPr="0057213A">
        <w:t xml:space="preserve"> billion</w:t>
      </w:r>
      <w:r w:rsidR="007A7C37" w:rsidRPr="0057213A">
        <w:t xml:space="preserve">. </w:t>
      </w:r>
      <w:bookmarkEnd w:id="403"/>
    </w:p>
    <w:p w14:paraId="1075E40C" w14:textId="4F12D0B2" w:rsidR="004232F3" w:rsidRPr="00794F4B" w:rsidRDefault="00794F4B" w:rsidP="00AF3FD4">
      <w:pPr>
        <w:pStyle w:val="ListParagraph"/>
        <w:numPr>
          <w:ilvl w:val="0"/>
          <w:numId w:val="5"/>
        </w:numPr>
        <w:spacing w:before="240" w:after="240" w:line="240" w:lineRule="auto"/>
        <w:ind w:right="1267"/>
        <w:contextualSpacing w:val="0"/>
        <w:jc w:val="both"/>
      </w:pPr>
      <w:r w:rsidRPr="00794F4B">
        <w:lastRenderedPageBreak/>
        <w:t>C</w:t>
      </w:r>
      <w:r w:rsidR="003B4481" w:rsidRPr="00794F4B">
        <w:t xml:space="preserve">ontributions </w:t>
      </w:r>
      <w:r w:rsidR="003A218B" w:rsidRPr="00794F4B">
        <w:t>receivable</w:t>
      </w:r>
      <w:r w:rsidR="00101DA3" w:rsidRPr="00794F4B">
        <w:t xml:space="preserve"> amou</w:t>
      </w:r>
      <w:r w:rsidR="00931B31" w:rsidRPr="00794F4B">
        <w:t>nts</w:t>
      </w:r>
      <w:r w:rsidR="003B4481" w:rsidRPr="00794F4B">
        <w:t xml:space="preserve"> are </w:t>
      </w:r>
      <w:r w:rsidR="003A218B" w:rsidRPr="00794F4B">
        <w:t>recognized in full, including for multi-year contributions, at the time the agreement is signed</w:t>
      </w:r>
      <w:r w:rsidR="006857A0" w:rsidRPr="00794F4B">
        <w:t>,</w:t>
      </w:r>
      <w:r w:rsidR="003A218B" w:rsidRPr="00794F4B">
        <w:t xml:space="preserve"> except for programme government contribution agreements and agreements </w:t>
      </w:r>
      <w:r w:rsidR="006B2B54" w:rsidRPr="00794F4B">
        <w:t xml:space="preserve">that </w:t>
      </w:r>
      <w:r w:rsidR="003A218B" w:rsidRPr="00794F4B">
        <w:t xml:space="preserve">have performance conditions beyond the control of UNDP. </w:t>
      </w:r>
      <w:r w:rsidR="00FC3D9C" w:rsidRPr="00794F4B">
        <w:t>As these funds are not yet received, they are not available for utilization.</w:t>
      </w:r>
    </w:p>
    <w:p w14:paraId="15BA6BBD" w14:textId="2EFCCA7D" w:rsidR="00C5001F" w:rsidRPr="00B664C6" w:rsidRDefault="005126F1" w:rsidP="00AF3FD4">
      <w:pPr>
        <w:pStyle w:val="ListParagraph"/>
        <w:numPr>
          <w:ilvl w:val="0"/>
          <w:numId w:val="5"/>
        </w:numPr>
        <w:spacing w:before="240" w:after="240" w:line="240" w:lineRule="auto"/>
        <w:ind w:right="1267"/>
        <w:contextualSpacing w:val="0"/>
        <w:jc w:val="both"/>
      </w:pPr>
      <w:proofErr w:type="gramStart"/>
      <w:r w:rsidRPr="00B664C6">
        <w:t>Contributions</w:t>
      </w:r>
      <w:proofErr w:type="gramEnd"/>
      <w:r w:rsidRPr="00B664C6">
        <w:t xml:space="preserve"> receivable </w:t>
      </w:r>
      <w:r w:rsidR="00521B57" w:rsidRPr="00B664C6">
        <w:t xml:space="preserve">of </w:t>
      </w:r>
      <w:r w:rsidR="00EE4EF7" w:rsidRPr="00B664C6">
        <w:t>$</w:t>
      </w:r>
      <w:r w:rsidR="000120FF" w:rsidRPr="00B664C6">
        <w:t>4.</w:t>
      </w:r>
      <w:r w:rsidR="00746A28" w:rsidRPr="00B664C6">
        <w:t>8</w:t>
      </w:r>
      <w:r w:rsidR="00521B57" w:rsidRPr="00B664C6">
        <w:t xml:space="preserve"> </w:t>
      </w:r>
      <w:r w:rsidR="00492099" w:rsidRPr="00B664C6">
        <w:t>b</w:t>
      </w:r>
      <w:r w:rsidR="00521B57" w:rsidRPr="00B664C6">
        <w:t xml:space="preserve">illion </w:t>
      </w:r>
      <w:r w:rsidRPr="00B664C6">
        <w:t>include</w:t>
      </w:r>
      <w:r w:rsidR="00A9572F" w:rsidRPr="00B664C6">
        <w:t xml:space="preserve"> $</w:t>
      </w:r>
      <w:r w:rsidR="00DC03C9" w:rsidRPr="00B664C6">
        <w:t>4.</w:t>
      </w:r>
      <w:r w:rsidR="00746A28" w:rsidRPr="00B664C6">
        <w:t>7</w:t>
      </w:r>
      <w:r w:rsidR="00A9572F" w:rsidRPr="00B664C6">
        <w:t xml:space="preserve"> </w:t>
      </w:r>
      <w:r w:rsidR="00492099" w:rsidRPr="00B664C6">
        <w:t>b</w:t>
      </w:r>
      <w:r w:rsidR="00A9572F" w:rsidRPr="00B664C6">
        <w:t xml:space="preserve">illion </w:t>
      </w:r>
      <w:r w:rsidR="00593C88" w:rsidRPr="00B664C6">
        <w:t xml:space="preserve">committed to UNDP by </w:t>
      </w:r>
      <w:r w:rsidR="00EE7A8A" w:rsidRPr="00B664C6">
        <w:t xml:space="preserve">donors </w:t>
      </w:r>
      <w:r w:rsidR="00962BE1" w:rsidRPr="00B664C6">
        <w:t xml:space="preserve">in future years, </w:t>
      </w:r>
      <w:r w:rsidR="00EE7A8A" w:rsidRPr="00B664C6">
        <w:t>as set out in the payment schedule in signed agreements</w:t>
      </w:r>
      <w:r w:rsidR="00C13A88" w:rsidRPr="00B664C6">
        <w:t xml:space="preserve">. </w:t>
      </w:r>
      <w:r w:rsidR="008721A8" w:rsidRPr="00B664C6">
        <w:t xml:space="preserve">This amount </w:t>
      </w:r>
      <w:r w:rsidR="00962BE1" w:rsidRPr="00B664C6">
        <w:t xml:space="preserve">is </w:t>
      </w:r>
      <w:r w:rsidR="00EE7A8A" w:rsidRPr="00B664C6">
        <w:t>programmed accordingly for delivery in future years</w:t>
      </w:r>
      <w:r w:rsidR="00390152" w:rsidRPr="00B664C6">
        <w:t xml:space="preserve"> and </w:t>
      </w:r>
      <w:r w:rsidR="00EE7A8A" w:rsidRPr="00B664C6">
        <w:t>consists of $</w:t>
      </w:r>
      <w:r w:rsidR="00EA0AA2" w:rsidRPr="00B664C6">
        <w:t>19</w:t>
      </w:r>
      <w:r w:rsidR="00187834" w:rsidRPr="00B664C6">
        <w:t>2.5</w:t>
      </w:r>
      <w:r w:rsidR="00EE7A8A" w:rsidRPr="00B664C6">
        <w:t xml:space="preserve"> million receivable for regular resources and $</w:t>
      </w:r>
      <w:r w:rsidR="00EA0AA2" w:rsidRPr="00B664C6">
        <w:t>4.</w:t>
      </w:r>
      <w:r w:rsidR="00746A28" w:rsidRPr="00B664C6">
        <w:t>5</w:t>
      </w:r>
      <w:r w:rsidR="00492099" w:rsidRPr="00B664C6">
        <w:t xml:space="preserve"> billion</w:t>
      </w:r>
      <w:r w:rsidR="00EE7A8A" w:rsidRPr="00B664C6">
        <w:t xml:space="preserve"> for other resources</w:t>
      </w:r>
      <w:r w:rsidR="00476FCB" w:rsidRPr="00B664C6">
        <w:t>.</w:t>
      </w:r>
    </w:p>
    <w:p w14:paraId="58D0CA43" w14:textId="7764A088" w:rsidR="00C56520" w:rsidRPr="00B664C6" w:rsidRDefault="00C56520" w:rsidP="0032253F">
      <w:pPr>
        <w:pStyle w:val="ListParagraph"/>
        <w:numPr>
          <w:ilvl w:val="0"/>
          <w:numId w:val="5"/>
        </w:numPr>
        <w:spacing w:before="240" w:after="240" w:line="240" w:lineRule="auto"/>
        <w:ind w:right="1267"/>
        <w:contextualSpacing w:val="0"/>
        <w:jc w:val="both"/>
      </w:pPr>
      <w:r w:rsidRPr="00B664C6">
        <w:t xml:space="preserve">Of the </w:t>
      </w:r>
      <w:r w:rsidR="00B24C4B" w:rsidRPr="00B664C6">
        <w:t>of $</w:t>
      </w:r>
      <w:r w:rsidR="001F5D81" w:rsidRPr="00B664C6">
        <w:t>19</w:t>
      </w:r>
      <w:r w:rsidR="00084DF8" w:rsidRPr="00B664C6">
        <w:t>1.7</w:t>
      </w:r>
      <w:r w:rsidR="00B24C4B" w:rsidRPr="00B664C6">
        <w:t xml:space="preserve"> million</w:t>
      </w:r>
      <w:r w:rsidRPr="00B664C6">
        <w:t xml:space="preserve"> </w:t>
      </w:r>
      <w:r w:rsidR="003B35E3" w:rsidRPr="00B664C6">
        <w:t xml:space="preserve">regular resources </w:t>
      </w:r>
      <w:r w:rsidRPr="00B664C6">
        <w:t>contributions receivable, $</w:t>
      </w:r>
      <w:r w:rsidR="00E656CA" w:rsidRPr="00B664C6">
        <w:t>192.5</w:t>
      </w:r>
      <w:r w:rsidR="00D3445C" w:rsidRPr="00B664C6">
        <w:t xml:space="preserve"> million</w:t>
      </w:r>
      <w:r w:rsidR="00084DF8" w:rsidRPr="00B664C6">
        <w:t xml:space="preserve"> is due in future years, and </w:t>
      </w:r>
      <w:r w:rsidRPr="00B664C6">
        <w:t>the</w:t>
      </w:r>
      <w:r w:rsidR="00711612" w:rsidRPr="00B664C6">
        <w:t xml:space="preserve"> </w:t>
      </w:r>
      <w:r w:rsidRPr="00B664C6">
        <w:t xml:space="preserve">balance of </w:t>
      </w:r>
      <w:r w:rsidR="00746A28" w:rsidRPr="00B664C6">
        <w:t>-</w:t>
      </w:r>
      <w:r w:rsidRPr="00B664C6">
        <w:t>$</w:t>
      </w:r>
      <w:r w:rsidR="00711612" w:rsidRPr="00B664C6">
        <w:t xml:space="preserve">860 thousands </w:t>
      </w:r>
      <w:r w:rsidRPr="00B664C6">
        <w:t xml:space="preserve">is </w:t>
      </w:r>
      <w:r w:rsidR="00711612" w:rsidRPr="00B664C6">
        <w:t xml:space="preserve">allowance for </w:t>
      </w:r>
      <w:r w:rsidR="000531BF" w:rsidRPr="00B664C6">
        <w:t>the receivables due in 2020</w:t>
      </w:r>
      <w:r w:rsidRPr="00B664C6">
        <w:t>. Of the</w:t>
      </w:r>
      <w:r w:rsidR="003B35E3" w:rsidRPr="00B664C6">
        <w:t xml:space="preserve"> </w:t>
      </w:r>
      <w:r w:rsidR="00E435FC" w:rsidRPr="00B664C6">
        <w:t>$</w:t>
      </w:r>
      <w:r w:rsidR="000531BF" w:rsidRPr="00B664C6">
        <w:t>4.</w:t>
      </w:r>
      <w:r w:rsidR="000C2A63" w:rsidRPr="00B664C6">
        <w:t>6</w:t>
      </w:r>
      <w:r w:rsidR="002E1F91" w:rsidRPr="00B664C6">
        <w:t xml:space="preserve"> billion other</w:t>
      </w:r>
      <w:r w:rsidR="00DD2E25" w:rsidRPr="00B664C6">
        <w:t xml:space="preserve"> </w:t>
      </w:r>
      <w:r w:rsidR="003B35E3" w:rsidRPr="00B664C6">
        <w:t>resources</w:t>
      </w:r>
      <w:r w:rsidRPr="00B664C6">
        <w:t xml:space="preserve"> contributions receivable,</w:t>
      </w:r>
      <w:r w:rsidR="00E41829" w:rsidRPr="00B664C6">
        <w:t xml:space="preserve"> </w:t>
      </w:r>
      <w:r w:rsidR="00CC318B" w:rsidRPr="00B664C6">
        <w:t>$</w:t>
      </w:r>
      <w:r w:rsidR="00FB4DD9" w:rsidRPr="00B664C6">
        <w:t>13</w:t>
      </w:r>
      <w:r w:rsidR="000C2A63" w:rsidRPr="00B664C6">
        <w:t>4</w:t>
      </w:r>
      <w:r w:rsidR="00CC318B" w:rsidRPr="00B664C6">
        <w:t xml:space="preserve"> million is past due, </w:t>
      </w:r>
      <w:r w:rsidRPr="00B664C6">
        <w:t>$</w:t>
      </w:r>
      <w:r w:rsidR="005A682B" w:rsidRPr="00B664C6">
        <w:t>2.5</w:t>
      </w:r>
      <w:r w:rsidRPr="00B664C6">
        <w:t xml:space="preserve"> billion is due in 202</w:t>
      </w:r>
      <w:r w:rsidR="005A682B" w:rsidRPr="00B664C6">
        <w:t>1</w:t>
      </w:r>
      <w:r w:rsidR="00E41829" w:rsidRPr="00B664C6">
        <w:t>,</w:t>
      </w:r>
      <w:r w:rsidRPr="00B664C6">
        <w:t xml:space="preserve"> and the balance of $</w:t>
      </w:r>
      <w:r w:rsidR="00D342A2" w:rsidRPr="00B664C6">
        <w:t>2.0</w:t>
      </w:r>
      <w:r w:rsidRPr="00B664C6">
        <w:t xml:space="preserve"> billion is due in future years. Three donors (</w:t>
      </w:r>
      <w:r w:rsidR="00C47F35" w:rsidRPr="00B664C6">
        <w:t xml:space="preserve">Global Fund to Fight AIDS, Tuberculosis and Malaria; </w:t>
      </w:r>
      <w:r w:rsidRPr="00B664C6">
        <w:t xml:space="preserve">Global Environment Fund, and European Union) account for </w:t>
      </w:r>
      <w:r w:rsidR="000151E8" w:rsidRPr="00B664C6">
        <w:t>49</w:t>
      </w:r>
      <w:r w:rsidR="003B35E3" w:rsidRPr="00B664C6">
        <w:t xml:space="preserve"> per cent</w:t>
      </w:r>
      <w:r w:rsidRPr="00B664C6">
        <w:t xml:space="preserve"> (201</w:t>
      </w:r>
      <w:r w:rsidR="00A83B56" w:rsidRPr="00B664C6">
        <w:t>9</w:t>
      </w:r>
      <w:r w:rsidRPr="00B664C6">
        <w:t xml:space="preserve">: </w:t>
      </w:r>
      <w:r w:rsidR="00A83B56" w:rsidRPr="00B664C6">
        <w:t>49</w:t>
      </w:r>
      <w:r w:rsidR="003B35E3" w:rsidRPr="00B664C6">
        <w:t xml:space="preserve"> per cent</w:t>
      </w:r>
      <w:r w:rsidRPr="00B664C6">
        <w:t xml:space="preserve">) of total </w:t>
      </w:r>
      <w:r w:rsidR="008F3CF7" w:rsidRPr="00B664C6">
        <w:t>other (</w:t>
      </w:r>
      <w:r w:rsidRPr="00B664C6">
        <w:t>non-core</w:t>
      </w:r>
      <w:r w:rsidR="008F3CF7" w:rsidRPr="00B664C6">
        <w:t>)</w:t>
      </w:r>
      <w:r w:rsidRPr="00B664C6">
        <w:t xml:space="preserve"> outstanding receivables. This provides visibility of future year funding available for programme pipeline.</w:t>
      </w:r>
    </w:p>
    <w:p w14:paraId="3EB8FCA2" w14:textId="1C434857" w:rsidR="003278F9" w:rsidRPr="000C3158" w:rsidRDefault="00D520E6" w:rsidP="003F5F37">
      <w:pPr>
        <w:pStyle w:val="SingleTxt"/>
        <w:keepNext/>
        <w:tabs>
          <w:tab w:val="clear" w:pos="2218"/>
        </w:tabs>
        <w:spacing w:after="0" w:line="240" w:lineRule="auto"/>
        <w:jc w:val="center"/>
        <w:rPr>
          <w:b/>
        </w:rPr>
      </w:pPr>
      <w:r w:rsidRPr="000C3158">
        <w:rPr>
          <w:b/>
        </w:rPr>
        <w:t xml:space="preserve">Table </w:t>
      </w:r>
      <w:r w:rsidR="0071731E" w:rsidRPr="000C3158">
        <w:rPr>
          <w:b/>
        </w:rPr>
        <w:t>6</w:t>
      </w:r>
      <w:r w:rsidRPr="000C3158">
        <w:rPr>
          <w:b/>
        </w:rPr>
        <w:t xml:space="preserve">. </w:t>
      </w:r>
      <w:proofErr w:type="gramStart"/>
      <w:r w:rsidRPr="000C3158">
        <w:rPr>
          <w:b/>
        </w:rPr>
        <w:t>Contributions</w:t>
      </w:r>
      <w:proofErr w:type="gramEnd"/>
      <w:r w:rsidRPr="000C3158">
        <w:rPr>
          <w:b/>
        </w:rPr>
        <w:t xml:space="preserve"> receivable, </w:t>
      </w:r>
      <w:r w:rsidR="000C3158" w:rsidRPr="000C3158">
        <w:rPr>
          <w:b/>
        </w:rPr>
        <w:t>2019-2020</w:t>
      </w:r>
    </w:p>
    <w:p w14:paraId="196D5106" w14:textId="0A3A25DF" w:rsidR="00931B31" w:rsidRPr="003278F9" w:rsidRDefault="00240245" w:rsidP="003F5F37">
      <w:pPr>
        <w:pStyle w:val="SingleTxt"/>
        <w:keepNext/>
        <w:tabs>
          <w:tab w:val="clear" w:pos="2218"/>
        </w:tabs>
        <w:jc w:val="center"/>
        <w:rPr>
          <w:i/>
        </w:rPr>
      </w:pPr>
      <w:r w:rsidRPr="000C3158">
        <w:rPr>
          <w:i/>
        </w:rPr>
        <w:t>(in millions</w:t>
      </w:r>
      <w:r w:rsidR="003278F9" w:rsidRPr="000C3158">
        <w:rPr>
          <w:i/>
        </w:rPr>
        <w:t xml:space="preserve"> of United States dollars</w:t>
      </w:r>
      <w:r w:rsidRPr="000C3158">
        <w:rPr>
          <w:i/>
        </w:rPr>
        <w:t>)</w:t>
      </w:r>
    </w:p>
    <w:tbl>
      <w:tblPr>
        <w:tblW w:w="6766" w:type="dxa"/>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048"/>
        <w:gridCol w:w="1147"/>
        <w:gridCol w:w="1026"/>
      </w:tblGrid>
      <w:tr w:rsidR="0099187E" w:rsidRPr="000E57AE" w14:paraId="5BA0926E" w14:textId="77777777" w:rsidTr="0099187E">
        <w:trPr>
          <w:trHeight w:val="487"/>
        </w:trPr>
        <w:tc>
          <w:tcPr>
            <w:tcW w:w="3545" w:type="dxa"/>
            <w:shd w:val="clear" w:color="auto" w:fill="auto"/>
            <w:vAlign w:val="center"/>
            <w:hideMark/>
          </w:tcPr>
          <w:p w14:paraId="11C9FF77" w14:textId="77777777" w:rsidR="0099187E" w:rsidRPr="000E57AE" w:rsidRDefault="0099187E" w:rsidP="0099187E">
            <w:pPr>
              <w:keepNext/>
              <w:suppressAutoHyphens w:val="0"/>
              <w:spacing w:line="240" w:lineRule="auto"/>
              <w:rPr>
                <w:rFonts w:eastAsia="Times New Roman"/>
                <w:b/>
                <w:bCs/>
                <w:color w:val="000000"/>
                <w:spacing w:val="0"/>
                <w:w w:val="100"/>
                <w:kern w:val="0"/>
                <w:sz w:val="16"/>
                <w:szCs w:val="16"/>
              </w:rPr>
            </w:pPr>
            <w:proofErr w:type="gramStart"/>
            <w:r w:rsidRPr="000E57AE">
              <w:rPr>
                <w:rFonts w:eastAsia="Times New Roman"/>
                <w:b/>
                <w:bCs/>
                <w:color w:val="000000"/>
                <w:spacing w:val="0"/>
                <w:w w:val="100"/>
                <w:kern w:val="0"/>
                <w:sz w:val="16"/>
                <w:szCs w:val="16"/>
              </w:rPr>
              <w:t>Contributions</w:t>
            </w:r>
            <w:proofErr w:type="gramEnd"/>
            <w:r w:rsidRPr="000E57AE">
              <w:rPr>
                <w:rFonts w:eastAsia="Times New Roman"/>
                <w:b/>
                <w:bCs/>
                <w:color w:val="000000"/>
                <w:spacing w:val="0"/>
                <w:w w:val="100"/>
                <w:kern w:val="0"/>
                <w:sz w:val="16"/>
                <w:szCs w:val="16"/>
              </w:rPr>
              <w:t xml:space="preserve"> receivable</w:t>
            </w:r>
          </w:p>
        </w:tc>
        <w:tc>
          <w:tcPr>
            <w:tcW w:w="1048" w:type="dxa"/>
            <w:vAlign w:val="center"/>
          </w:tcPr>
          <w:p w14:paraId="62060DAE" w14:textId="5C3AFDCE" w:rsidR="0099187E" w:rsidRPr="000E57AE" w:rsidRDefault="0099187E" w:rsidP="0099187E">
            <w:pPr>
              <w:keepNext/>
              <w:suppressAutoHyphens w:val="0"/>
              <w:spacing w:line="240" w:lineRule="auto"/>
              <w:jc w:val="center"/>
              <w:rPr>
                <w:rFonts w:eastAsia="Times New Roman"/>
                <w:b/>
                <w:bCs/>
                <w:color w:val="000000"/>
                <w:spacing w:val="0"/>
                <w:w w:val="100"/>
                <w:kern w:val="0"/>
                <w:sz w:val="16"/>
                <w:szCs w:val="16"/>
              </w:rPr>
            </w:pPr>
            <w:r>
              <w:rPr>
                <w:rFonts w:eastAsia="Times New Roman"/>
                <w:b/>
                <w:bCs/>
                <w:color w:val="000000"/>
                <w:spacing w:val="0"/>
                <w:w w:val="100"/>
                <w:kern w:val="0"/>
                <w:sz w:val="16"/>
                <w:szCs w:val="16"/>
              </w:rPr>
              <w:t>20</w:t>
            </w:r>
            <w:r w:rsidR="000C3158">
              <w:rPr>
                <w:rFonts w:eastAsia="Times New Roman"/>
                <w:b/>
                <w:bCs/>
                <w:color w:val="000000"/>
                <w:spacing w:val="0"/>
                <w:w w:val="100"/>
                <w:kern w:val="0"/>
                <w:sz w:val="16"/>
                <w:szCs w:val="16"/>
              </w:rPr>
              <w:t>20</w:t>
            </w:r>
          </w:p>
        </w:tc>
        <w:tc>
          <w:tcPr>
            <w:tcW w:w="1147" w:type="dxa"/>
            <w:vAlign w:val="center"/>
          </w:tcPr>
          <w:p w14:paraId="211F1CD8" w14:textId="0F791776" w:rsidR="0099187E" w:rsidRPr="000E57AE" w:rsidRDefault="0099187E" w:rsidP="000C3158">
            <w:pPr>
              <w:keepNext/>
              <w:jc w:val="center"/>
              <w:rPr>
                <w:rFonts w:eastAsia="Times New Roman"/>
                <w:b/>
                <w:bCs/>
                <w:color w:val="000000"/>
                <w:spacing w:val="0"/>
                <w:w w:val="100"/>
                <w:kern w:val="0"/>
                <w:sz w:val="16"/>
                <w:szCs w:val="16"/>
              </w:rPr>
            </w:pPr>
            <w:r w:rsidRPr="008A1060">
              <w:rPr>
                <w:rFonts w:eastAsia="Times New Roman"/>
                <w:b/>
                <w:bCs/>
                <w:color w:val="000000"/>
                <w:sz w:val="16"/>
                <w:szCs w:val="16"/>
              </w:rPr>
              <w:t>20</w:t>
            </w:r>
            <w:r w:rsidR="000C3158">
              <w:rPr>
                <w:rFonts w:eastAsia="Times New Roman"/>
                <w:b/>
                <w:bCs/>
                <w:color w:val="000000"/>
                <w:sz w:val="16"/>
                <w:szCs w:val="16"/>
              </w:rPr>
              <w:t>19</w:t>
            </w:r>
          </w:p>
        </w:tc>
        <w:tc>
          <w:tcPr>
            <w:tcW w:w="1026" w:type="dxa"/>
            <w:shd w:val="clear" w:color="auto" w:fill="auto"/>
            <w:vAlign w:val="center"/>
            <w:hideMark/>
          </w:tcPr>
          <w:p w14:paraId="242C896B" w14:textId="77777777" w:rsidR="0099187E" w:rsidRPr="000E57AE" w:rsidRDefault="0099187E" w:rsidP="0099187E">
            <w:pPr>
              <w:keepNext/>
              <w:suppressAutoHyphens w:val="0"/>
              <w:spacing w:line="240" w:lineRule="auto"/>
              <w:jc w:val="center"/>
              <w:rPr>
                <w:rFonts w:eastAsia="Times New Roman"/>
                <w:b/>
                <w:bCs/>
                <w:color w:val="000000"/>
                <w:spacing w:val="0"/>
                <w:w w:val="100"/>
                <w:kern w:val="0"/>
                <w:sz w:val="16"/>
                <w:szCs w:val="16"/>
              </w:rPr>
            </w:pPr>
            <w:r w:rsidRPr="000E57AE">
              <w:rPr>
                <w:rFonts w:eastAsia="Times New Roman"/>
                <w:b/>
                <w:bCs/>
                <w:color w:val="000000"/>
                <w:spacing w:val="0"/>
                <w:w w:val="100"/>
                <w:kern w:val="0"/>
                <w:sz w:val="16"/>
                <w:szCs w:val="16"/>
              </w:rPr>
              <w:t>increase/ (decrease)</w:t>
            </w:r>
          </w:p>
        </w:tc>
      </w:tr>
      <w:tr w:rsidR="000C3158" w:rsidRPr="000E57AE" w14:paraId="0E82A712" w14:textId="77777777" w:rsidTr="000C3158">
        <w:trPr>
          <w:trHeight w:val="272"/>
        </w:trPr>
        <w:tc>
          <w:tcPr>
            <w:tcW w:w="3545" w:type="dxa"/>
            <w:shd w:val="clear" w:color="auto" w:fill="auto"/>
            <w:vAlign w:val="center"/>
            <w:hideMark/>
          </w:tcPr>
          <w:p w14:paraId="3A1E6785" w14:textId="77777777" w:rsidR="000C3158" w:rsidRPr="000E57AE" w:rsidRDefault="000C3158" w:rsidP="000C3158">
            <w:pPr>
              <w:keepNext/>
              <w:suppressAutoHyphens w:val="0"/>
              <w:spacing w:line="240" w:lineRule="auto"/>
              <w:rPr>
                <w:rFonts w:eastAsia="Times New Roman"/>
                <w:color w:val="000000"/>
                <w:spacing w:val="0"/>
                <w:w w:val="100"/>
                <w:kern w:val="0"/>
                <w:sz w:val="16"/>
                <w:szCs w:val="16"/>
              </w:rPr>
            </w:pPr>
            <w:r w:rsidRPr="000E57AE">
              <w:rPr>
                <w:rFonts w:eastAsia="Times New Roman"/>
                <w:color w:val="000000"/>
                <w:spacing w:val="0"/>
                <w:w w:val="100"/>
                <w:kern w:val="0"/>
                <w:sz w:val="16"/>
                <w:szCs w:val="16"/>
              </w:rPr>
              <w:t>Contributions past due</w:t>
            </w:r>
          </w:p>
        </w:tc>
        <w:tc>
          <w:tcPr>
            <w:tcW w:w="1048" w:type="dxa"/>
            <w:vAlign w:val="center"/>
          </w:tcPr>
          <w:p w14:paraId="4AD0D76C" w14:textId="41539519" w:rsidR="000C3158" w:rsidRPr="00E1502B" w:rsidRDefault="000C3158" w:rsidP="000C3158">
            <w:pPr>
              <w:keepNext/>
              <w:suppressAutoHyphens w:val="0"/>
              <w:spacing w:line="240" w:lineRule="auto"/>
              <w:jc w:val="right"/>
              <w:rPr>
                <w:rFonts w:eastAsia="Times New Roman"/>
                <w:color w:val="000000"/>
                <w:spacing w:val="0"/>
                <w:w w:val="100"/>
                <w:kern w:val="0"/>
                <w:sz w:val="16"/>
                <w:szCs w:val="16"/>
              </w:rPr>
            </w:pPr>
            <w:r w:rsidRPr="00E1502B">
              <w:rPr>
                <w:rFonts w:eastAsia="Times New Roman"/>
                <w:color w:val="000000"/>
                <w:spacing w:val="0"/>
                <w:w w:val="100"/>
                <w:kern w:val="0"/>
                <w:sz w:val="16"/>
                <w:szCs w:val="16"/>
              </w:rPr>
              <w:t>13</w:t>
            </w:r>
            <w:r w:rsidR="001520E9" w:rsidRPr="00E1502B">
              <w:rPr>
                <w:rFonts w:eastAsia="Times New Roman"/>
                <w:color w:val="000000"/>
                <w:spacing w:val="0"/>
                <w:w w:val="100"/>
                <w:kern w:val="0"/>
                <w:sz w:val="16"/>
                <w:szCs w:val="16"/>
              </w:rPr>
              <w:t>3</w:t>
            </w:r>
          </w:p>
        </w:tc>
        <w:tc>
          <w:tcPr>
            <w:tcW w:w="1147" w:type="dxa"/>
            <w:vAlign w:val="center"/>
          </w:tcPr>
          <w:p w14:paraId="388DF6C6" w14:textId="32FA7FED" w:rsidR="000C3158" w:rsidRPr="00E1502B" w:rsidDel="00A05C94" w:rsidRDefault="000C3158" w:rsidP="000C3158">
            <w:pPr>
              <w:keepNext/>
              <w:suppressAutoHyphens w:val="0"/>
              <w:spacing w:line="240" w:lineRule="auto"/>
              <w:jc w:val="right"/>
              <w:rPr>
                <w:rFonts w:eastAsia="Times New Roman"/>
                <w:color w:val="000000"/>
                <w:spacing w:val="0"/>
                <w:w w:val="100"/>
                <w:kern w:val="0"/>
                <w:sz w:val="16"/>
                <w:szCs w:val="16"/>
              </w:rPr>
            </w:pPr>
            <w:r w:rsidRPr="00E1502B">
              <w:rPr>
                <w:rFonts w:eastAsia="Times New Roman"/>
                <w:color w:val="000000"/>
                <w:spacing w:val="0"/>
                <w:w w:val="100"/>
                <w:kern w:val="0"/>
                <w:sz w:val="16"/>
                <w:szCs w:val="16"/>
              </w:rPr>
              <w:t>104</w:t>
            </w:r>
          </w:p>
        </w:tc>
        <w:tc>
          <w:tcPr>
            <w:tcW w:w="1026" w:type="dxa"/>
            <w:shd w:val="clear" w:color="auto" w:fill="auto"/>
            <w:noWrap/>
            <w:vAlign w:val="center"/>
          </w:tcPr>
          <w:p w14:paraId="1948877E" w14:textId="7491F735" w:rsidR="000C3158" w:rsidRPr="00E1502B" w:rsidRDefault="000C3158" w:rsidP="000C3158">
            <w:pPr>
              <w:keepNext/>
              <w:suppressAutoHyphens w:val="0"/>
              <w:spacing w:line="240" w:lineRule="auto"/>
              <w:jc w:val="right"/>
              <w:rPr>
                <w:rFonts w:eastAsia="Times New Roman"/>
                <w:color w:val="000000"/>
                <w:spacing w:val="0"/>
                <w:w w:val="100"/>
                <w:kern w:val="0"/>
                <w:sz w:val="16"/>
                <w:szCs w:val="16"/>
              </w:rPr>
            </w:pPr>
            <w:r w:rsidRPr="00E1502B">
              <w:rPr>
                <w:rFonts w:eastAsia="Times New Roman"/>
                <w:color w:val="000000"/>
                <w:spacing w:val="0"/>
                <w:w w:val="100"/>
                <w:kern w:val="0"/>
                <w:sz w:val="16"/>
                <w:szCs w:val="16"/>
              </w:rPr>
              <w:t>2</w:t>
            </w:r>
            <w:r w:rsidR="001520E9" w:rsidRPr="00E1502B">
              <w:rPr>
                <w:rFonts w:eastAsia="Times New Roman"/>
                <w:color w:val="000000"/>
                <w:spacing w:val="0"/>
                <w:w w:val="100"/>
                <w:kern w:val="0"/>
                <w:sz w:val="16"/>
                <w:szCs w:val="16"/>
              </w:rPr>
              <w:t>9</w:t>
            </w:r>
          </w:p>
        </w:tc>
      </w:tr>
      <w:tr w:rsidR="000C3158" w:rsidRPr="000E57AE" w14:paraId="21D318E5" w14:textId="77777777" w:rsidTr="000C3158">
        <w:trPr>
          <w:trHeight w:val="272"/>
        </w:trPr>
        <w:tc>
          <w:tcPr>
            <w:tcW w:w="3545" w:type="dxa"/>
            <w:shd w:val="clear" w:color="auto" w:fill="auto"/>
            <w:vAlign w:val="center"/>
            <w:hideMark/>
          </w:tcPr>
          <w:p w14:paraId="45501D27" w14:textId="77777777" w:rsidR="000C3158" w:rsidRPr="000E57AE" w:rsidRDefault="000C3158" w:rsidP="000C3158">
            <w:pPr>
              <w:keepNext/>
              <w:suppressAutoHyphens w:val="0"/>
              <w:spacing w:line="240" w:lineRule="auto"/>
              <w:rPr>
                <w:rFonts w:eastAsia="Times New Roman"/>
                <w:color w:val="000000"/>
                <w:spacing w:val="0"/>
                <w:w w:val="100"/>
                <w:kern w:val="0"/>
                <w:sz w:val="16"/>
                <w:szCs w:val="16"/>
              </w:rPr>
            </w:pPr>
            <w:r w:rsidRPr="000E57AE">
              <w:rPr>
                <w:rFonts w:eastAsia="Times New Roman"/>
                <w:color w:val="000000"/>
                <w:spacing w:val="0"/>
                <w:w w:val="100"/>
                <w:kern w:val="0"/>
                <w:sz w:val="16"/>
                <w:szCs w:val="16"/>
              </w:rPr>
              <w:t>Contributions due in future periods</w:t>
            </w:r>
          </w:p>
        </w:tc>
        <w:tc>
          <w:tcPr>
            <w:tcW w:w="1048" w:type="dxa"/>
            <w:vAlign w:val="center"/>
          </w:tcPr>
          <w:p w14:paraId="3465DD06" w14:textId="22DAC4CD" w:rsidR="000C3158" w:rsidRPr="00E1502B" w:rsidRDefault="000C3158" w:rsidP="000C3158">
            <w:pPr>
              <w:keepNext/>
              <w:suppressAutoHyphens w:val="0"/>
              <w:spacing w:line="240" w:lineRule="auto"/>
              <w:jc w:val="right"/>
              <w:rPr>
                <w:rFonts w:eastAsia="Times New Roman"/>
                <w:color w:val="000000"/>
                <w:spacing w:val="0"/>
                <w:w w:val="100"/>
                <w:kern w:val="0"/>
                <w:sz w:val="16"/>
                <w:szCs w:val="16"/>
              </w:rPr>
            </w:pPr>
            <w:r w:rsidRPr="00E1502B">
              <w:rPr>
                <w:rFonts w:eastAsia="Times New Roman"/>
                <w:color w:val="000000"/>
                <w:spacing w:val="0"/>
                <w:w w:val="100"/>
                <w:kern w:val="0"/>
                <w:sz w:val="16"/>
                <w:szCs w:val="16"/>
              </w:rPr>
              <w:t>4,6</w:t>
            </w:r>
            <w:r w:rsidR="001520E9" w:rsidRPr="00E1502B">
              <w:rPr>
                <w:rFonts w:eastAsia="Times New Roman"/>
                <w:color w:val="000000"/>
                <w:spacing w:val="0"/>
                <w:w w:val="100"/>
                <w:kern w:val="0"/>
                <w:sz w:val="16"/>
                <w:szCs w:val="16"/>
              </w:rPr>
              <w:t>72</w:t>
            </w:r>
          </w:p>
        </w:tc>
        <w:tc>
          <w:tcPr>
            <w:tcW w:w="1147" w:type="dxa"/>
            <w:vAlign w:val="center"/>
          </w:tcPr>
          <w:p w14:paraId="10BC8E4E" w14:textId="705D2A44" w:rsidR="000C3158" w:rsidRPr="00E1502B" w:rsidRDefault="000C3158" w:rsidP="000C3158">
            <w:pPr>
              <w:keepNext/>
              <w:suppressAutoHyphens w:val="0"/>
              <w:spacing w:line="240" w:lineRule="auto"/>
              <w:jc w:val="right"/>
              <w:rPr>
                <w:rFonts w:eastAsia="Times New Roman"/>
                <w:color w:val="000000"/>
                <w:spacing w:val="0"/>
                <w:w w:val="100"/>
                <w:kern w:val="0"/>
                <w:sz w:val="16"/>
                <w:szCs w:val="16"/>
              </w:rPr>
            </w:pPr>
            <w:r w:rsidRPr="00E1502B">
              <w:rPr>
                <w:rFonts w:eastAsia="Times New Roman"/>
                <w:color w:val="000000"/>
                <w:spacing w:val="0"/>
                <w:w w:val="100"/>
                <w:kern w:val="0"/>
                <w:sz w:val="16"/>
                <w:szCs w:val="16"/>
              </w:rPr>
              <w:t>3,947</w:t>
            </w:r>
          </w:p>
        </w:tc>
        <w:tc>
          <w:tcPr>
            <w:tcW w:w="1026" w:type="dxa"/>
            <w:shd w:val="clear" w:color="auto" w:fill="auto"/>
            <w:noWrap/>
            <w:vAlign w:val="center"/>
          </w:tcPr>
          <w:p w14:paraId="0A9F7188" w14:textId="362FBC8A" w:rsidR="000C3158" w:rsidRPr="00E1502B" w:rsidRDefault="00C607A9" w:rsidP="000C3158">
            <w:pPr>
              <w:keepNext/>
              <w:suppressAutoHyphens w:val="0"/>
              <w:spacing w:line="240" w:lineRule="auto"/>
              <w:jc w:val="right"/>
              <w:rPr>
                <w:rFonts w:eastAsia="Times New Roman"/>
                <w:color w:val="000000"/>
                <w:spacing w:val="0"/>
                <w:w w:val="100"/>
                <w:kern w:val="0"/>
                <w:sz w:val="16"/>
                <w:szCs w:val="16"/>
              </w:rPr>
            </w:pPr>
            <w:r w:rsidRPr="00E1502B">
              <w:rPr>
                <w:rFonts w:eastAsia="Times New Roman"/>
                <w:color w:val="000000"/>
                <w:spacing w:val="0"/>
                <w:w w:val="100"/>
                <w:kern w:val="0"/>
                <w:sz w:val="16"/>
                <w:szCs w:val="16"/>
              </w:rPr>
              <w:t>7</w:t>
            </w:r>
            <w:r w:rsidR="001520E9" w:rsidRPr="00E1502B">
              <w:rPr>
                <w:rFonts w:eastAsia="Times New Roman"/>
                <w:color w:val="000000"/>
                <w:spacing w:val="0"/>
                <w:w w:val="100"/>
                <w:kern w:val="0"/>
                <w:sz w:val="16"/>
                <w:szCs w:val="16"/>
              </w:rPr>
              <w:t>25</w:t>
            </w:r>
          </w:p>
        </w:tc>
      </w:tr>
      <w:tr w:rsidR="000C3158" w:rsidRPr="000E57AE" w14:paraId="3460EE89" w14:textId="77777777" w:rsidTr="000C3158">
        <w:trPr>
          <w:trHeight w:val="272"/>
        </w:trPr>
        <w:tc>
          <w:tcPr>
            <w:tcW w:w="3545" w:type="dxa"/>
            <w:shd w:val="clear" w:color="auto" w:fill="auto"/>
            <w:vAlign w:val="center"/>
            <w:hideMark/>
          </w:tcPr>
          <w:p w14:paraId="3A6EBC4B" w14:textId="77777777" w:rsidR="000C3158" w:rsidRPr="000E57AE" w:rsidRDefault="000C3158" w:rsidP="000C3158">
            <w:pPr>
              <w:keepNext/>
              <w:suppressAutoHyphens w:val="0"/>
              <w:spacing w:line="240" w:lineRule="auto"/>
              <w:rPr>
                <w:rFonts w:eastAsia="Times New Roman"/>
                <w:b/>
                <w:bCs/>
                <w:color w:val="000000"/>
                <w:spacing w:val="0"/>
                <w:w w:val="100"/>
                <w:kern w:val="0"/>
                <w:sz w:val="16"/>
                <w:szCs w:val="16"/>
              </w:rPr>
            </w:pPr>
            <w:r w:rsidRPr="000E57AE">
              <w:rPr>
                <w:rFonts w:eastAsia="Times New Roman"/>
                <w:b/>
                <w:bCs/>
                <w:color w:val="000000"/>
                <w:spacing w:val="0"/>
                <w:w w:val="100"/>
                <w:kern w:val="0"/>
                <w:sz w:val="16"/>
                <w:szCs w:val="16"/>
              </w:rPr>
              <w:t xml:space="preserve">Total contributions receivables </w:t>
            </w:r>
          </w:p>
        </w:tc>
        <w:tc>
          <w:tcPr>
            <w:tcW w:w="1048" w:type="dxa"/>
            <w:vAlign w:val="center"/>
          </w:tcPr>
          <w:p w14:paraId="4A0F861E" w14:textId="43996702" w:rsidR="000C3158" w:rsidRPr="00E1502B" w:rsidRDefault="000C3158" w:rsidP="000C3158">
            <w:pPr>
              <w:keepNext/>
              <w:suppressAutoHyphens w:val="0"/>
              <w:spacing w:line="240" w:lineRule="auto"/>
              <w:jc w:val="right"/>
              <w:rPr>
                <w:rFonts w:eastAsia="Times New Roman"/>
                <w:b/>
                <w:bCs/>
                <w:color w:val="000000"/>
                <w:spacing w:val="0"/>
                <w:w w:val="100"/>
                <w:kern w:val="0"/>
                <w:sz w:val="16"/>
                <w:szCs w:val="16"/>
              </w:rPr>
            </w:pPr>
            <w:r w:rsidRPr="00E1502B">
              <w:rPr>
                <w:rFonts w:eastAsia="Times New Roman"/>
                <w:b/>
                <w:bCs/>
                <w:color w:val="000000"/>
                <w:spacing w:val="0"/>
                <w:w w:val="100"/>
                <w:kern w:val="0"/>
                <w:sz w:val="16"/>
                <w:szCs w:val="16"/>
              </w:rPr>
              <w:t>4,</w:t>
            </w:r>
            <w:r w:rsidR="001520E9" w:rsidRPr="00E1502B">
              <w:rPr>
                <w:rFonts w:eastAsia="Times New Roman"/>
                <w:b/>
                <w:bCs/>
                <w:color w:val="000000"/>
                <w:spacing w:val="0"/>
                <w:w w:val="100"/>
                <w:kern w:val="0"/>
                <w:sz w:val="16"/>
                <w:szCs w:val="16"/>
              </w:rPr>
              <w:t>805</w:t>
            </w:r>
          </w:p>
        </w:tc>
        <w:tc>
          <w:tcPr>
            <w:tcW w:w="1147" w:type="dxa"/>
            <w:vAlign w:val="center"/>
          </w:tcPr>
          <w:p w14:paraId="73ECE8CA" w14:textId="677D217D" w:rsidR="000C3158" w:rsidRPr="00E1502B" w:rsidRDefault="000C3158" w:rsidP="000C3158">
            <w:pPr>
              <w:keepNext/>
              <w:suppressAutoHyphens w:val="0"/>
              <w:spacing w:line="240" w:lineRule="auto"/>
              <w:jc w:val="right"/>
              <w:rPr>
                <w:rFonts w:eastAsia="Times New Roman"/>
                <w:b/>
                <w:bCs/>
                <w:color w:val="000000"/>
                <w:spacing w:val="0"/>
                <w:w w:val="100"/>
                <w:kern w:val="0"/>
                <w:sz w:val="16"/>
                <w:szCs w:val="16"/>
              </w:rPr>
            </w:pPr>
            <w:r w:rsidRPr="00E1502B">
              <w:rPr>
                <w:rFonts w:eastAsia="Times New Roman"/>
                <w:b/>
                <w:bCs/>
                <w:color w:val="000000"/>
                <w:spacing w:val="0"/>
                <w:w w:val="100"/>
                <w:kern w:val="0"/>
                <w:sz w:val="16"/>
                <w:szCs w:val="16"/>
              </w:rPr>
              <w:t>4,051</w:t>
            </w:r>
          </w:p>
        </w:tc>
        <w:tc>
          <w:tcPr>
            <w:tcW w:w="1026" w:type="dxa"/>
            <w:shd w:val="clear" w:color="auto" w:fill="auto"/>
            <w:noWrap/>
            <w:vAlign w:val="center"/>
          </w:tcPr>
          <w:p w14:paraId="722FF1EC" w14:textId="3D5BC9FE" w:rsidR="000C3158" w:rsidRPr="00E1502B" w:rsidRDefault="001520E9" w:rsidP="000C3158">
            <w:pPr>
              <w:keepNext/>
              <w:suppressAutoHyphens w:val="0"/>
              <w:spacing w:line="240" w:lineRule="auto"/>
              <w:jc w:val="right"/>
              <w:rPr>
                <w:rFonts w:eastAsia="Times New Roman"/>
                <w:color w:val="000000"/>
                <w:spacing w:val="0"/>
                <w:w w:val="100"/>
                <w:kern w:val="0"/>
                <w:sz w:val="16"/>
                <w:szCs w:val="16"/>
              </w:rPr>
            </w:pPr>
            <w:r w:rsidRPr="00E1502B">
              <w:rPr>
                <w:rFonts w:eastAsia="Times New Roman"/>
                <w:color w:val="000000"/>
                <w:spacing w:val="0"/>
                <w:w w:val="100"/>
                <w:kern w:val="0"/>
                <w:sz w:val="16"/>
                <w:szCs w:val="16"/>
              </w:rPr>
              <w:t>754</w:t>
            </w:r>
          </w:p>
        </w:tc>
      </w:tr>
    </w:tbl>
    <w:p w14:paraId="29A6EDEF" w14:textId="7592F3EB" w:rsidR="00515B84" w:rsidRPr="009E5F63" w:rsidRDefault="00CA2EE4" w:rsidP="005F648C">
      <w:pPr>
        <w:pStyle w:val="H1"/>
        <w:numPr>
          <w:ilvl w:val="1"/>
          <w:numId w:val="7"/>
        </w:numPr>
        <w:tabs>
          <w:tab w:val="clear" w:pos="1022"/>
          <w:tab w:val="clear" w:pos="1742"/>
          <w:tab w:val="right" w:pos="1440"/>
          <w:tab w:val="left" w:pos="1800"/>
        </w:tabs>
        <w:spacing w:before="240" w:after="240" w:line="240" w:lineRule="auto"/>
        <w:ind w:left="1152" w:right="0"/>
        <w:outlineLvl w:val="1"/>
      </w:pPr>
      <w:bookmarkStart w:id="404" w:name="_Toc40281208"/>
      <w:bookmarkStart w:id="405" w:name="_Toc40281367"/>
      <w:bookmarkStart w:id="406" w:name="_Toc44499894"/>
      <w:bookmarkStart w:id="407" w:name="_Toc44600440"/>
      <w:bookmarkStart w:id="408" w:name="_Toc44600787"/>
      <w:bookmarkStart w:id="409" w:name="_Toc44603242"/>
      <w:bookmarkStart w:id="410" w:name="_Toc44606555"/>
      <w:bookmarkStart w:id="411" w:name="_Toc75466853"/>
      <w:bookmarkEnd w:id="404"/>
      <w:bookmarkEnd w:id="405"/>
      <w:bookmarkEnd w:id="406"/>
      <w:bookmarkEnd w:id="407"/>
      <w:bookmarkEnd w:id="408"/>
      <w:bookmarkEnd w:id="409"/>
      <w:bookmarkEnd w:id="410"/>
      <w:r w:rsidRPr="000E57AE">
        <w:t>Liabilities</w:t>
      </w:r>
      <w:bookmarkEnd w:id="411"/>
    </w:p>
    <w:p w14:paraId="796F5E8C" w14:textId="1AF21239" w:rsidR="00602B26" w:rsidRPr="000E57AE" w:rsidRDefault="009F2F03" w:rsidP="00AF3FD4">
      <w:pPr>
        <w:pStyle w:val="ListParagraph"/>
        <w:numPr>
          <w:ilvl w:val="0"/>
          <w:numId w:val="5"/>
        </w:numPr>
        <w:spacing w:before="240" w:after="240" w:line="240" w:lineRule="auto"/>
        <w:ind w:right="1267"/>
        <w:contextualSpacing w:val="0"/>
        <w:jc w:val="both"/>
      </w:pPr>
      <w:r w:rsidRPr="000E57AE">
        <w:t>Total liabilities amounted to $</w:t>
      </w:r>
      <w:r w:rsidR="00646EBC">
        <w:t>3.0</w:t>
      </w:r>
      <w:r w:rsidR="00492099">
        <w:t xml:space="preserve"> billion</w:t>
      </w:r>
      <w:r w:rsidR="00EF0803" w:rsidRPr="000E57AE">
        <w:t>, an increase of</w:t>
      </w:r>
      <w:r w:rsidR="008A29BA">
        <w:t xml:space="preserve"> $239 million, or</w:t>
      </w:r>
      <w:r w:rsidR="00EF0803" w:rsidRPr="000E57AE">
        <w:t xml:space="preserve"> </w:t>
      </w:r>
      <w:r w:rsidR="00803984">
        <w:t>9</w:t>
      </w:r>
      <w:r w:rsidR="00253954" w:rsidRPr="000E57AE">
        <w:t xml:space="preserve"> per cent </w:t>
      </w:r>
      <w:r w:rsidR="00DD70F5" w:rsidRPr="000E57AE">
        <w:t>over</w:t>
      </w:r>
      <w:r w:rsidR="003173C0" w:rsidRPr="000E57AE">
        <w:t xml:space="preserve"> </w:t>
      </w:r>
      <w:r w:rsidR="007D3771" w:rsidRPr="000E57AE">
        <w:t xml:space="preserve">the </w:t>
      </w:r>
      <w:r w:rsidR="00803984">
        <w:t>2019</w:t>
      </w:r>
      <w:r w:rsidR="004723E4" w:rsidRPr="000E57AE">
        <w:t xml:space="preserve"> </w:t>
      </w:r>
      <w:r w:rsidR="003173C0" w:rsidRPr="000E57AE">
        <w:t xml:space="preserve">amount of </w:t>
      </w:r>
      <w:r w:rsidRPr="000E57AE">
        <w:t>$</w:t>
      </w:r>
      <w:r w:rsidR="00803984">
        <w:t>2.8</w:t>
      </w:r>
      <w:r w:rsidR="00492099">
        <w:t xml:space="preserve"> billion</w:t>
      </w:r>
      <w:r w:rsidR="007977F9" w:rsidRPr="000E57AE">
        <w:t xml:space="preserve">. </w:t>
      </w:r>
      <w:r w:rsidR="00F81DF5">
        <w:t>The change is mainly attributable to Payables for the Multi-Partner Trust Fund Office</w:t>
      </w:r>
      <w:r w:rsidR="00376E40">
        <w:t xml:space="preserve"> and Employee benefits</w:t>
      </w:r>
      <w:r w:rsidR="00B83E66">
        <w:t xml:space="preserve">, </w:t>
      </w:r>
      <w:r w:rsidR="00F81DF5">
        <w:t xml:space="preserve">which increased </w:t>
      </w:r>
      <w:r w:rsidR="00F81DF5" w:rsidRPr="00AF3FD4">
        <w:t>by</w:t>
      </w:r>
      <w:r w:rsidR="00AF3FD4" w:rsidRPr="00AF3FD4">
        <w:t xml:space="preserve"> </w:t>
      </w:r>
      <w:r w:rsidR="00F81DF5" w:rsidRPr="00AF3FD4">
        <w:t>$15</w:t>
      </w:r>
      <w:r w:rsidR="001D4E3C" w:rsidRPr="00AF3FD4">
        <w:t>7</w:t>
      </w:r>
      <w:r w:rsidR="00F81DF5" w:rsidRPr="00AF3FD4">
        <w:t xml:space="preserve"> million</w:t>
      </w:r>
      <w:r w:rsidR="00376E40">
        <w:t xml:space="preserve"> and $14</w:t>
      </w:r>
      <w:r w:rsidR="003A5BE7">
        <w:t>9</w:t>
      </w:r>
      <w:r w:rsidR="00376E40">
        <w:t xml:space="preserve"> million</w:t>
      </w:r>
      <w:r w:rsidR="00626985">
        <w:t>, respectively</w:t>
      </w:r>
      <w:r w:rsidR="00F81DF5">
        <w:t xml:space="preserve">. </w:t>
      </w:r>
    </w:p>
    <w:p w14:paraId="408B1812" w14:textId="4A4743F6" w:rsidR="009F1C3D" w:rsidRDefault="005E496A" w:rsidP="00AF3FD4">
      <w:pPr>
        <w:pStyle w:val="ListParagraph"/>
        <w:numPr>
          <w:ilvl w:val="0"/>
          <w:numId w:val="5"/>
        </w:numPr>
        <w:spacing w:before="240" w:after="240" w:line="240" w:lineRule="auto"/>
        <w:ind w:right="1267"/>
        <w:contextualSpacing w:val="0"/>
        <w:jc w:val="both"/>
      </w:pPr>
      <w:r w:rsidRPr="000E57AE">
        <w:t>Funds received in advance</w:t>
      </w:r>
      <w:r w:rsidR="002D35CF" w:rsidRPr="000E57AE">
        <w:t xml:space="preserve"> </w:t>
      </w:r>
      <w:r w:rsidR="002F4D67" w:rsidRPr="000E57AE">
        <w:t>and deferred revenue</w:t>
      </w:r>
      <w:r w:rsidR="00F83D9C" w:rsidRPr="000E57AE">
        <w:t xml:space="preserve"> of $</w:t>
      </w:r>
      <w:r w:rsidR="00AF781B">
        <w:t>254</w:t>
      </w:r>
      <w:r w:rsidR="00F83D9C" w:rsidRPr="000E57AE">
        <w:t xml:space="preserve"> million </w:t>
      </w:r>
      <w:r w:rsidR="002F4D67" w:rsidRPr="000E57AE">
        <w:t xml:space="preserve">comprises </w:t>
      </w:r>
      <w:r w:rsidR="00B83E66">
        <w:t xml:space="preserve">of </w:t>
      </w:r>
      <w:r w:rsidR="004B3A62" w:rsidRPr="000E57AE">
        <w:t>$</w:t>
      </w:r>
      <w:r w:rsidR="00FF3661">
        <w:t>21</w:t>
      </w:r>
      <w:r w:rsidR="00A33FAE">
        <w:t> </w:t>
      </w:r>
      <w:r w:rsidR="004B3A62" w:rsidRPr="000E57AE">
        <w:t>million</w:t>
      </w:r>
      <w:r w:rsidRPr="000E57AE">
        <w:t xml:space="preserve"> </w:t>
      </w:r>
      <w:r w:rsidR="00603C12">
        <w:t>funds</w:t>
      </w:r>
      <w:r w:rsidRPr="000E57AE">
        <w:t xml:space="preserve"> </w:t>
      </w:r>
      <w:r w:rsidR="00D61D43" w:rsidRPr="000E57AE">
        <w:t>received in advance</w:t>
      </w:r>
      <w:r w:rsidR="00E27F88">
        <w:t xml:space="preserve"> for </w:t>
      </w:r>
      <w:r w:rsidRPr="000E57AE">
        <w:t>future periods specified in donor contribution agreements</w:t>
      </w:r>
      <w:r w:rsidR="00C2010D" w:rsidRPr="000E57AE">
        <w:t>,</w:t>
      </w:r>
      <w:r w:rsidR="00BA0C98" w:rsidRPr="000E57AE">
        <w:t xml:space="preserve"> $</w:t>
      </w:r>
      <w:r w:rsidR="00293988">
        <w:t>24</w:t>
      </w:r>
      <w:r w:rsidR="00F83D9C" w:rsidRPr="000E57AE">
        <w:t xml:space="preserve"> million deferred revenue</w:t>
      </w:r>
      <w:r w:rsidR="0032505F">
        <w:t xml:space="preserve"> for contributions</w:t>
      </w:r>
      <w:r w:rsidR="00665122">
        <w:t>, $</w:t>
      </w:r>
      <w:r w:rsidR="00221876">
        <w:t xml:space="preserve"> </w:t>
      </w:r>
      <w:r w:rsidR="00A37BEB">
        <w:t>103</w:t>
      </w:r>
      <w:r w:rsidR="00221876">
        <w:t xml:space="preserve"> </w:t>
      </w:r>
      <w:r w:rsidR="00DD4739" w:rsidRPr="000E57AE">
        <w:t>million for common services</w:t>
      </w:r>
      <w:r w:rsidR="00DD4739">
        <w:t xml:space="preserve"> to United Nations entities</w:t>
      </w:r>
      <w:r w:rsidR="00A37BEB">
        <w:t xml:space="preserve">, and $106 million </w:t>
      </w:r>
      <w:r w:rsidR="00DD4739" w:rsidRPr="000E57AE">
        <w:t>for clearing accounts with United Nations entities</w:t>
      </w:r>
      <w:r w:rsidRPr="000E57AE">
        <w:t>.</w:t>
      </w:r>
      <w:r w:rsidR="0082407E">
        <w:t xml:space="preserve"> </w:t>
      </w:r>
      <w:r w:rsidR="00111E6C">
        <w:t xml:space="preserve"> </w:t>
      </w:r>
    </w:p>
    <w:p w14:paraId="2D6A3279" w14:textId="53603DB7" w:rsidR="00030166" w:rsidRPr="00617B71" w:rsidRDefault="00030166" w:rsidP="003F5F37">
      <w:pPr>
        <w:pStyle w:val="SingleTxt"/>
        <w:keepNext/>
        <w:spacing w:after="0" w:line="240" w:lineRule="auto"/>
        <w:ind w:left="1530"/>
        <w:jc w:val="center"/>
        <w:rPr>
          <w:b/>
        </w:rPr>
      </w:pPr>
      <w:r w:rsidRPr="00617B71">
        <w:rPr>
          <w:b/>
        </w:rPr>
        <w:lastRenderedPageBreak/>
        <w:t xml:space="preserve">Figure </w:t>
      </w:r>
      <w:r w:rsidR="004D4DCC" w:rsidRPr="00617B71">
        <w:rPr>
          <w:b/>
        </w:rPr>
        <w:t>VII</w:t>
      </w:r>
      <w:r w:rsidRPr="00617B71">
        <w:rPr>
          <w:b/>
        </w:rPr>
        <w:t xml:space="preserve">. UNDP </w:t>
      </w:r>
      <w:r w:rsidR="00E73792" w:rsidRPr="00617B71">
        <w:rPr>
          <w:b/>
        </w:rPr>
        <w:t>l</w:t>
      </w:r>
      <w:r w:rsidRPr="00617B71">
        <w:rPr>
          <w:b/>
        </w:rPr>
        <w:t xml:space="preserve">iabilities, </w:t>
      </w:r>
      <w:r w:rsidR="00617B71" w:rsidRPr="00617B71">
        <w:rPr>
          <w:b/>
        </w:rPr>
        <w:t>2019-2020</w:t>
      </w:r>
    </w:p>
    <w:p w14:paraId="6A02CB69" w14:textId="4AC186C7" w:rsidR="00A83234" w:rsidRDefault="00B664C6" w:rsidP="003F5F37">
      <w:pPr>
        <w:pStyle w:val="SingleTxt"/>
        <w:keepNext/>
        <w:spacing w:line="240" w:lineRule="auto"/>
        <w:ind w:left="1530"/>
        <w:jc w:val="center"/>
        <w:rPr>
          <w:i/>
          <w:iCs/>
        </w:rPr>
      </w:pPr>
      <w:r>
        <w:rPr>
          <w:noProof/>
        </w:rPr>
        <w:drawing>
          <wp:anchor distT="0" distB="0" distL="114300" distR="114300" simplePos="0" relativeHeight="251658247" behindDoc="1" locked="0" layoutInCell="1" allowOverlap="1" wp14:anchorId="737C33EE" wp14:editId="63A7D988">
            <wp:simplePos x="0" y="0"/>
            <wp:positionH relativeFrom="column">
              <wp:posOffset>323850</wp:posOffset>
            </wp:positionH>
            <wp:positionV relativeFrom="paragraph">
              <wp:posOffset>263525</wp:posOffset>
            </wp:positionV>
            <wp:extent cx="5857875" cy="2133600"/>
            <wp:effectExtent l="0" t="0" r="9525" b="0"/>
            <wp:wrapSquare wrapText="bothSides"/>
            <wp:docPr id="12458934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7">
                      <a:extLst>
                        <a:ext uri="{28A0092B-C50C-407E-A947-70E740481C1C}">
                          <a14:useLocalDpi xmlns:a14="http://schemas.microsoft.com/office/drawing/2010/main" val="0"/>
                        </a:ext>
                      </a:extLst>
                    </a:blip>
                    <a:stretch>
                      <a:fillRect/>
                    </a:stretch>
                  </pic:blipFill>
                  <pic:spPr>
                    <a:xfrm>
                      <a:off x="0" y="0"/>
                      <a:ext cx="5857875" cy="2133600"/>
                    </a:xfrm>
                    <a:prstGeom prst="rect">
                      <a:avLst/>
                    </a:prstGeom>
                  </pic:spPr>
                </pic:pic>
              </a:graphicData>
            </a:graphic>
            <wp14:sizeRelH relativeFrom="page">
              <wp14:pctWidth>0</wp14:pctWidth>
            </wp14:sizeRelH>
            <wp14:sizeRelV relativeFrom="page">
              <wp14:pctHeight>0</wp14:pctHeight>
            </wp14:sizeRelV>
          </wp:anchor>
        </w:drawing>
      </w:r>
      <w:r w:rsidR="00192608" w:rsidRPr="0F9F2C32">
        <w:rPr>
          <w:i/>
          <w:iCs/>
        </w:rPr>
        <w:t xml:space="preserve">(in millions of </w:t>
      </w:r>
      <w:r w:rsidR="63470EBC" w:rsidRPr="0F9F2C32">
        <w:rPr>
          <w:i/>
          <w:iCs/>
        </w:rPr>
        <w:t xml:space="preserve">United States </w:t>
      </w:r>
      <w:r w:rsidR="00192608" w:rsidRPr="0F9F2C32">
        <w:rPr>
          <w:i/>
          <w:iCs/>
        </w:rPr>
        <w:t>dollars)</w:t>
      </w:r>
    </w:p>
    <w:p w14:paraId="4BCE62D1" w14:textId="6A2C90F2" w:rsidR="00CE3B5E" w:rsidRPr="000E57AE" w:rsidRDefault="00CE3B5E" w:rsidP="003F5F37">
      <w:pPr>
        <w:pStyle w:val="SingleTxt"/>
        <w:keepNext/>
        <w:spacing w:line="240" w:lineRule="auto"/>
        <w:ind w:left="1530"/>
        <w:jc w:val="center"/>
      </w:pPr>
    </w:p>
    <w:p w14:paraId="78498519" w14:textId="7D2C87B4" w:rsidR="002865CE" w:rsidRPr="000E57AE" w:rsidRDefault="009941EA" w:rsidP="00AF3FD4">
      <w:pPr>
        <w:pStyle w:val="ListParagraph"/>
        <w:numPr>
          <w:ilvl w:val="0"/>
          <w:numId w:val="5"/>
        </w:numPr>
        <w:spacing w:before="240" w:after="240" w:line="240" w:lineRule="auto"/>
        <w:ind w:right="1267"/>
        <w:contextualSpacing w:val="0"/>
        <w:jc w:val="both"/>
      </w:pPr>
      <w:r w:rsidRPr="000E57AE">
        <w:t xml:space="preserve">UNDP liabilities </w:t>
      </w:r>
      <w:r w:rsidR="00945345">
        <w:t xml:space="preserve">also </w:t>
      </w:r>
      <w:r w:rsidRPr="000E57AE">
        <w:t xml:space="preserve">include </w:t>
      </w:r>
      <w:r w:rsidR="00AB72AC" w:rsidRPr="000E57AE">
        <w:t>$1</w:t>
      </w:r>
      <w:r w:rsidR="00492099">
        <w:t>.</w:t>
      </w:r>
      <w:r w:rsidR="00754D7D">
        <w:t>5</w:t>
      </w:r>
      <w:r w:rsidR="00492099">
        <w:t xml:space="preserve"> billion</w:t>
      </w:r>
      <w:r w:rsidR="00AB72AC" w:rsidRPr="000E57AE">
        <w:t xml:space="preserve"> (201</w:t>
      </w:r>
      <w:r w:rsidR="00754D7D">
        <w:t>9</w:t>
      </w:r>
      <w:r w:rsidR="00AB72AC" w:rsidRPr="000E57AE">
        <w:t xml:space="preserve">: </w:t>
      </w:r>
      <w:r w:rsidR="007805D5" w:rsidRPr="000E57AE">
        <w:t>$</w:t>
      </w:r>
      <w:r w:rsidR="00C14470">
        <w:t>1</w:t>
      </w:r>
      <w:r w:rsidR="00492099">
        <w:t>.</w:t>
      </w:r>
      <w:r w:rsidR="00754D7D">
        <w:t>4</w:t>
      </w:r>
      <w:r w:rsidR="00AB72AC" w:rsidRPr="000E57AE">
        <w:t xml:space="preserve"> </w:t>
      </w:r>
      <w:r w:rsidR="00492099">
        <w:t>b</w:t>
      </w:r>
      <w:r w:rsidR="00AB72AC" w:rsidRPr="000E57AE">
        <w:t xml:space="preserve">illion) </w:t>
      </w:r>
      <w:r w:rsidR="00E77C39">
        <w:t xml:space="preserve">in </w:t>
      </w:r>
      <w:r w:rsidR="00AB72AC" w:rsidRPr="000E57AE">
        <w:t>liabilities for employee benefits</w:t>
      </w:r>
      <w:r w:rsidR="003D3DAD" w:rsidRPr="000E57AE">
        <w:t xml:space="preserve">, of which </w:t>
      </w:r>
      <w:r w:rsidR="00AB72AC" w:rsidRPr="000E57AE">
        <w:t>$1</w:t>
      </w:r>
      <w:r w:rsidR="00492099">
        <w:t>.</w:t>
      </w:r>
      <w:r w:rsidR="001712A9">
        <w:t>2</w:t>
      </w:r>
      <w:r w:rsidR="00492099">
        <w:t xml:space="preserve"> billion</w:t>
      </w:r>
      <w:r w:rsidR="00AB72AC" w:rsidRPr="000E57AE">
        <w:t xml:space="preserve"> </w:t>
      </w:r>
      <w:r w:rsidR="003D3DAD" w:rsidRPr="000E57AE">
        <w:t xml:space="preserve">is </w:t>
      </w:r>
      <w:r w:rsidR="00AB72AC" w:rsidRPr="000E57AE">
        <w:t>for after-service health insurance</w:t>
      </w:r>
      <w:r w:rsidR="007141E7" w:rsidRPr="000E57AE">
        <w:t xml:space="preserve"> (ASHI)</w:t>
      </w:r>
      <w:r w:rsidR="00AB72AC" w:rsidRPr="000E57AE">
        <w:t>.</w:t>
      </w:r>
      <w:r w:rsidR="002507A5" w:rsidRPr="000E57AE">
        <w:t xml:space="preserve"> </w:t>
      </w:r>
      <w:r w:rsidR="00830711">
        <w:t xml:space="preserve">In </w:t>
      </w:r>
      <w:r w:rsidR="00455729">
        <w:t>2020</w:t>
      </w:r>
      <w:r w:rsidR="00830711">
        <w:t xml:space="preserve">, </w:t>
      </w:r>
      <w:r w:rsidR="00E67FE8" w:rsidRPr="000E57AE">
        <w:t xml:space="preserve">ASHI liabilities </w:t>
      </w:r>
      <w:r w:rsidR="00956712">
        <w:t>increased</w:t>
      </w:r>
      <w:r w:rsidR="00E67FE8" w:rsidRPr="000E57AE">
        <w:t xml:space="preserve"> by </w:t>
      </w:r>
      <w:r w:rsidR="001D241F" w:rsidRPr="000E57AE">
        <w:t>$</w:t>
      </w:r>
      <w:r w:rsidR="005C495C">
        <w:t>12</w:t>
      </w:r>
      <w:r w:rsidR="00335CAD">
        <w:t>7</w:t>
      </w:r>
      <w:r w:rsidR="001D241F" w:rsidRPr="000E57AE">
        <w:t xml:space="preserve"> million (1</w:t>
      </w:r>
      <w:r w:rsidR="00335CAD">
        <w:t>2</w:t>
      </w:r>
      <w:r w:rsidR="001D241F" w:rsidRPr="000E57AE">
        <w:t xml:space="preserve"> per cent)</w:t>
      </w:r>
      <w:r w:rsidR="004810FF" w:rsidRPr="000E57AE">
        <w:t xml:space="preserve"> from $</w:t>
      </w:r>
      <w:r w:rsidR="00956712">
        <w:t>1</w:t>
      </w:r>
      <w:r w:rsidR="00492099">
        <w:t>.0 billion</w:t>
      </w:r>
      <w:r w:rsidR="001B5A36" w:rsidRPr="000E57AE">
        <w:t xml:space="preserve">, resulting in an increase in the proportion of the liability funded </w:t>
      </w:r>
      <w:r w:rsidR="005253F5" w:rsidRPr="000E57AE">
        <w:t xml:space="preserve">fully </w:t>
      </w:r>
      <w:r w:rsidR="001B5A36" w:rsidRPr="000E57AE">
        <w:t xml:space="preserve">by UNDP from </w:t>
      </w:r>
      <w:r w:rsidR="00A81107">
        <w:t>74</w:t>
      </w:r>
      <w:r w:rsidR="00830711">
        <w:t> </w:t>
      </w:r>
      <w:r w:rsidR="00AD0A96" w:rsidRPr="000E57AE">
        <w:t>per cent in 201</w:t>
      </w:r>
      <w:r w:rsidR="00A81107">
        <w:t>9</w:t>
      </w:r>
      <w:r w:rsidR="00AD0A96" w:rsidRPr="000E57AE">
        <w:t xml:space="preserve"> to </w:t>
      </w:r>
      <w:r w:rsidR="00A81107">
        <w:t>78</w:t>
      </w:r>
      <w:r w:rsidR="00AD0A96" w:rsidRPr="000E57AE">
        <w:t xml:space="preserve"> per cent in 20</w:t>
      </w:r>
      <w:r w:rsidR="00A81107">
        <w:t>20</w:t>
      </w:r>
      <w:r w:rsidR="00D01A07" w:rsidRPr="000E57AE">
        <w:t xml:space="preserve">. </w:t>
      </w:r>
      <w:r w:rsidR="002865CE" w:rsidRPr="000E57AE">
        <w:t xml:space="preserve">UNDP participates in the United Nations system-wide valuation of post-retirement benefits, performed by an independent actuary. The latest valuation was carried out </w:t>
      </w:r>
      <w:r w:rsidR="00830711">
        <w:t xml:space="preserve">and </w:t>
      </w:r>
      <w:r w:rsidR="004C6954">
        <w:t xml:space="preserve">the </w:t>
      </w:r>
      <w:r w:rsidR="00347B19">
        <w:t>$</w:t>
      </w:r>
      <w:r w:rsidR="00E777A1">
        <w:t>127</w:t>
      </w:r>
      <w:r w:rsidR="00347B19">
        <w:t xml:space="preserve"> million </w:t>
      </w:r>
      <w:r w:rsidR="00AA1BF8">
        <w:t xml:space="preserve">increase </w:t>
      </w:r>
      <w:r w:rsidR="002865CE" w:rsidRPr="000E57AE">
        <w:t>(</w:t>
      </w:r>
      <w:r w:rsidR="000B2F3C" w:rsidRPr="000E57AE">
        <w:t>1</w:t>
      </w:r>
      <w:r w:rsidR="00E777A1">
        <w:t>2</w:t>
      </w:r>
      <w:r w:rsidR="002865CE" w:rsidRPr="000E57AE">
        <w:t xml:space="preserve"> per cent) in the liability</w:t>
      </w:r>
      <w:r w:rsidR="00830711">
        <w:t xml:space="preserve"> was </w:t>
      </w:r>
      <w:r w:rsidR="004E70E6" w:rsidRPr="000E57AE">
        <w:t xml:space="preserve">largely due to </w:t>
      </w:r>
      <w:r w:rsidR="002939C9">
        <w:t xml:space="preserve">the decrease in </w:t>
      </w:r>
      <w:r w:rsidR="00F16184">
        <w:t>interest rates (</w:t>
      </w:r>
      <w:r w:rsidR="002939C9">
        <w:t>valuation discount rates</w:t>
      </w:r>
      <w:r w:rsidR="00F16184">
        <w:t>)</w:t>
      </w:r>
      <w:r w:rsidR="008C793E">
        <w:t xml:space="preserve"> assumption</w:t>
      </w:r>
      <w:r w:rsidR="00074A80">
        <w:t xml:space="preserve"> which increased the liability as per the actuarial assessment. It is not known what portion of the increase in these </w:t>
      </w:r>
      <w:r w:rsidR="00CF26A3">
        <w:t>employee benefit liabilities is related to C</w:t>
      </w:r>
      <w:r w:rsidR="007F7DB2">
        <w:t>OVID</w:t>
      </w:r>
      <w:r w:rsidR="00CF26A3">
        <w:t>-19.</w:t>
      </w:r>
    </w:p>
    <w:p w14:paraId="378404AC" w14:textId="74C77A63" w:rsidR="00715612" w:rsidRPr="00B664C6" w:rsidRDefault="002865CE" w:rsidP="00AF3FD4">
      <w:pPr>
        <w:pStyle w:val="ListParagraph"/>
        <w:numPr>
          <w:ilvl w:val="0"/>
          <w:numId w:val="5"/>
        </w:numPr>
        <w:spacing w:before="240" w:after="240" w:line="240" w:lineRule="auto"/>
        <w:ind w:right="1267"/>
        <w:contextualSpacing w:val="0"/>
        <w:jc w:val="both"/>
      </w:pPr>
      <w:r w:rsidRPr="00B664C6">
        <w:t xml:space="preserve">UNDP </w:t>
      </w:r>
      <w:r w:rsidR="00C72513" w:rsidRPr="00B664C6">
        <w:t>continued to have</w:t>
      </w:r>
      <w:r w:rsidR="007F55BE" w:rsidRPr="00B664C6">
        <w:t xml:space="preserve"> </w:t>
      </w:r>
      <w:r w:rsidRPr="00B664C6">
        <w:t xml:space="preserve">a 15-year plan to fund its </w:t>
      </w:r>
      <w:r w:rsidR="00D725C3" w:rsidRPr="00B664C6">
        <w:t xml:space="preserve">ASHI </w:t>
      </w:r>
      <w:r w:rsidRPr="00B664C6">
        <w:t>liability</w:t>
      </w:r>
      <w:r w:rsidRPr="00B664C6" w:rsidDel="006B2048">
        <w:t xml:space="preserve">, which </w:t>
      </w:r>
      <w:r w:rsidR="00A5372D" w:rsidRPr="00B664C6">
        <w:t>is assessed periodically</w:t>
      </w:r>
      <w:r w:rsidRPr="00B664C6">
        <w:t>. Of the $1</w:t>
      </w:r>
      <w:r w:rsidR="00492099" w:rsidRPr="00B664C6">
        <w:t>.</w:t>
      </w:r>
      <w:r w:rsidR="001F7F92" w:rsidRPr="00B664C6">
        <w:t>3</w:t>
      </w:r>
      <w:r w:rsidR="00492099" w:rsidRPr="00B664C6">
        <w:t xml:space="preserve"> billion</w:t>
      </w:r>
      <w:r w:rsidRPr="00B664C6">
        <w:t>, $</w:t>
      </w:r>
      <w:r w:rsidR="009A2954" w:rsidRPr="00B664C6">
        <w:t>918</w:t>
      </w:r>
      <w:r w:rsidR="009403B1" w:rsidRPr="00B664C6">
        <w:t> </w:t>
      </w:r>
      <w:r w:rsidRPr="00B664C6">
        <w:t>million had been funded as of 31 December 20</w:t>
      </w:r>
      <w:r w:rsidR="00154624" w:rsidRPr="00B664C6">
        <w:t>20</w:t>
      </w:r>
      <w:r w:rsidRPr="00B664C6">
        <w:t xml:space="preserve">. </w:t>
      </w:r>
      <w:r w:rsidR="007422CE" w:rsidRPr="00B664C6">
        <w:t>T</w:t>
      </w:r>
      <w:r w:rsidRPr="00B664C6">
        <w:t>he investment management of th</w:t>
      </w:r>
      <w:r w:rsidR="007422CE" w:rsidRPr="00B664C6">
        <w:t>is</w:t>
      </w:r>
      <w:r w:rsidRPr="00B664C6">
        <w:t xml:space="preserve"> portfolio </w:t>
      </w:r>
      <w:r w:rsidR="0097487B" w:rsidRPr="00B664C6">
        <w:t xml:space="preserve">is </w:t>
      </w:r>
      <w:r w:rsidR="00AA0029" w:rsidRPr="00B664C6">
        <w:t xml:space="preserve">fully </w:t>
      </w:r>
      <w:r w:rsidRPr="00B664C6">
        <w:t>outsourced to external managers</w:t>
      </w:r>
      <w:r w:rsidR="0097487B" w:rsidRPr="00B664C6">
        <w:t xml:space="preserve"> </w:t>
      </w:r>
      <w:r w:rsidR="00AA0029" w:rsidRPr="00B664C6">
        <w:t xml:space="preserve">to </w:t>
      </w:r>
      <w:r w:rsidRPr="00B664C6">
        <w:t>e</w:t>
      </w:r>
      <w:r w:rsidR="00AA0029" w:rsidRPr="00B664C6">
        <w:t>nsure an adequate level of investment return given the longer-term nature of the liabilities</w:t>
      </w:r>
      <w:r w:rsidRPr="00B664C6">
        <w:t xml:space="preserve">. UNDP, UNFPA, UNCDF, </w:t>
      </w:r>
      <w:r w:rsidR="009403B1" w:rsidRPr="00B664C6">
        <w:t>the United Nations Children’s Fund (</w:t>
      </w:r>
      <w:r w:rsidR="007F55BE" w:rsidRPr="00B664C6">
        <w:t>UNICEF</w:t>
      </w:r>
      <w:r w:rsidR="009403B1" w:rsidRPr="00B664C6">
        <w:t>)</w:t>
      </w:r>
      <w:r w:rsidRPr="00B664C6">
        <w:t xml:space="preserve"> and </w:t>
      </w:r>
      <w:r w:rsidR="009403B1" w:rsidRPr="00B664C6">
        <w:t>the United Nations Entity for Gender Equality and the Empowerment of Women (</w:t>
      </w:r>
      <w:r w:rsidRPr="00B664C6">
        <w:t>UN-Women</w:t>
      </w:r>
      <w:r w:rsidR="009403B1" w:rsidRPr="00B664C6">
        <w:t>)</w:t>
      </w:r>
      <w:r w:rsidRPr="00B664C6">
        <w:t xml:space="preserve"> collaborate in this arrangement</w:t>
      </w:r>
      <w:r w:rsidR="00AA0029" w:rsidRPr="00B664C6">
        <w:t>.</w:t>
      </w:r>
    </w:p>
    <w:p w14:paraId="1A622E3D" w14:textId="7FD2DA7E" w:rsidR="002F0B08" w:rsidRPr="00B664C6" w:rsidRDefault="00916178" w:rsidP="00AF3FD4">
      <w:pPr>
        <w:pStyle w:val="ListParagraph"/>
        <w:numPr>
          <w:ilvl w:val="0"/>
          <w:numId w:val="5"/>
        </w:numPr>
        <w:spacing w:before="240" w:after="240" w:line="240" w:lineRule="auto"/>
        <w:ind w:right="1267"/>
        <w:contextualSpacing w:val="0"/>
        <w:jc w:val="both"/>
      </w:pPr>
      <w:r w:rsidRPr="00B664C6">
        <w:t>Of employee benefits, i</w:t>
      </w:r>
      <w:r w:rsidR="00506B32" w:rsidRPr="00B664C6">
        <w:t>n 2020, annual leave balances increased by $20.5 million or 30 per cent</w:t>
      </w:r>
      <w:r w:rsidR="005D428A" w:rsidRPr="00B664C6">
        <w:t xml:space="preserve"> to </w:t>
      </w:r>
      <w:r w:rsidR="00DB7BB3" w:rsidRPr="00B664C6">
        <w:t>$</w:t>
      </w:r>
      <w:r w:rsidR="00EB2517" w:rsidRPr="00B664C6">
        <w:t>88</w:t>
      </w:r>
      <w:r w:rsidR="009206E2" w:rsidRPr="00B664C6">
        <w:t>.</w:t>
      </w:r>
      <w:r w:rsidR="00EB2517" w:rsidRPr="00B664C6">
        <w:t>8 million</w:t>
      </w:r>
      <w:r w:rsidR="005D428A" w:rsidRPr="00B664C6">
        <w:t xml:space="preserve"> (2019: $68.3 million)</w:t>
      </w:r>
      <w:r w:rsidR="00EB2517" w:rsidRPr="00B664C6">
        <w:t xml:space="preserve">, </w:t>
      </w:r>
      <w:r w:rsidR="00506B32" w:rsidRPr="00B664C6">
        <w:t>while home leave liabilities increased by $2.3 million or 27 per cent</w:t>
      </w:r>
      <w:r w:rsidR="005D428A" w:rsidRPr="00B664C6">
        <w:t xml:space="preserve">, </w:t>
      </w:r>
      <w:r w:rsidR="00EB2517" w:rsidRPr="00B664C6">
        <w:t>to $10.8 million</w:t>
      </w:r>
      <w:r w:rsidR="005D428A" w:rsidRPr="00B664C6">
        <w:t xml:space="preserve"> (2019: $8.5 million)</w:t>
      </w:r>
      <w:r w:rsidR="00EB2517" w:rsidRPr="00B664C6">
        <w:t xml:space="preserve">. </w:t>
      </w:r>
      <w:r w:rsidR="00506B32" w:rsidRPr="00B664C6">
        <w:t>These increases are due to staff not taking their planned leave entitlements in 2020 as a result of the C</w:t>
      </w:r>
      <w:r w:rsidR="007F7DB2">
        <w:t>OVID</w:t>
      </w:r>
      <w:r w:rsidR="00506B32" w:rsidRPr="00B664C6">
        <w:t>-19 pandemic and travel limitations imposed to contain the pandemic.</w:t>
      </w:r>
    </w:p>
    <w:p w14:paraId="5EB4063C" w14:textId="1E5BD123" w:rsidR="002865CE" w:rsidRPr="00B664C6" w:rsidRDefault="00F32955" w:rsidP="00266895">
      <w:pPr>
        <w:pStyle w:val="ListParagraph"/>
        <w:numPr>
          <w:ilvl w:val="0"/>
          <w:numId w:val="5"/>
        </w:numPr>
        <w:spacing w:before="240" w:after="240" w:line="240" w:lineRule="auto"/>
        <w:ind w:right="1267"/>
        <w:contextualSpacing w:val="0"/>
        <w:jc w:val="both"/>
      </w:pPr>
      <w:r w:rsidRPr="00B664C6">
        <w:t>Payables</w:t>
      </w:r>
      <w:r w:rsidR="009403B1" w:rsidRPr="00B664C6">
        <w:t xml:space="preserve"> (</w:t>
      </w:r>
      <w:r w:rsidRPr="00B664C6">
        <w:t>funds held in trust</w:t>
      </w:r>
      <w:r w:rsidR="009403B1" w:rsidRPr="00B664C6">
        <w:t>)</w:t>
      </w:r>
      <w:r w:rsidRPr="00B664C6">
        <w:t xml:space="preserve"> represent </w:t>
      </w:r>
      <w:r w:rsidR="000B70F0" w:rsidRPr="00B664C6">
        <w:t>funds provided by donors to UNDP to be held on their behalf for future disbursement</w:t>
      </w:r>
      <w:r w:rsidR="00A612B4" w:rsidRPr="00B664C6">
        <w:t xml:space="preserve"> to organizations of the United Nations system and to national governments</w:t>
      </w:r>
      <w:r w:rsidR="005D0EA7" w:rsidRPr="00B664C6">
        <w:t xml:space="preserve">. </w:t>
      </w:r>
      <w:r w:rsidR="00007608" w:rsidRPr="00B664C6">
        <w:t>Th</w:t>
      </w:r>
      <w:r w:rsidR="00865ACC" w:rsidRPr="00B664C6">
        <w:t>e amount of $</w:t>
      </w:r>
      <w:r w:rsidR="00C12141" w:rsidRPr="00B664C6">
        <w:t>1</w:t>
      </w:r>
      <w:r w:rsidR="00492099" w:rsidRPr="00B664C6">
        <w:t>.</w:t>
      </w:r>
      <w:r w:rsidR="00C9730C" w:rsidRPr="00B664C6">
        <w:t>0</w:t>
      </w:r>
      <w:r w:rsidR="00492099" w:rsidRPr="00B664C6">
        <w:t xml:space="preserve"> billion</w:t>
      </w:r>
      <w:r w:rsidR="00865ACC" w:rsidRPr="00B664C6">
        <w:t xml:space="preserve"> </w:t>
      </w:r>
      <w:r w:rsidR="00795D85" w:rsidRPr="00B664C6">
        <w:t xml:space="preserve">in </w:t>
      </w:r>
      <w:r w:rsidR="00B617DC" w:rsidRPr="00B664C6">
        <w:t xml:space="preserve">figure </w:t>
      </w:r>
      <w:r w:rsidR="004D4DCC" w:rsidRPr="00B664C6">
        <w:t>VII</w:t>
      </w:r>
      <w:r w:rsidR="00865ACC" w:rsidRPr="00B664C6">
        <w:t xml:space="preserve"> </w:t>
      </w:r>
      <w:r w:rsidR="00D45502" w:rsidRPr="00B664C6">
        <w:t>shows</w:t>
      </w:r>
      <w:r w:rsidR="00007608" w:rsidRPr="00B664C6">
        <w:t xml:space="preserve"> </w:t>
      </w:r>
      <w:r w:rsidR="008A6441" w:rsidRPr="00B664C6">
        <w:t>$</w:t>
      </w:r>
      <w:r w:rsidR="002966C3" w:rsidRPr="00B664C6">
        <w:t>1,0</w:t>
      </w:r>
      <w:r w:rsidR="002257C8" w:rsidRPr="00B664C6">
        <w:t>29</w:t>
      </w:r>
      <w:r w:rsidR="009F4790" w:rsidRPr="00B664C6">
        <w:t> </w:t>
      </w:r>
      <w:r w:rsidR="008A6441" w:rsidRPr="00B664C6">
        <w:t xml:space="preserve">million </w:t>
      </w:r>
      <w:r w:rsidR="00BD4A79" w:rsidRPr="00B664C6">
        <w:t xml:space="preserve">for </w:t>
      </w:r>
      <w:r w:rsidR="00994639" w:rsidRPr="00B664C6">
        <w:t>multi-</w:t>
      </w:r>
      <w:r w:rsidR="00A23A31" w:rsidRPr="00B664C6">
        <w:t>partner trust funds that UNDP administers</w:t>
      </w:r>
      <w:r w:rsidR="002257C8" w:rsidRPr="00B664C6">
        <w:t>.</w:t>
      </w:r>
    </w:p>
    <w:p w14:paraId="5C2ABD1C" w14:textId="54801A53" w:rsidR="00295AF8" w:rsidRPr="00507534" w:rsidRDefault="00295AF8" w:rsidP="005F648C">
      <w:pPr>
        <w:pStyle w:val="H1"/>
        <w:numPr>
          <w:ilvl w:val="1"/>
          <w:numId w:val="7"/>
        </w:numPr>
        <w:tabs>
          <w:tab w:val="clear" w:pos="1022"/>
          <w:tab w:val="clear" w:pos="1742"/>
          <w:tab w:val="right" w:pos="1440"/>
          <w:tab w:val="left" w:pos="1800"/>
        </w:tabs>
        <w:spacing w:before="240" w:after="240" w:line="240" w:lineRule="auto"/>
        <w:ind w:left="1152" w:right="0"/>
        <w:outlineLvl w:val="1"/>
      </w:pPr>
      <w:bookmarkStart w:id="412" w:name="_Toc75466854"/>
      <w:r w:rsidRPr="00507534">
        <w:t>Accumulated Surplus</w:t>
      </w:r>
      <w:bookmarkEnd w:id="412"/>
      <w:r w:rsidRPr="00507534">
        <w:t xml:space="preserve"> </w:t>
      </w:r>
    </w:p>
    <w:p w14:paraId="17F0931B" w14:textId="66593BBA" w:rsidR="009F70B4" w:rsidRPr="00BF7D9D" w:rsidRDefault="00836920" w:rsidP="00266895">
      <w:pPr>
        <w:pStyle w:val="ListParagraph"/>
        <w:numPr>
          <w:ilvl w:val="0"/>
          <w:numId w:val="5"/>
        </w:numPr>
        <w:spacing w:before="240" w:after="240" w:line="240" w:lineRule="auto"/>
        <w:ind w:right="1267"/>
        <w:contextualSpacing w:val="0"/>
        <w:jc w:val="both"/>
      </w:pPr>
      <w:r w:rsidRPr="00BF7D9D">
        <w:t xml:space="preserve">The </w:t>
      </w:r>
      <w:r w:rsidR="00E605A4" w:rsidRPr="00BF7D9D">
        <w:t xml:space="preserve">financial regulations and rules </w:t>
      </w:r>
      <w:r w:rsidRPr="00BF7D9D">
        <w:t xml:space="preserve">of UNDP </w:t>
      </w:r>
      <w:r w:rsidR="00E605A4" w:rsidRPr="00BF7D9D">
        <w:t xml:space="preserve">require </w:t>
      </w:r>
      <w:r w:rsidR="004651F7" w:rsidRPr="00BF7D9D">
        <w:t>it</w:t>
      </w:r>
      <w:r w:rsidR="004651F7" w:rsidRPr="00BF7D9D" w:rsidDel="004651F7">
        <w:t xml:space="preserve"> </w:t>
      </w:r>
      <w:r w:rsidR="00E605A4" w:rsidRPr="00BF7D9D">
        <w:t>to operate on a fully</w:t>
      </w:r>
      <w:r w:rsidR="009403B1" w:rsidRPr="00BF7D9D">
        <w:t xml:space="preserve"> </w:t>
      </w:r>
      <w:r w:rsidR="00E605A4" w:rsidRPr="00BF7D9D">
        <w:t xml:space="preserve">funded basis for </w:t>
      </w:r>
      <w:r w:rsidR="00FC313E" w:rsidRPr="00BF7D9D">
        <w:t xml:space="preserve">activities funded by </w:t>
      </w:r>
      <w:r w:rsidR="00E605A4" w:rsidRPr="00BF7D9D">
        <w:t xml:space="preserve">other resources. In accordance with partnership agreements, all project balances are segregated for accounting and reporting purposes, </w:t>
      </w:r>
      <w:r w:rsidR="00E605A4" w:rsidRPr="00BF7D9D">
        <w:lastRenderedPageBreak/>
        <w:t xml:space="preserve">with no commingling of balances between projects. Appropriate cash balances are held for </w:t>
      </w:r>
      <w:r w:rsidR="004B5A56" w:rsidRPr="00BF7D9D">
        <w:t xml:space="preserve">settling </w:t>
      </w:r>
      <w:r w:rsidR="00E605A4" w:rsidRPr="00BF7D9D">
        <w:t>liabilities.</w:t>
      </w:r>
    </w:p>
    <w:p w14:paraId="39AE6B48" w14:textId="088E51B1" w:rsidR="00DD0F41" w:rsidRPr="00BF7D9D" w:rsidRDefault="00DD0F41" w:rsidP="00266895">
      <w:pPr>
        <w:pStyle w:val="ListParagraph"/>
        <w:numPr>
          <w:ilvl w:val="0"/>
          <w:numId w:val="5"/>
        </w:numPr>
        <w:spacing w:before="240" w:after="240" w:line="240" w:lineRule="auto"/>
        <w:ind w:right="1267"/>
        <w:contextualSpacing w:val="0"/>
        <w:jc w:val="both"/>
      </w:pPr>
      <w:r w:rsidRPr="00BF7D9D">
        <w:t>UNDP receives programmatic resources for multi-year programmes link</w:t>
      </w:r>
      <w:r w:rsidR="000C015C" w:rsidRPr="00BF7D9D">
        <w:t>ed</w:t>
      </w:r>
      <w:r w:rsidRPr="00BF7D9D">
        <w:t xml:space="preserve"> to individual programmes or projects. Hence, in any given year</w:t>
      </w:r>
      <w:r w:rsidR="00825B48" w:rsidRPr="00BF7D9D">
        <w:t>,</w:t>
      </w:r>
      <w:r w:rsidRPr="00BF7D9D">
        <w:t xml:space="preserve"> there is an excess of resources over expenditure.  This excess of resources is referred to as the accumulated surplus, which consists mainly of resources committed for future programme delivery. </w:t>
      </w:r>
    </w:p>
    <w:p w14:paraId="0DE3AA5C" w14:textId="43DC595A" w:rsidR="008804E4" w:rsidRPr="008C2E10" w:rsidRDefault="005B3D6B" w:rsidP="00266895">
      <w:pPr>
        <w:pStyle w:val="ListParagraph"/>
        <w:numPr>
          <w:ilvl w:val="0"/>
          <w:numId w:val="5"/>
        </w:numPr>
        <w:spacing w:before="240" w:after="240" w:line="240" w:lineRule="auto"/>
        <w:ind w:right="1267"/>
        <w:contextualSpacing w:val="0"/>
        <w:jc w:val="both"/>
      </w:pPr>
      <w:proofErr w:type="gramStart"/>
      <w:r>
        <w:t>At</w:t>
      </w:r>
      <w:proofErr w:type="gramEnd"/>
      <w:r>
        <w:t xml:space="preserve"> 31 December 20</w:t>
      </w:r>
      <w:r w:rsidR="00086A64">
        <w:t>20</w:t>
      </w:r>
      <w:r>
        <w:t xml:space="preserve">, the accumulated </w:t>
      </w:r>
      <w:r w:rsidR="00E83200">
        <w:t>balance</w:t>
      </w:r>
      <w:r>
        <w:t xml:space="preserve">, excluding reserves, </w:t>
      </w:r>
      <w:r w:rsidR="00FC0E90">
        <w:t>in</w:t>
      </w:r>
      <w:r>
        <w:t xml:space="preserve">creased by </w:t>
      </w:r>
      <w:r w:rsidR="00FD33D9">
        <w:t>1</w:t>
      </w:r>
      <w:r w:rsidR="00445670">
        <w:t>7</w:t>
      </w:r>
      <w:r>
        <w:t> per cent, to $</w:t>
      </w:r>
      <w:r w:rsidR="00FD33D9">
        <w:t>1</w:t>
      </w:r>
      <w:r w:rsidR="00445670">
        <w:t>1.0</w:t>
      </w:r>
      <w:r w:rsidR="00492099">
        <w:t xml:space="preserve"> billion</w:t>
      </w:r>
      <w:r>
        <w:t xml:space="preserve"> (201</w:t>
      </w:r>
      <w:r w:rsidR="00B46FE8">
        <w:t>9</w:t>
      </w:r>
      <w:r>
        <w:t>: $</w:t>
      </w:r>
      <w:r w:rsidR="00AF087D">
        <w:t>9</w:t>
      </w:r>
      <w:r w:rsidR="00492099">
        <w:t>.</w:t>
      </w:r>
      <w:r w:rsidR="00B46FE8">
        <w:t>4</w:t>
      </w:r>
      <w:r>
        <w:t xml:space="preserve"> </w:t>
      </w:r>
      <w:r w:rsidR="00492099">
        <w:t>b</w:t>
      </w:r>
      <w:r>
        <w:t>illion)</w:t>
      </w:r>
      <w:r w:rsidR="008804E4">
        <w:t>.</w:t>
      </w:r>
      <w:r w:rsidR="001C4341">
        <w:t xml:space="preserve"> </w:t>
      </w:r>
      <w:r w:rsidR="00D37B2F">
        <w:t xml:space="preserve">The increase in accumulated balance </w:t>
      </w:r>
      <w:r w:rsidR="008F6B53">
        <w:t xml:space="preserve">from 2017 </w:t>
      </w:r>
      <w:r w:rsidR="00D37B2F">
        <w:t>is mostly attributed to the increase in receivables as a result of the change in the revenue recognition policy</w:t>
      </w:r>
      <w:r w:rsidR="008040A9">
        <w:t xml:space="preserve"> </w:t>
      </w:r>
      <w:r w:rsidR="00DF2011">
        <w:t xml:space="preserve">due to </w:t>
      </w:r>
      <w:r w:rsidR="008040A9">
        <w:t>International Public Sector Accounting Standards. Accordingly,</w:t>
      </w:r>
      <w:r w:rsidR="00A52A89">
        <w:t xml:space="preserve"> the </w:t>
      </w:r>
      <w:r w:rsidR="008804E4">
        <w:t>accumulated surplus includes receivables from non-exchange transactions (net of past due) of $</w:t>
      </w:r>
      <w:r w:rsidR="00421688">
        <w:t>4.</w:t>
      </w:r>
      <w:r w:rsidR="002C2001">
        <w:t>5</w:t>
      </w:r>
      <w:r w:rsidR="00492099">
        <w:t xml:space="preserve"> billion</w:t>
      </w:r>
      <w:r w:rsidR="008804E4">
        <w:t xml:space="preserve"> </w:t>
      </w:r>
      <w:r w:rsidR="35CDCF35">
        <w:t xml:space="preserve">as </w:t>
      </w:r>
      <w:proofErr w:type="gramStart"/>
      <w:r w:rsidR="008804E4">
        <w:t>at</w:t>
      </w:r>
      <w:proofErr w:type="gramEnd"/>
      <w:r w:rsidR="008804E4">
        <w:t xml:space="preserve"> 31 December 20</w:t>
      </w:r>
      <w:r w:rsidR="00421688">
        <w:t>20</w:t>
      </w:r>
      <w:r w:rsidR="008804E4">
        <w:t xml:space="preserve"> (201</w:t>
      </w:r>
      <w:r w:rsidR="00421688">
        <w:t>9</w:t>
      </w:r>
      <w:r w:rsidR="008804E4">
        <w:t>: $</w:t>
      </w:r>
      <w:r w:rsidR="00421688">
        <w:t>3.</w:t>
      </w:r>
      <w:r w:rsidR="00AD5342">
        <w:t>8</w:t>
      </w:r>
      <w:r w:rsidR="00492099">
        <w:t xml:space="preserve"> billion</w:t>
      </w:r>
      <w:r w:rsidR="008804E4">
        <w:t xml:space="preserve">). </w:t>
      </w:r>
      <w:r w:rsidR="000A5779">
        <w:t>Under U</w:t>
      </w:r>
      <w:r w:rsidR="008804E4">
        <w:t>NDP’s Financial Regulations and Rules, the organization is only permitted to spend when the cash is received</w:t>
      </w:r>
      <w:r w:rsidR="003D2590">
        <w:t xml:space="preserve">. </w:t>
      </w:r>
      <w:r w:rsidR="002306D2">
        <w:t xml:space="preserve"> i</w:t>
      </w:r>
      <w:r w:rsidR="003D2590">
        <w:t>.</w:t>
      </w:r>
      <w:r w:rsidR="002306D2">
        <w:t>e</w:t>
      </w:r>
      <w:r w:rsidR="003D2590">
        <w:t>.,</w:t>
      </w:r>
      <w:r w:rsidR="002306D2">
        <w:t xml:space="preserve"> </w:t>
      </w:r>
      <w:r w:rsidR="00296E3B">
        <w:t>t</w:t>
      </w:r>
      <w:r w:rsidR="003D2590">
        <w:t xml:space="preserve">he organization is not permitted to </w:t>
      </w:r>
      <w:r w:rsidR="002306D2">
        <w:t xml:space="preserve">spend </w:t>
      </w:r>
      <w:r w:rsidR="00CF5D9A">
        <w:t>the $</w:t>
      </w:r>
      <w:r w:rsidR="00870CE4">
        <w:t>4.</w:t>
      </w:r>
      <w:r w:rsidR="002C2001">
        <w:t>5</w:t>
      </w:r>
      <w:r w:rsidR="00CF5D9A">
        <w:t xml:space="preserve"> billion</w:t>
      </w:r>
      <w:r w:rsidR="00D0208E">
        <w:t xml:space="preserve"> stated above</w:t>
      </w:r>
      <w:r w:rsidR="00CF5D9A">
        <w:t xml:space="preserve">. </w:t>
      </w:r>
      <w:r w:rsidR="00A52A89">
        <w:t xml:space="preserve">Figure </w:t>
      </w:r>
      <w:r w:rsidR="004D4DCC">
        <w:t>VIII</w:t>
      </w:r>
      <w:r w:rsidR="001943C4">
        <w:t xml:space="preserve"> (</w:t>
      </w:r>
      <w:r w:rsidR="00A52A89">
        <w:t>a</w:t>
      </w:r>
      <w:r w:rsidR="001943C4">
        <w:t>)</w:t>
      </w:r>
      <w:r w:rsidR="00A52A89">
        <w:t xml:space="preserve"> below </w:t>
      </w:r>
      <w:r w:rsidR="000F3281">
        <w:t>illustrates the trend in the accumulated balances</w:t>
      </w:r>
      <w:r w:rsidR="004129CA">
        <w:t xml:space="preserve">, and the impact of </w:t>
      </w:r>
      <w:r w:rsidR="008F6809">
        <w:t xml:space="preserve">changes in </w:t>
      </w:r>
      <w:r w:rsidR="004129CA">
        <w:t xml:space="preserve">the </w:t>
      </w:r>
      <w:r w:rsidR="00CE29A0">
        <w:t>receivables of non-exchange transactions</w:t>
      </w:r>
      <w:r w:rsidR="004129CA">
        <w:t xml:space="preserve">. </w:t>
      </w:r>
    </w:p>
    <w:p w14:paraId="13319B25" w14:textId="3140B4FC" w:rsidR="00394937" w:rsidRPr="00507534" w:rsidRDefault="005605F7" w:rsidP="000B3DF2">
      <w:pPr>
        <w:keepNext/>
        <w:tabs>
          <w:tab w:val="left" w:pos="1260"/>
          <w:tab w:val="left" w:pos="1620"/>
          <w:tab w:val="left" w:pos="2218"/>
          <w:tab w:val="left" w:pos="2693"/>
          <w:tab w:val="left" w:pos="3182"/>
          <w:tab w:val="left" w:pos="3658"/>
          <w:tab w:val="left" w:pos="4133"/>
          <w:tab w:val="left" w:pos="4622"/>
          <w:tab w:val="left" w:pos="5098"/>
          <w:tab w:val="left" w:pos="5573"/>
          <w:tab w:val="left" w:pos="6048"/>
        </w:tabs>
        <w:ind w:left="1268" w:right="1267" w:hanging="274"/>
        <w:jc w:val="center"/>
        <w:rPr>
          <w:b/>
        </w:rPr>
      </w:pPr>
      <w:r w:rsidRPr="008C2E10">
        <w:rPr>
          <w:b/>
          <w:bCs/>
        </w:rPr>
        <w:t xml:space="preserve">Figure </w:t>
      </w:r>
      <w:r w:rsidR="004D4DCC" w:rsidRPr="008C2E10">
        <w:rPr>
          <w:b/>
          <w:bCs/>
        </w:rPr>
        <w:t>VIII</w:t>
      </w:r>
      <w:r w:rsidR="001943C4" w:rsidRPr="008C2E10">
        <w:rPr>
          <w:b/>
          <w:bCs/>
        </w:rPr>
        <w:t xml:space="preserve"> (</w:t>
      </w:r>
      <w:r w:rsidR="0006661B" w:rsidRPr="008C2E10">
        <w:rPr>
          <w:b/>
          <w:bCs/>
        </w:rPr>
        <w:t>a</w:t>
      </w:r>
      <w:r w:rsidR="001943C4" w:rsidRPr="008C2E10">
        <w:rPr>
          <w:b/>
          <w:bCs/>
        </w:rPr>
        <w:t>)</w:t>
      </w:r>
      <w:r w:rsidR="0006661B" w:rsidRPr="008C2E10">
        <w:rPr>
          <w:b/>
          <w:bCs/>
        </w:rPr>
        <w:t>.</w:t>
      </w:r>
      <w:r w:rsidRPr="008C2E10">
        <w:rPr>
          <w:b/>
          <w:bCs/>
        </w:rPr>
        <w:t xml:space="preserve"> </w:t>
      </w:r>
      <w:r w:rsidR="00394937" w:rsidRPr="008C2E10">
        <w:rPr>
          <w:b/>
        </w:rPr>
        <w:t>Accumulated balance, regular resources and other resources</w:t>
      </w:r>
    </w:p>
    <w:p w14:paraId="78A1D564" w14:textId="155BDA06" w:rsidR="00B664C6" w:rsidRPr="00B664C6" w:rsidRDefault="00054195" w:rsidP="00B664C6">
      <w:pPr>
        <w:keepNext/>
        <w:tabs>
          <w:tab w:val="left" w:pos="1260"/>
          <w:tab w:val="left" w:pos="1620"/>
          <w:tab w:val="left" w:pos="2218"/>
          <w:tab w:val="left" w:pos="2693"/>
          <w:tab w:val="left" w:pos="3182"/>
          <w:tab w:val="left" w:pos="3658"/>
          <w:tab w:val="left" w:pos="4133"/>
          <w:tab w:val="left" w:pos="4622"/>
          <w:tab w:val="left" w:pos="5098"/>
          <w:tab w:val="left" w:pos="5573"/>
          <w:tab w:val="left" w:pos="6048"/>
        </w:tabs>
        <w:ind w:left="1267" w:right="1267" w:hanging="277"/>
        <w:jc w:val="center"/>
        <w:rPr>
          <w:i/>
        </w:rPr>
      </w:pPr>
      <w:r>
        <w:rPr>
          <w:noProof/>
        </w:rPr>
        <w:drawing>
          <wp:anchor distT="0" distB="0" distL="114300" distR="114300" simplePos="0" relativeHeight="251658248" behindDoc="1" locked="0" layoutInCell="1" allowOverlap="1" wp14:anchorId="4608632C" wp14:editId="13258A4E">
            <wp:simplePos x="0" y="0"/>
            <wp:positionH relativeFrom="column">
              <wp:posOffset>740410</wp:posOffset>
            </wp:positionH>
            <wp:positionV relativeFrom="paragraph">
              <wp:posOffset>232410</wp:posOffset>
            </wp:positionV>
            <wp:extent cx="5038090" cy="2976880"/>
            <wp:effectExtent l="0" t="0" r="0" b="0"/>
            <wp:wrapSquare wrapText="bothSides"/>
            <wp:docPr id="399496818" name="Picture 2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rotWithShape="1">
                    <a:blip r:embed="rId28">
                      <a:extLst>
                        <a:ext uri="{28A0092B-C50C-407E-A947-70E740481C1C}">
                          <a14:useLocalDpi xmlns:a14="http://schemas.microsoft.com/office/drawing/2010/main" val="0"/>
                        </a:ext>
                      </a:extLst>
                    </a:blip>
                    <a:srcRect t="6746"/>
                    <a:stretch/>
                  </pic:blipFill>
                  <pic:spPr bwMode="auto">
                    <a:xfrm>
                      <a:off x="0" y="0"/>
                      <a:ext cx="5038090" cy="2976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94937" w:rsidRPr="00507534">
        <w:rPr>
          <w:i/>
        </w:rPr>
        <w:t>(in millions of United States dollars)</w:t>
      </w:r>
      <w:r w:rsidR="0D134B9E" w:rsidRPr="0F9F2C32">
        <w:rPr>
          <w:i/>
          <w:iCs/>
        </w:rPr>
        <w:t xml:space="preserve"> </w:t>
      </w:r>
      <w:bookmarkStart w:id="413" w:name="_Hlk77098612"/>
    </w:p>
    <w:p w14:paraId="0253B70F" w14:textId="15A64900" w:rsidR="00FF1714" w:rsidRPr="00385223" w:rsidRDefault="004255AF" w:rsidP="00266895">
      <w:pPr>
        <w:pStyle w:val="ListParagraph"/>
        <w:numPr>
          <w:ilvl w:val="0"/>
          <w:numId w:val="5"/>
        </w:numPr>
        <w:spacing w:before="240" w:after="240" w:line="240" w:lineRule="auto"/>
        <w:ind w:right="1267"/>
        <w:contextualSpacing w:val="0"/>
        <w:jc w:val="both"/>
      </w:pPr>
      <w:r w:rsidRPr="004255AF">
        <w:t>Available accumulated regular resources (core) decreased by $78 million in 2020 mainly due to a deficit of $105 million in 2020 along with a net increase of $27 million in aggregate mostly as a result of the fair value adjustment of ASHI investments and the net actuarial revaluation. The deficit of $105 million was mainly caused by a decrease of $143 million in core voluntary contribution from $694 million in 2019 to $551 million in 2020. In addition, in line with Board decision 1999/9, a prudent level of liquidity for regular resources is equivalent to three to six months’ expenditures. UNDP maintained the year-end core liquidity position at 7.21 months of working capital, above the minimum threshold (2019: 6.61 months).</w:t>
      </w:r>
    </w:p>
    <w:bookmarkEnd w:id="413"/>
    <w:p w14:paraId="3CF951AF" w14:textId="0F16A859" w:rsidR="00601730" w:rsidRPr="00385223" w:rsidRDefault="00FF1714" w:rsidP="00266895">
      <w:pPr>
        <w:pStyle w:val="ListParagraph"/>
        <w:numPr>
          <w:ilvl w:val="0"/>
          <w:numId w:val="5"/>
        </w:numPr>
        <w:spacing w:before="240" w:after="240" w:line="240" w:lineRule="auto"/>
        <w:ind w:right="1267"/>
        <w:contextualSpacing w:val="0"/>
        <w:jc w:val="both"/>
      </w:pPr>
      <w:r w:rsidRPr="00385223">
        <w:lastRenderedPageBreak/>
        <w:t xml:space="preserve">Total accumulated </w:t>
      </w:r>
      <w:r w:rsidR="00DA1CB8" w:rsidRPr="00385223">
        <w:t>other resources (</w:t>
      </w:r>
      <w:r w:rsidRPr="00385223">
        <w:t>non-core</w:t>
      </w:r>
      <w:r w:rsidR="00DA1CB8" w:rsidRPr="00385223">
        <w:t>)</w:t>
      </w:r>
      <w:r w:rsidRPr="00385223">
        <w:t xml:space="preserve"> programme balances </w:t>
      </w:r>
      <w:r w:rsidR="00BD6F0E" w:rsidRPr="00385223">
        <w:t xml:space="preserve">increased by </w:t>
      </w:r>
      <w:r w:rsidR="008A081A" w:rsidRPr="00385223">
        <w:t>1.6 billion</w:t>
      </w:r>
      <w:r w:rsidR="006E1FBD" w:rsidRPr="00385223">
        <w:t>, partially</w:t>
      </w:r>
      <w:r w:rsidR="008A081A" w:rsidRPr="00385223">
        <w:t xml:space="preserve"> </w:t>
      </w:r>
      <w:r w:rsidR="00AE4A97" w:rsidRPr="00385223">
        <w:t xml:space="preserve">resulting from </w:t>
      </w:r>
      <w:r w:rsidR="00000438" w:rsidRPr="00385223">
        <w:t>revenue recorded for multi-year programmes and projects that will be implemented in future periods and include accounts receivables</w:t>
      </w:r>
      <w:r w:rsidR="004C6F34" w:rsidRPr="00385223">
        <w:t xml:space="preserve"> </w:t>
      </w:r>
      <w:r w:rsidR="00000438" w:rsidRPr="00385223">
        <w:t>of $</w:t>
      </w:r>
      <w:r w:rsidR="007B1348" w:rsidRPr="00385223">
        <w:t>4.</w:t>
      </w:r>
      <w:r w:rsidR="00487F44" w:rsidRPr="00385223">
        <w:t>3</w:t>
      </w:r>
      <w:r w:rsidR="007B1348" w:rsidRPr="00385223">
        <w:t xml:space="preserve"> billion (net of past due)</w:t>
      </w:r>
      <w:r w:rsidR="007C0D5E" w:rsidRPr="00385223">
        <w:t xml:space="preserve"> for non-core </w:t>
      </w:r>
      <w:r w:rsidR="008C460C" w:rsidRPr="00385223">
        <w:t>resources</w:t>
      </w:r>
      <w:r w:rsidR="00113CBB" w:rsidRPr="00385223">
        <w:t xml:space="preserve"> as </w:t>
      </w:r>
      <w:proofErr w:type="gramStart"/>
      <w:r w:rsidR="00113CBB" w:rsidRPr="00385223">
        <w:t>at</w:t>
      </w:r>
      <w:proofErr w:type="gramEnd"/>
      <w:r w:rsidR="00113CBB" w:rsidRPr="00385223">
        <w:t xml:space="preserve"> December 2020 (2019: </w:t>
      </w:r>
      <w:r w:rsidR="006E1FBD" w:rsidRPr="00385223">
        <w:t>$3.</w:t>
      </w:r>
      <w:r w:rsidR="00487F44" w:rsidRPr="00385223">
        <w:t>4</w:t>
      </w:r>
      <w:r w:rsidR="006E1FBD" w:rsidRPr="00385223">
        <w:t xml:space="preserve"> billion</w:t>
      </w:r>
      <w:r w:rsidR="337195FF" w:rsidRPr="00385223">
        <w:t>).</w:t>
      </w:r>
      <w:r w:rsidR="006E1FBD" w:rsidRPr="00385223">
        <w:t xml:space="preserve"> </w:t>
      </w:r>
      <w:r w:rsidRPr="00385223">
        <w:t>UNDP continued to seek opportunities to accelerate the delivery of development results and further draw down its accumulated balance, taking into account the late receipt of funds in 20</w:t>
      </w:r>
      <w:r w:rsidR="003B69D6" w:rsidRPr="00385223">
        <w:t>20</w:t>
      </w:r>
      <w:r w:rsidRPr="00385223">
        <w:t xml:space="preserve">. Contributions received in the last quarter at </w:t>
      </w:r>
      <w:r w:rsidR="00D502C9" w:rsidRPr="00266895">
        <w:t>3</w:t>
      </w:r>
      <w:r w:rsidR="006532BC" w:rsidRPr="00385223">
        <w:t>8</w:t>
      </w:r>
      <w:r w:rsidRPr="00385223">
        <w:t xml:space="preserve"> per cent (201</w:t>
      </w:r>
      <w:r w:rsidR="006532BC" w:rsidRPr="00385223">
        <w:t>9</w:t>
      </w:r>
      <w:r w:rsidRPr="00385223">
        <w:t xml:space="preserve">: </w:t>
      </w:r>
      <w:r w:rsidR="006532BC" w:rsidRPr="00385223">
        <w:t>37</w:t>
      </w:r>
      <w:r w:rsidRPr="00385223">
        <w:t xml:space="preserve"> per cent) of total contributions in 2019 were too late for delivery in the same year and will have to be budgeted in the following year. Early payments of contributions by funding partners aid the timely delivery of development results.</w:t>
      </w:r>
    </w:p>
    <w:p w14:paraId="4D8F0EE1" w14:textId="13644E9A" w:rsidR="00826095" w:rsidRPr="00385223" w:rsidRDefault="00826095" w:rsidP="00266895">
      <w:pPr>
        <w:pStyle w:val="ListParagraph"/>
        <w:numPr>
          <w:ilvl w:val="0"/>
          <w:numId w:val="5"/>
        </w:numPr>
        <w:spacing w:before="240" w:after="240" w:line="240" w:lineRule="auto"/>
        <w:ind w:right="1267"/>
        <w:contextualSpacing w:val="0"/>
        <w:jc w:val="both"/>
      </w:pPr>
      <w:r w:rsidRPr="00385223">
        <w:t>In 20</w:t>
      </w:r>
      <w:r w:rsidR="00A447F4" w:rsidRPr="00385223">
        <w:t>20</w:t>
      </w:r>
      <w:r w:rsidRPr="00385223">
        <w:t>, $</w:t>
      </w:r>
      <w:r w:rsidR="00A447F4" w:rsidRPr="00385223">
        <w:t>1</w:t>
      </w:r>
      <w:r w:rsidRPr="00385223">
        <w:t>6 million (20</w:t>
      </w:r>
      <w:r w:rsidR="00A447F4" w:rsidRPr="00385223">
        <w:t>19</w:t>
      </w:r>
      <w:r w:rsidRPr="00385223">
        <w:t>: $</w:t>
      </w:r>
      <w:r w:rsidR="00A447F4" w:rsidRPr="00385223">
        <w:t>6</w:t>
      </w:r>
      <w:r w:rsidRPr="00385223">
        <w:t xml:space="preserve"> million) was released to the accumulated surpluses from the operational reserve, in accordance with the operational reserve formula approved by the Executive Board in decision 1999/9. </w:t>
      </w:r>
    </w:p>
    <w:p w14:paraId="53AB5B7C" w14:textId="736FBFD3" w:rsidR="00DA1CB8" w:rsidRPr="00385223" w:rsidRDefault="000320CC" w:rsidP="00266895">
      <w:pPr>
        <w:pStyle w:val="ListParagraph"/>
        <w:numPr>
          <w:ilvl w:val="0"/>
          <w:numId w:val="5"/>
        </w:numPr>
        <w:spacing w:before="240" w:after="240" w:line="240" w:lineRule="auto"/>
        <w:ind w:right="1267"/>
        <w:contextualSpacing w:val="0"/>
        <w:jc w:val="both"/>
      </w:pPr>
      <w:r w:rsidRPr="00385223">
        <w:t xml:space="preserve">The attribution of the accumulated </w:t>
      </w:r>
      <w:r w:rsidR="004E26A8" w:rsidRPr="00385223">
        <w:t xml:space="preserve">balance </w:t>
      </w:r>
      <w:r w:rsidRPr="00385223">
        <w:t>to the various funding sources</w:t>
      </w:r>
      <w:r w:rsidR="00705947" w:rsidRPr="00385223">
        <w:t xml:space="preserve"> for future delivery </w:t>
      </w:r>
      <w:r w:rsidRPr="00385223">
        <w:t xml:space="preserve">is set out in </w:t>
      </w:r>
      <w:r w:rsidR="00F43855" w:rsidRPr="00385223">
        <w:t xml:space="preserve">figure </w:t>
      </w:r>
      <w:r w:rsidR="004D4DCC" w:rsidRPr="00385223">
        <w:t>VIII</w:t>
      </w:r>
      <w:r w:rsidR="001943C4" w:rsidRPr="00385223">
        <w:t xml:space="preserve"> (</w:t>
      </w:r>
      <w:r w:rsidR="00F43855" w:rsidRPr="00385223">
        <w:t>b</w:t>
      </w:r>
      <w:r w:rsidR="001943C4" w:rsidRPr="00385223">
        <w:t>)</w:t>
      </w:r>
      <w:r w:rsidR="00636AF8" w:rsidRPr="00385223">
        <w:t xml:space="preserve"> below</w:t>
      </w:r>
      <w:r w:rsidRPr="00385223">
        <w:t>.</w:t>
      </w:r>
      <w:r w:rsidR="007216F6" w:rsidRPr="00385223">
        <w:t xml:space="preserve"> </w:t>
      </w:r>
      <w:r w:rsidR="00194299" w:rsidRPr="00385223">
        <w:t xml:space="preserve"> This comprised of donor cost-sharing </w:t>
      </w:r>
      <w:r w:rsidR="08051FD4" w:rsidRPr="00385223">
        <w:t xml:space="preserve">balance </w:t>
      </w:r>
      <w:r w:rsidR="000C48ED" w:rsidRPr="00385223">
        <w:t xml:space="preserve">of </w:t>
      </w:r>
      <w:r w:rsidR="004562C4" w:rsidRPr="00385223">
        <w:t>$</w:t>
      </w:r>
      <w:r w:rsidR="00F41D85" w:rsidRPr="00385223">
        <w:t>4.6</w:t>
      </w:r>
      <w:r w:rsidR="00FD5580" w:rsidRPr="00385223">
        <w:t xml:space="preserve"> billion</w:t>
      </w:r>
      <w:r w:rsidR="004562C4" w:rsidRPr="00385223">
        <w:t xml:space="preserve"> (201</w:t>
      </w:r>
      <w:r w:rsidR="00F41D85" w:rsidRPr="00385223">
        <w:t>9</w:t>
      </w:r>
      <w:r w:rsidR="00DF098A" w:rsidRPr="00385223">
        <w:t xml:space="preserve">: </w:t>
      </w:r>
      <w:r w:rsidR="00B0578E" w:rsidRPr="00385223">
        <w:t>$</w:t>
      </w:r>
      <w:r w:rsidR="00F41D85" w:rsidRPr="00385223">
        <w:t>4.3</w:t>
      </w:r>
      <w:r w:rsidR="00FD5580" w:rsidRPr="00385223">
        <w:t xml:space="preserve"> billion</w:t>
      </w:r>
      <w:r w:rsidR="005C440D" w:rsidRPr="00385223">
        <w:t>)</w:t>
      </w:r>
      <w:r w:rsidR="00BC6476" w:rsidRPr="00385223">
        <w:t>,</w:t>
      </w:r>
      <w:r w:rsidR="00632561" w:rsidRPr="00385223">
        <w:t xml:space="preserve"> vertical funds </w:t>
      </w:r>
      <w:r w:rsidR="61EF062E" w:rsidRPr="00385223">
        <w:t xml:space="preserve">balance </w:t>
      </w:r>
      <w:r w:rsidR="00632561" w:rsidRPr="00385223">
        <w:t>of $</w:t>
      </w:r>
      <w:r w:rsidR="00F41D85" w:rsidRPr="00385223">
        <w:t>3.4</w:t>
      </w:r>
      <w:r w:rsidR="00FD5580" w:rsidRPr="00385223">
        <w:t xml:space="preserve"> billion</w:t>
      </w:r>
      <w:r w:rsidR="00632561" w:rsidRPr="00385223">
        <w:t xml:space="preserve"> (201</w:t>
      </w:r>
      <w:r w:rsidR="00F41D85" w:rsidRPr="00385223">
        <w:t>9</w:t>
      </w:r>
      <w:r w:rsidR="00632561" w:rsidRPr="00385223">
        <w:t>: $</w:t>
      </w:r>
      <w:r w:rsidR="0003036C" w:rsidRPr="00385223">
        <w:t>2.5</w:t>
      </w:r>
      <w:r w:rsidR="00FD5580" w:rsidRPr="00385223">
        <w:t xml:space="preserve"> billion</w:t>
      </w:r>
      <w:r w:rsidR="00632561" w:rsidRPr="00385223">
        <w:t>),</w:t>
      </w:r>
      <w:r w:rsidR="00CB6E74" w:rsidRPr="00385223">
        <w:t xml:space="preserve"> </w:t>
      </w:r>
      <w:r w:rsidR="00D36EFD" w:rsidRPr="00385223">
        <w:t>programme cost-sharing</w:t>
      </w:r>
      <w:r w:rsidR="7636703D" w:rsidRPr="00385223">
        <w:t xml:space="preserve"> balance </w:t>
      </w:r>
      <w:r w:rsidR="006A7517" w:rsidRPr="00385223">
        <w:t>of $</w:t>
      </w:r>
      <w:r w:rsidR="0003036C" w:rsidRPr="00385223">
        <w:t>1.0</w:t>
      </w:r>
      <w:r w:rsidR="006A7517" w:rsidRPr="00385223">
        <w:t xml:space="preserve"> </w:t>
      </w:r>
      <w:r w:rsidR="0003036C" w:rsidRPr="00385223">
        <w:t>b</w:t>
      </w:r>
      <w:r w:rsidR="006A7517" w:rsidRPr="00385223">
        <w:t>illion (201</w:t>
      </w:r>
      <w:r w:rsidR="0003036C" w:rsidRPr="00385223">
        <w:t>9</w:t>
      </w:r>
      <w:r w:rsidR="006A7517" w:rsidRPr="00385223">
        <w:t>: $</w:t>
      </w:r>
      <w:r w:rsidR="0003036C" w:rsidRPr="00385223">
        <w:t>821</w:t>
      </w:r>
      <w:r w:rsidR="006A7517" w:rsidRPr="00385223">
        <w:t xml:space="preserve"> million),</w:t>
      </w:r>
      <w:r w:rsidR="00CA3BB9" w:rsidRPr="00385223">
        <w:t xml:space="preserve"> </w:t>
      </w:r>
      <w:r w:rsidR="00CB1909" w:rsidRPr="00385223">
        <w:t xml:space="preserve">trust funds balance of $718 million (2019: $421 million), </w:t>
      </w:r>
      <w:r w:rsidR="00CA3BB9" w:rsidRPr="00385223">
        <w:t xml:space="preserve">regular resources </w:t>
      </w:r>
      <w:r w:rsidR="02064447" w:rsidRPr="00385223">
        <w:t xml:space="preserve">balance </w:t>
      </w:r>
      <w:r w:rsidR="00CA3BB9" w:rsidRPr="00385223">
        <w:t>of $</w:t>
      </w:r>
      <w:r w:rsidR="00A20C71" w:rsidRPr="00385223">
        <w:t>679</w:t>
      </w:r>
      <w:r w:rsidR="00CA3BB9" w:rsidRPr="00385223">
        <w:t xml:space="preserve"> million (201</w:t>
      </w:r>
      <w:r w:rsidR="00A20C71" w:rsidRPr="00385223">
        <w:t>9</w:t>
      </w:r>
      <w:r w:rsidR="00CA3BB9" w:rsidRPr="00385223">
        <w:t>: $</w:t>
      </w:r>
      <w:r w:rsidR="00A20C71" w:rsidRPr="00385223">
        <w:t>757</w:t>
      </w:r>
      <w:r w:rsidR="00CA3BB9" w:rsidRPr="00385223">
        <w:t xml:space="preserve"> million),</w:t>
      </w:r>
      <w:r w:rsidR="00AB2D7E" w:rsidRPr="00385223">
        <w:t xml:space="preserve"> and </w:t>
      </w:r>
      <w:r w:rsidR="00626C31" w:rsidRPr="00385223">
        <w:t xml:space="preserve">reimbursable support services </w:t>
      </w:r>
      <w:r w:rsidR="5D29570F" w:rsidRPr="00385223">
        <w:t xml:space="preserve">balance </w:t>
      </w:r>
      <w:r w:rsidR="00626C31" w:rsidRPr="00385223">
        <w:t>of $</w:t>
      </w:r>
      <w:r w:rsidR="00A20C71" w:rsidRPr="00385223">
        <w:t>523</w:t>
      </w:r>
      <w:r w:rsidR="00626C31" w:rsidRPr="00385223">
        <w:t xml:space="preserve"> million (201</w:t>
      </w:r>
      <w:r w:rsidR="00A20C71" w:rsidRPr="00385223">
        <w:t>9</w:t>
      </w:r>
      <w:r w:rsidR="00626C31" w:rsidRPr="00385223">
        <w:t>: $</w:t>
      </w:r>
      <w:r w:rsidR="00652C1C" w:rsidRPr="00385223">
        <w:t>548</w:t>
      </w:r>
      <w:r w:rsidR="00626C31" w:rsidRPr="00385223">
        <w:t xml:space="preserve"> million)</w:t>
      </w:r>
      <w:r w:rsidR="00AB2D7E" w:rsidRPr="00385223">
        <w:t>.</w:t>
      </w:r>
      <w:r w:rsidR="00626C31" w:rsidRPr="00385223">
        <w:t xml:space="preserve"> </w:t>
      </w:r>
    </w:p>
    <w:p w14:paraId="33D36C71" w14:textId="211F0202" w:rsidR="00F833DE" w:rsidRPr="00507534" w:rsidRDefault="00FA309C" w:rsidP="007A712B">
      <w:pPr>
        <w:keepNext/>
        <w:tabs>
          <w:tab w:val="left" w:pos="1267"/>
          <w:tab w:val="left" w:pos="1620"/>
          <w:tab w:val="left" w:pos="2218"/>
          <w:tab w:val="left" w:pos="2693"/>
          <w:tab w:val="left" w:pos="3182"/>
          <w:tab w:val="left" w:pos="3658"/>
          <w:tab w:val="left" w:pos="4133"/>
          <w:tab w:val="left" w:pos="4622"/>
          <w:tab w:val="left" w:pos="5098"/>
          <w:tab w:val="left" w:pos="5573"/>
          <w:tab w:val="left" w:pos="6048"/>
        </w:tabs>
        <w:ind w:left="1526" w:right="1267"/>
        <w:jc w:val="center"/>
      </w:pPr>
      <w:r w:rsidRPr="00507534">
        <w:rPr>
          <w:b/>
        </w:rPr>
        <w:t xml:space="preserve">Figure </w:t>
      </w:r>
      <w:r w:rsidR="004D4DCC" w:rsidRPr="00507534">
        <w:rPr>
          <w:b/>
        </w:rPr>
        <w:t>VIII</w:t>
      </w:r>
      <w:r w:rsidR="001943C4" w:rsidRPr="00507534">
        <w:rPr>
          <w:b/>
        </w:rPr>
        <w:t xml:space="preserve"> (</w:t>
      </w:r>
      <w:r w:rsidRPr="00507534">
        <w:rPr>
          <w:b/>
        </w:rPr>
        <w:t>b</w:t>
      </w:r>
      <w:r w:rsidR="001943C4" w:rsidRPr="00507534">
        <w:rPr>
          <w:b/>
        </w:rPr>
        <w:t>)</w:t>
      </w:r>
      <w:r w:rsidRPr="00507534">
        <w:rPr>
          <w:b/>
        </w:rPr>
        <w:t xml:space="preserve">. </w:t>
      </w:r>
      <w:r w:rsidR="00F833DE" w:rsidRPr="00507534">
        <w:rPr>
          <w:b/>
        </w:rPr>
        <w:t xml:space="preserve">Accumulated balance by funding source, </w:t>
      </w:r>
      <w:r w:rsidR="006E4D35" w:rsidRPr="00507534">
        <w:rPr>
          <w:b/>
        </w:rPr>
        <w:t>2019-2020</w:t>
      </w:r>
    </w:p>
    <w:p w14:paraId="4D22BED2" w14:textId="70EE4F5A" w:rsidR="006963D6" w:rsidRDefault="00385223" w:rsidP="007A712B">
      <w:pPr>
        <w:pStyle w:val="SingleTxt"/>
        <w:keepNext/>
        <w:tabs>
          <w:tab w:val="clear" w:pos="1742"/>
          <w:tab w:val="left" w:pos="1620"/>
        </w:tabs>
        <w:spacing w:after="0"/>
        <w:ind w:left="1526"/>
        <w:jc w:val="center"/>
        <w:rPr>
          <w:i/>
          <w:iCs/>
        </w:rPr>
      </w:pPr>
      <w:r>
        <w:rPr>
          <w:noProof/>
        </w:rPr>
        <w:drawing>
          <wp:anchor distT="0" distB="0" distL="114300" distR="114300" simplePos="0" relativeHeight="251658249" behindDoc="1" locked="0" layoutInCell="1" allowOverlap="1" wp14:anchorId="57D23602" wp14:editId="38D2D542">
            <wp:simplePos x="0" y="0"/>
            <wp:positionH relativeFrom="column">
              <wp:posOffset>629285</wp:posOffset>
            </wp:positionH>
            <wp:positionV relativeFrom="paragraph">
              <wp:posOffset>151765</wp:posOffset>
            </wp:positionV>
            <wp:extent cx="5237480" cy="2441575"/>
            <wp:effectExtent l="0" t="0" r="1270" b="0"/>
            <wp:wrapTight wrapText="bothSides">
              <wp:wrapPolygon edited="0">
                <wp:start x="0" y="0"/>
                <wp:lineTo x="0" y="21403"/>
                <wp:lineTo x="21527" y="21403"/>
                <wp:lineTo x="21527" y="0"/>
                <wp:lineTo x="0" y="0"/>
              </wp:wrapPolygon>
            </wp:wrapTight>
            <wp:docPr id="1688613933" name="Picture 2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29">
                      <a:extLst>
                        <a:ext uri="{28A0092B-C50C-407E-A947-70E740481C1C}">
                          <a14:useLocalDpi xmlns:a14="http://schemas.microsoft.com/office/drawing/2010/main" val="0"/>
                        </a:ext>
                      </a:extLst>
                    </a:blip>
                    <a:stretch>
                      <a:fillRect/>
                    </a:stretch>
                  </pic:blipFill>
                  <pic:spPr>
                    <a:xfrm>
                      <a:off x="0" y="0"/>
                      <a:ext cx="5237480" cy="2441575"/>
                    </a:xfrm>
                    <a:prstGeom prst="rect">
                      <a:avLst/>
                    </a:prstGeom>
                  </pic:spPr>
                </pic:pic>
              </a:graphicData>
            </a:graphic>
            <wp14:sizeRelH relativeFrom="page">
              <wp14:pctWidth>0</wp14:pctWidth>
            </wp14:sizeRelH>
            <wp14:sizeRelV relativeFrom="page">
              <wp14:pctHeight>0</wp14:pctHeight>
            </wp14:sizeRelV>
          </wp:anchor>
        </w:drawing>
      </w:r>
      <w:r w:rsidR="00F833DE" w:rsidRPr="00507534">
        <w:rPr>
          <w:i/>
          <w:iCs/>
        </w:rPr>
        <w:t xml:space="preserve"> </w:t>
      </w:r>
      <w:r w:rsidR="00F833DE" w:rsidRPr="00507534">
        <w:rPr>
          <w:i/>
          <w:iCs/>
        </w:rPr>
        <w:tab/>
        <w:t>(in millions of United States dollars)</w:t>
      </w:r>
    </w:p>
    <w:p w14:paraId="419A136C" w14:textId="6E764432" w:rsidR="00DA1CB8" w:rsidRPr="008C2E10" w:rsidRDefault="00ED63EF" w:rsidP="00266895">
      <w:pPr>
        <w:pStyle w:val="ListParagraph"/>
        <w:numPr>
          <w:ilvl w:val="0"/>
          <w:numId w:val="5"/>
        </w:numPr>
        <w:spacing w:before="240" w:after="240" w:line="240" w:lineRule="auto"/>
        <w:ind w:right="1267"/>
        <w:contextualSpacing w:val="0"/>
        <w:jc w:val="both"/>
      </w:pPr>
      <w:bookmarkStart w:id="414" w:name="_Hlk517100525"/>
      <w:r w:rsidRPr="008C2E10">
        <w:t>Accumulated resources of vertical funds increased by $878 million, of which $</w:t>
      </w:r>
      <w:r w:rsidR="00F623AF">
        <w:t>686</w:t>
      </w:r>
      <w:r w:rsidRPr="008C2E10">
        <w:t xml:space="preserve"> million is </w:t>
      </w:r>
      <w:r w:rsidR="005F4467" w:rsidRPr="008C2E10">
        <w:t xml:space="preserve">contributed by the </w:t>
      </w:r>
      <w:r w:rsidR="005E2914" w:rsidRPr="008C2E10">
        <w:t xml:space="preserve">multi-year </w:t>
      </w:r>
      <w:r w:rsidR="00912D75" w:rsidRPr="008C2E10">
        <w:t>contribution agreement</w:t>
      </w:r>
      <w:r w:rsidR="005F4467" w:rsidRPr="008C2E10">
        <w:t>s</w:t>
      </w:r>
      <w:r w:rsidR="00912D75" w:rsidRPr="008C2E10">
        <w:t xml:space="preserve"> </w:t>
      </w:r>
      <w:r w:rsidRPr="008C2E10">
        <w:t xml:space="preserve">from the Global Fund to Fight AIDS, Tuberculosis and Malaria. </w:t>
      </w:r>
      <w:r w:rsidR="00DA1CB8" w:rsidRPr="008C2E10">
        <w:t xml:space="preserve">Accumulated resources </w:t>
      </w:r>
      <w:r w:rsidR="008A32D3" w:rsidRPr="008C2E10">
        <w:t xml:space="preserve">of </w:t>
      </w:r>
      <w:r w:rsidR="00DA1CB8" w:rsidRPr="008C2E10">
        <w:t>donor cost-sharing increased by $</w:t>
      </w:r>
      <w:r w:rsidR="004A2BAF" w:rsidRPr="008C2E10">
        <w:t>2</w:t>
      </w:r>
      <w:r w:rsidR="00BC4741" w:rsidRPr="008C2E10">
        <w:t>67</w:t>
      </w:r>
      <w:r w:rsidR="00DA1CB8" w:rsidRPr="008C2E10">
        <w:t xml:space="preserve"> million</w:t>
      </w:r>
      <w:r w:rsidR="001354AC" w:rsidRPr="008C2E10">
        <w:t xml:space="preserve">, of which, </w:t>
      </w:r>
      <w:r w:rsidR="00290799" w:rsidRPr="008C2E10">
        <w:t>$</w:t>
      </w:r>
      <w:r w:rsidR="006B33EA" w:rsidRPr="008C2E10">
        <w:t>3</w:t>
      </w:r>
      <w:r w:rsidR="00F623AF">
        <w:t>50</w:t>
      </w:r>
      <w:r w:rsidR="008C3A14" w:rsidRPr="008C2E10">
        <w:t xml:space="preserve"> million is due to resources </w:t>
      </w:r>
      <w:r w:rsidR="000A03DE" w:rsidRPr="008C2E10">
        <w:t>from European Union</w:t>
      </w:r>
      <w:r w:rsidR="005B3885" w:rsidRPr="008C2E10">
        <w:t xml:space="preserve">. </w:t>
      </w:r>
      <w:r w:rsidR="009578BB" w:rsidRPr="008C2E10">
        <w:t xml:space="preserve"> </w:t>
      </w:r>
    </w:p>
    <w:p w14:paraId="57C0280B" w14:textId="34931546" w:rsidR="00E605A4" w:rsidRPr="00B80473" w:rsidRDefault="00E605A4" w:rsidP="005F648C">
      <w:pPr>
        <w:pStyle w:val="HCh"/>
        <w:numPr>
          <w:ilvl w:val="0"/>
          <w:numId w:val="13"/>
        </w:numPr>
        <w:spacing w:before="360" w:after="240" w:line="240" w:lineRule="auto"/>
        <w:ind w:right="1267"/>
      </w:pPr>
      <w:bookmarkStart w:id="415" w:name="_Toc46221154"/>
      <w:bookmarkStart w:id="416" w:name="_Toc75466855"/>
      <w:bookmarkEnd w:id="415"/>
      <w:r w:rsidRPr="00B80473">
        <w:lastRenderedPageBreak/>
        <w:t>Others</w:t>
      </w:r>
      <w:bookmarkEnd w:id="416"/>
    </w:p>
    <w:p w14:paraId="315C324C" w14:textId="24BE0787" w:rsidR="005C7045" w:rsidRPr="000E57AE" w:rsidRDefault="005C7045" w:rsidP="009E5F63">
      <w:pPr>
        <w:pStyle w:val="H4"/>
        <w:tabs>
          <w:tab w:val="clear" w:pos="1267"/>
          <w:tab w:val="clear" w:pos="1742"/>
          <w:tab w:val="left" w:pos="1260"/>
          <w:tab w:val="left" w:pos="1440"/>
          <w:tab w:val="left" w:pos="1620"/>
        </w:tabs>
        <w:spacing w:before="240" w:after="240" w:line="240" w:lineRule="auto"/>
        <w:ind w:left="1008" w:firstLine="0"/>
        <w:outlineLvl w:val="2"/>
      </w:pPr>
      <w:bookmarkStart w:id="417" w:name="_Toc39596268"/>
      <w:bookmarkStart w:id="418" w:name="_Toc40281219"/>
      <w:bookmarkStart w:id="419" w:name="_Toc40281378"/>
      <w:bookmarkStart w:id="420" w:name="_Toc44499898"/>
      <w:bookmarkStart w:id="421" w:name="_Toc44603246"/>
      <w:bookmarkStart w:id="422" w:name="_Toc44606559"/>
      <w:bookmarkStart w:id="423" w:name="_Toc45297443"/>
      <w:bookmarkStart w:id="424" w:name="_Toc46221156"/>
      <w:bookmarkStart w:id="425" w:name="_Toc46399220"/>
      <w:bookmarkStart w:id="426" w:name="_Toc75466856"/>
      <w:r w:rsidRPr="000E57AE">
        <w:t>Management service agreements</w:t>
      </w:r>
      <w:bookmarkEnd w:id="417"/>
      <w:bookmarkEnd w:id="418"/>
      <w:bookmarkEnd w:id="419"/>
      <w:bookmarkEnd w:id="420"/>
      <w:bookmarkEnd w:id="421"/>
      <w:bookmarkEnd w:id="422"/>
      <w:bookmarkEnd w:id="423"/>
      <w:bookmarkEnd w:id="424"/>
      <w:bookmarkEnd w:id="425"/>
      <w:bookmarkEnd w:id="426"/>
    </w:p>
    <w:p w14:paraId="27BE43B4" w14:textId="4078D2B1" w:rsidR="00E605A4" w:rsidRPr="000E57AE" w:rsidRDefault="00280F6F" w:rsidP="00266895">
      <w:pPr>
        <w:pStyle w:val="ListParagraph"/>
        <w:numPr>
          <w:ilvl w:val="0"/>
          <w:numId w:val="5"/>
        </w:numPr>
        <w:spacing w:before="240" w:after="240" w:line="240" w:lineRule="auto"/>
        <w:ind w:right="1267"/>
        <w:contextualSpacing w:val="0"/>
        <w:jc w:val="both"/>
      </w:pPr>
      <w:r w:rsidRPr="000E57AE">
        <w:t>Management service agreement</w:t>
      </w:r>
      <w:r w:rsidR="00E605A4" w:rsidRPr="000E57AE">
        <w:t xml:space="preserve"> </w:t>
      </w:r>
      <w:r w:rsidR="00473885" w:rsidRPr="000E57AE">
        <w:t xml:space="preserve">contributions </w:t>
      </w:r>
      <w:r w:rsidR="00D55C60" w:rsidRPr="00266895">
        <w:t xml:space="preserve">totalled </w:t>
      </w:r>
      <w:r w:rsidR="0059003A" w:rsidRPr="00266895">
        <w:t>-</w:t>
      </w:r>
      <w:r w:rsidR="00473885" w:rsidRPr="00266895">
        <w:t>$</w:t>
      </w:r>
      <w:r w:rsidR="00F4777B" w:rsidRPr="00266895">
        <w:t>1</w:t>
      </w:r>
      <w:r w:rsidR="00473885" w:rsidRPr="00266895">
        <w:t xml:space="preserve"> million</w:t>
      </w:r>
      <w:r w:rsidR="00473885" w:rsidRPr="000E57AE">
        <w:t xml:space="preserve"> (201</w:t>
      </w:r>
      <w:r w:rsidR="00E40B29">
        <w:t>9</w:t>
      </w:r>
      <w:r w:rsidR="00473885" w:rsidRPr="000E57AE">
        <w:t>: $</w:t>
      </w:r>
      <w:r w:rsidR="00E40B29">
        <w:t>3</w:t>
      </w:r>
      <w:r w:rsidR="00D668B8" w:rsidRPr="000E57AE">
        <w:t> </w:t>
      </w:r>
      <w:r w:rsidR="00473885" w:rsidRPr="000E57AE">
        <w:t>million)</w:t>
      </w:r>
      <w:r w:rsidR="006A2FF4">
        <w:t>, t</w:t>
      </w:r>
      <w:r w:rsidR="00EC0DD7" w:rsidRPr="000E57AE">
        <w:t>otal expenses registered $</w:t>
      </w:r>
      <w:r w:rsidR="00E40B29">
        <w:t>13</w:t>
      </w:r>
      <w:r w:rsidR="00EC0DD7" w:rsidRPr="000E57AE">
        <w:t xml:space="preserve"> million (</w:t>
      </w:r>
      <w:r w:rsidR="003107FC" w:rsidRPr="000E57AE">
        <w:t>201</w:t>
      </w:r>
      <w:r w:rsidR="00A413D5">
        <w:t>9</w:t>
      </w:r>
      <w:r w:rsidR="00EC0DD7" w:rsidRPr="000E57AE">
        <w:t>: $</w:t>
      </w:r>
      <w:r w:rsidR="00A413D5">
        <w:t>6</w:t>
      </w:r>
      <w:r w:rsidR="00D55C60">
        <w:t> </w:t>
      </w:r>
      <w:r w:rsidR="00EC0DD7" w:rsidRPr="000E57AE">
        <w:t>million), and t</w:t>
      </w:r>
      <w:r w:rsidR="00E605A4" w:rsidRPr="000E57AE">
        <w:t xml:space="preserve">he accumulated </w:t>
      </w:r>
      <w:r w:rsidR="006E416A">
        <w:t>balance</w:t>
      </w:r>
      <w:r w:rsidR="00E605A4" w:rsidRPr="000E57AE">
        <w:t xml:space="preserve"> </w:t>
      </w:r>
      <w:r w:rsidR="00FA0169">
        <w:t>decreased</w:t>
      </w:r>
      <w:r w:rsidR="00F91DFA" w:rsidRPr="000E57AE">
        <w:t xml:space="preserve"> </w:t>
      </w:r>
      <w:r w:rsidR="007B1A9F" w:rsidRPr="000E57AE">
        <w:t xml:space="preserve">to </w:t>
      </w:r>
      <w:r w:rsidR="00E605A4" w:rsidRPr="000E57AE">
        <w:t>$</w:t>
      </w:r>
      <w:r w:rsidR="00FA0169">
        <w:t>34</w:t>
      </w:r>
      <w:r w:rsidR="00E605A4" w:rsidRPr="000E57AE">
        <w:t xml:space="preserve"> million (</w:t>
      </w:r>
      <w:r w:rsidR="003107FC" w:rsidRPr="000E57AE">
        <w:t>201</w:t>
      </w:r>
      <w:r w:rsidR="00114CF9">
        <w:t>9</w:t>
      </w:r>
      <w:r w:rsidR="00E605A4" w:rsidRPr="000E57AE">
        <w:t>: $</w:t>
      </w:r>
      <w:r w:rsidR="00FA0169">
        <w:t>48</w:t>
      </w:r>
      <w:r w:rsidR="00D55C60">
        <w:t> </w:t>
      </w:r>
      <w:r w:rsidR="00E605A4" w:rsidRPr="000E57AE">
        <w:t>million).</w:t>
      </w:r>
      <w:r w:rsidR="004A42B4" w:rsidRPr="000E57AE">
        <w:t xml:space="preserve"> </w:t>
      </w:r>
      <w:r w:rsidR="00045485">
        <w:t>D</w:t>
      </w:r>
      <w:r w:rsidR="004A42B4">
        <w:t xml:space="preserve">etails </w:t>
      </w:r>
      <w:r w:rsidR="00045485">
        <w:t xml:space="preserve">are provided </w:t>
      </w:r>
      <w:r w:rsidR="004A42B4">
        <w:t xml:space="preserve">in </w:t>
      </w:r>
      <w:r w:rsidR="00D55C60">
        <w:t xml:space="preserve">document </w:t>
      </w:r>
      <w:r w:rsidR="00B02629">
        <w:t>Appendix VI</w:t>
      </w:r>
      <w:r w:rsidR="009F5294">
        <w:t>I</w:t>
      </w:r>
      <w:r w:rsidR="00B02629">
        <w:t xml:space="preserve"> to Annex I to </w:t>
      </w:r>
      <w:hyperlink r:id="rId30">
        <w:r w:rsidR="004A42B4">
          <w:t>DP/20</w:t>
        </w:r>
        <w:r w:rsidR="00C6614C">
          <w:t>2</w:t>
        </w:r>
        <w:r w:rsidR="00B02629">
          <w:t>1</w:t>
        </w:r>
        <w:r w:rsidR="004A42B4">
          <w:t>/</w:t>
        </w:r>
        <w:r w:rsidR="00B02629">
          <w:t>3</w:t>
        </w:r>
      </w:hyperlink>
      <w:r w:rsidR="00F623AF">
        <w:t>1</w:t>
      </w:r>
      <w:r w:rsidR="004A42B4">
        <w:t>.</w:t>
      </w:r>
    </w:p>
    <w:p w14:paraId="493809A3" w14:textId="3162B77D" w:rsidR="00E605A4" w:rsidRPr="000E57AE" w:rsidRDefault="00E605A4" w:rsidP="009E5F63">
      <w:pPr>
        <w:pStyle w:val="H4"/>
        <w:tabs>
          <w:tab w:val="clear" w:pos="1267"/>
          <w:tab w:val="clear" w:pos="1742"/>
          <w:tab w:val="left" w:pos="1260"/>
          <w:tab w:val="left" w:pos="1440"/>
          <w:tab w:val="left" w:pos="1620"/>
        </w:tabs>
        <w:spacing w:before="240" w:after="240" w:line="240" w:lineRule="auto"/>
        <w:ind w:left="1008" w:firstLine="0"/>
        <w:outlineLvl w:val="2"/>
      </w:pPr>
      <w:bookmarkStart w:id="427" w:name="_Toc39596269"/>
      <w:bookmarkStart w:id="428" w:name="_Toc40281220"/>
      <w:bookmarkStart w:id="429" w:name="_Toc40281379"/>
      <w:bookmarkStart w:id="430" w:name="_Toc44499899"/>
      <w:bookmarkStart w:id="431" w:name="_Toc44603247"/>
      <w:bookmarkStart w:id="432" w:name="_Toc44606560"/>
      <w:bookmarkStart w:id="433" w:name="_Toc45297444"/>
      <w:bookmarkStart w:id="434" w:name="_Toc46221157"/>
      <w:bookmarkStart w:id="435" w:name="_Toc46399221"/>
      <w:bookmarkStart w:id="436" w:name="_Toc75466857"/>
      <w:bookmarkEnd w:id="414"/>
      <w:r w:rsidRPr="000E57AE">
        <w:t>United Nations Volunteers</w:t>
      </w:r>
      <w:bookmarkEnd w:id="427"/>
      <w:bookmarkEnd w:id="428"/>
      <w:bookmarkEnd w:id="429"/>
      <w:bookmarkEnd w:id="430"/>
      <w:bookmarkEnd w:id="431"/>
      <w:bookmarkEnd w:id="432"/>
      <w:bookmarkEnd w:id="433"/>
      <w:bookmarkEnd w:id="434"/>
      <w:bookmarkEnd w:id="435"/>
      <w:bookmarkEnd w:id="436"/>
    </w:p>
    <w:p w14:paraId="0420481A" w14:textId="346C2540" w:rsidR="00C02F24" w:rsidRPr="00C02F24" w:rsidRDefault="00CB4B24" w:rsidP="00266895">
      <w:pPr>
        <w:pStyle w:val="ListParagraph"/>
        <w:numPr>
          <w:ilvl w:val="0"/>
          <w:numId w:val="5"/>
        </w:numPr>
        <w:spacing w:before="240" w:after="240" w:line="240" w:lineRule="auto"/>
        <w:ind w:right="1267"/>
        <w:contextualSpacing w:val="0"/>
        <w:jc w:val="both"/>
      </w:pPr>
      <w:r>
        <w:t>In 20</w:t>
      </w:r>
      <w:r w:rsidR="006A4869">
        <w:t>20</w:t>
      </w:r>
      <w:r>
        <w:t xml:space="preserve">, the </w:t>
      </w:r>
      <w:r w:rsidR="006A4869">
        <w:t>third</w:t>
      </w:r>
      <w:r>
        <w:t xml:space="preserve"> year of the implementation of the UNV Strategic Framework, 2018-2021, the total financial volume amounted to $</w:t>
      </w:r>
      <w:r w:rsidR="006A4869">
        <w:t>237.4</w:t>
      </w:r>
      <w:r>
        <w:t xml:space="preserve"> million, a $</w:t>
      </w:r>
      <w:r w:rsidR="006A4869">
        <w:t>16.1</w:t>
      </w:r>
      <w:r>
        <w:t xml:space="preserve"> million increase from $</w:t>
      </w:r>
      <w:r w:rsidR="00660772">
        <w:t>221.3</w:t>
      </w:r>
      <w:r>
        <w:t xml:space="preserve"> million in 201</w:t>
      </w:r>
      <w:r w:rsidR="00660772">
        <w:t>9</w:t>
      </w:r>
      <w:r>
        <w:t xml:space="preserve">. </w:t>
      </w:r>
      <w:r w:rsidR="00C02F24" w:rsidRPr="00266895">
        <w:t xml:space="preserve">UNV continued to monitor its costs and align them with financial resources and future projections. Correspondingly, the total cost from core, extrabudgetary, cost-recovery funds and the Special Voluntary Fund increased by </w:t>
      </w:r>
      <w:r w:rsidR="004177BB" w:rsidRPr="00266895">
        <w:t>8</w:t>
      </w:r>
      <w:r w:rsidR="00C02F24" w:rsidRPr="00266895">
        <w:t xml:space="preserve"> per cent in 2020, reflecting annual inflation and additional human resource capacity in support of volunteer mobilization and management. </w:t>
      </w:r>
    </w:p>
    <w:p w14:paraId="11E71DA8" w14:textId="3A695F43" w:rsidR="00660772" w:rsidRPr="00A34DF0" w:rsidRDefault="00A34DF0" w:rsidP="00266895">
      <w:pPr>
        <w:pStyle w:val="ListParagraph"/>
        <w:numPr>
          <w:ilvl w:val="0"/>
          <w:numId w:val="5"/>
        </w:numPr>
        <w:spacing w:before="240" w:after="240" w:line="240" w:lineRule="auto"/>
        <w:ind w:right="1267"/>
        <w:contextualSpacing w:val="0"/>
        <w:jc w:val="both"/>
      </w:pPr>
      <w:r w:rsidRPr="00266895">
        <w:t>Unearmarked contributions from Member States form the bedrock of UNV’s institutional budget. In 2020, Member States contributed regular resources to UNV through UNDP amounting to $8.6 million. This is consistent with the annual average in the Strategic Framework 2018-2021 of $8.67 million, and a 15 per cent decrease compared to the annual average of the previous Strategic Framework 2014-2017.</w:t>
      </w:r>
    </w:p>
    <w:p w14:paraId="1BF742ED" w14:textId="6B4A2185" w:rsidR="00A34DF0" w:rsidRPr="00162628" w:rsidRDefault="00A34DF0" w:rsidP="00266895">
      <w:pPr>
        <w:pStyle w:val="ListParagraph"/>
        <w:numPr>
          <w:ilvl w:val="0"/>
          <w:numId w:val="5"/>
        </w:numPr>
        <w:spacing w:before="240" w:after="240" w:line="240" w:lineRule="auto"/>
        <w:ind w:right="1267"/>
        <w:contextualSpacing w:val="0"/>
        <w:jc w:val="both"/>
      </w:pPr>
      <w:r w:rsidRPr="00266895">
        <w:t>UNV continues to rely on the Special Voluntary Fund for volunteerism research and promotion, rapid response</w:t>
      </w:r>
      <w:r w:rsidR="00A71314" w:rsidRPr="00266895">
        <w:t>,</w:t>
      </w:r>
      <w:r w:rsidRPr="00266895">
        <w:t xml:space="preserve"> and innovative solutions. In 2020, contributions to the fund came from 11 donors: Bangladesh, China, the Czech Republic, France, Germany, India, Ireland, Sweden, Switzerland, Thailand</w:t>
      </w:r>
      <w:r w:rsidR="004177BB" w:rsidRPr="00266895">
        <w:t>,</w:t>
      </w:r>
      <w:r w:rsidRPr="00266895">
        <w:t xml:space="preserve"> and Turkey. </w:t>
      </w:r>
      <w:r w:rsidR="004A6DF0" w:rsidRPr="00266895">
        <w:t xml:space="preserve"> </w:t>
      </w:r>
      <w:r w:rsidRPr="00266895">
        <w:t>The total amount of contributions was $6.2 million, inclusive of interest for 2020. However, over 90 per cent came from the top four donors – Germany, Sweden, Switzerland</w:t>
      </w:r>
      <w:r w:rsidR="00A71314" w:rsidRPr="00266895">
        <w:t>,</w:t>
      </w:r>
      <w:r w:rsidRPr="00266895">
        <w:t xml:space="preserve"> and France – suggesting the need to further diversify the Special Voluntary Fund donor bas</w:t>
      </w:r>
      <w:r w:rsidR="004313E7" w:rsidRPr="00266895">
        <w:t>e.</w:t>
      </w:r>
    </w:p>
    <w:p w14:paraId="199D4EBE" w14:textId="3CAFE401" w:rsidR="00162628" w:rsidRDefault="00162628" w:rsidP="00266895">
      <w:pPr>
        <w:pStyle w:val="ListParagraph"/>
        <w:numPr>
          <w:ilvl w:val="0"/>
          <w:numId w:val="5"/>
        </w:numPr>
        <w:spacing w:before="240" w:after="240" w:line="240" w:lineRule="auto"/>
        <w:ind w:right="1267"/>
        <w:contextualSpacing w:val="0"/>
        <w:jc w:val="both"/>
      </w:pPr>
      <w:r w:rsidRPr="00266895">
        <w:t>Contributions to the UNV full funding programme amounted $19.9 million in 2020.</w:t>
      </w:r>
    </w:p>
    <w:p w14:paraId="0EB4B154" w14:textId="4375CEE0" w:rsidR="00897599" w:rsidRPr="00CD5F7C" w:rsidRDefault="00897599" w:rsidP="009E5F63">
      <w:pPr>
        <w:pStyle w:val="H4"/>
        <w:tabs>
          <w:tab w:val="clear" w:pos="1742"/>
          <w:tab w:val="left" w:pos="1440"/>
          <w:tab w:val="left" w:pos="1620"/>
        </w:tabs>
        <w:spacing w:before="240" w:after="240" w:line="240" w:lineRule="auto"/>
        <w:ind w:left="1008" w:firstLine="0"/>
        <w:outlineLvl w:val="2"/>
      </w:pPr>
      <w:bookmarkStart w:id="437" w:name="_Toc39596270"/>
      <w:bookmarkStart w:id="438" w:name="_Toc40281221"/>
      <w:bookmarkStart w:id="439" w:name="_Toc40281380"/>
      <w:bookmarkStart w:id="440" w:name="_Toc44499900"/>
      <w:bookmarkStart w:id="441" w:name="_Toc44603248"/>
      <w:bookmarkStart w:id="442" w:name="_Toc44606561"/>
      <w:bookmarkStart w:id="443" w:name="_Toc45297445"/>
      <w:bookmarkStart w:id="444" w:name="_Toc46221158"/>
      <w:bookmarkStart w:id="445" w:name="_Toc46399222"/>
      <w:bookmarkStart w:id="446" w:name="_Toc75466858"/>
      <w:r w:rsidRPr="00CD5F7C">
        <w:t>United Nations Office of South-South Co</w:t>
      </w:r>
      <w:r w:rsidR="00632307" w:rsidRPr="00CD5F7C">
        <w:t>operation</w:t>
      </w:r>
      <w:bookmarkEnd w:id="437"/>
      <w:bookmarkEnd w:id="438"/>
      <w:bookmarkEnd w:id="439"/>
      <w:bookmarkEnd w:id="440"/>
      <w:bookmarkEnd w:id="441"/>
      <w:bookmarkEnd w:id="442"/>
      <w:bookmarkEnd w:id="443"/>
      <w:bookmarkEnd w:id="444"/>
      <w:bookmarkEnd w:id="445"/>
      <w:bookmarkEnd w:id="446"/>
    </w:p>
    <w:p w14:paraId="450394D2" w14:textId="09F3751A" w:rsidR="00C97350" w:rsidRPr="00A246E7" w:rsidRDefault="00C97350" w:rsidP="00266895">
      <w:pPr>
        <w:pStyle w:val="ListParagraph"/>
        <w:numPr>
          <w:ilvl w:val="0"/>
          <w:numId w:val="5"/>
        </w:numPr>
        <w:spacing w:before="240" w:after="240" w:line="240" w:lineRule="auto"/>
        <w:ind w:right="1267"/>
        <w:contextualSpacing w:val="0"/>
        <w:jc w:val="both"/>
      </w:pPr>
      <w:r w:rsidRPr="00CD5F7C">
        <w:t>The overarching goal of the U</w:t>
      </w:r>
      <w:r w:rsidR="00F06869" w:rsidRPr="00CD5F7C">
        <w:t>nited Nations Office of South-South Cooperation</w:t>
      </w:r>
      <w:r w:rsidR="00E019DE" w:rsidRPr="00CD5F7C">
        <w:t xml:space="preserve"> (UN</w:t>
      </w:r>
      <w:r w:rsidR="00AE60AD" w:rsidRPr="00CD5F7C">
        <w:t xml:space="preserve">OSSC) </w:t>
      </w:r>
      <w:r w:rsidRPr="00CD5F7C">
        <w:t>Strategic Framework</w:t>
      </w:r>
      <w:r w:rsidR="00D55C60" w:rsidRPr="00CD5F7C">
        <w:t xml:space="preserve">, </w:t>
      </w:r>
      <w:r w:rsidRPr="00CD5F7C">
        <w:t>2018-2021</w:t>
      </w:r>
      <w:r w:rsidR="00D55C60" w:rsidRPr="00CD5F7C">
        <w:t>,</w:t>
      </w:r>
      <w:r w:rsidRPr="00CD5F7C">
        <w:t xml:space="preserve"> is to support of the efforts of Member States to eradicate poverty in all its forms and </w:t>
      </w:r>
      <w:r w:rsidR="00A33522" w:rsidRPr="00CD5F7C">
        <w:t>to</w:t>
      </w:r>
      <w:r w:rsidR="00ED13C8" w:rsidRPr="00CD5F7C">
        <w:t xml:space="preserve"> promote</w:t>
      </w:r>
      <w:r w:rsidRPr="00CD5F7C">
        <w:t xml:space="preserve"> gender equality and women’s empowerment </w:t>
      </w:r>
      <w:r w:rsidR="00ED13C8" w:rsidRPr="00CD5F7C">
        <w:t xml:space="preserve">so as to achieve the 2030 Agenda through enhanced South-South </w:t>
      </w:r>
      <w:r w:rsidR="00ED13C8" w:rsidRPr="00A246E7">
        <w:t>cooperation, including triangular cooperation</w:t>
      </w:r>
      <w:r w:rsidRPr="00A246E7">
        <w:t>.</w:t>
      </w:r>
    </w:p>
    <w:p w14:paraId="7D528C44" w14:textId="2D5F5A93" w:rsidR="0091494A" w:rsidRPr="00266895" w:rsidRDefault="0091494A" w:rsidP="00266895">
      <w:pPr>
        <w:pStyle w:val="ListParagraph"/>
        <w:numPr>
          <w:ilvl w:val="0"/>
          <w:numId w:val="5"/>
        </w:numPr>
        <w:spacing w:before="240" w:after="240" w:line="240" w:lineRule="auto"/>
        <w:ind w:right="1267"/>
        <w:contextualSpacing w:val="0"/>
        <w:jc w:val="both"/>
      </w:pPr>
      <w:bookmarkStart w:id="447" w:name="_Hlk517439021"/>
      <w:r>
        <w:t xml:space="preserve">The UNOSSC implemented its strategic framework through an allocation of $2.3 million (2019: $2.3 million) from the UNDP’s institutional budget and $3.7 million (2019: $3.4 million) in core programming resources. In addition, it received $30.9 million in contributions from partners through its four trust funds: $22.4 million from the India-UN Development Partnership Fund, $4.2 million from the United Nations Fund for South-South Cooperation (UNFSSC), $4 million from </w:t>
      </w:r>
      <w:proofErr w:type="gramStart"/>
      <w:r w:rsidR="0E3960E5">
        <w:t xml:space="preserve">the </w:t>
      </w:r>
      <w:r>
        <w:t>India</w:t>
      </w:r>
      <w:proofErr w:type="gramEnd"/>
      <w:r>
        <w:t xml:space="preserve">, Brazil and South Africa Facility for Poverty and Hunger Alleviation, and $0.3 million from the Pérez-Guerrero Trust Fund for South-South Cooperation (PGTF). </w:t>
      </w:r>
    </w:p>
    <w:p w14:paraId="6076F1FC" w14:textId="33448FBC" w:rsidR="00673D37" w:rsidRPr="00CD5F7C" w:rsidRDefault="00A948C4" w:rsidP="00266895">
      <w:pPr>
        <w:pStyle w:val="ListParagraph"/>
        <w:numPr>
          <w:ilvl w:val="0"/>
          <w:numId w:val="5"/>
        </w:numPr>
        <w:spacing w:before="240" w:after="240" w:line="240" w:lineRule="auto"/>
        <w:ind w:right="1267"/>
        <w:contextualSpacing w:val="0"/>
        <w:jc w:val="both"/>
      </w:pPr>
      <w:r w:rsidRPr="00CD5F7C">
        <w:t xml:space="preserve">Despite the challenging global financial context caused by the pandemic, UNOSSC non-core resource contributions were at a record high, driven partly by efforts within United Nations Fund for South-South Cooperation (UNFSSC) and the India-UN </w:t>
      </w:r>
      <w:r w:rsidRPr="00CD5F7C">
        <w:lastRenderedPageBreak/>
        <w:t>Development Partnership Fund to respond to partner-country requests for COVID-19 response support.</w:t>
      </w:r>
    </w:p>
    <w:p w14:paraId="4E2E40F0" w14:textId="3FA66BDF" w:rsidR="00673D37" w:rsidRPr="00CD5F7C" w:rsidRDefault="00673D37" w:rsidP="00266895">
      <w:pPr>
        <w:pStyle w:val="ListParagraph"/>
        <w:numPr>
          <w:ilvl w:val="0"/>
          <w:numId w:val="5"/>
        </w:numPr>
        <w:spacing w:before="240" w:after="240" w:line="240" w:lineRule="auto"/>
        <w:ind w:right="1267"/>
        <w:contextualSpacing w:val="0"/>
        <w:jc w:val="both"/>
      </w:pPr>
      <w:r w:rsidRPr="00CD5F7C">
        <w:t xml:space="preserve">Within the UNOSSC portfolio, trust funds remained the instrument of choice for Member States seeking to facilitate South-South and triangular cooperation activities jointly with the United Nations system. Most contributions were </w:t>
      </w:r>
      <w:r w:rsidR="005E19DC" w:rsidRPr="00CD5F7C">
        <w:t>channelled</w:t>
      </w:r>
      <w:r w:rsidRPr="00CD5F7C">
        <w:t xml:space="preserve"> through funds: UNFSSC, the IBSA Facility for Poverty and Hunger Alleviation and the India-UN Development Partnership Fund. Thanks to its capital endowment and complementary Member States support, the PGTF continued to address matters of critical importance to the Group of 77.</w:t>
      </w:r>
    </w:p>
    <w:p w14:paraId="7915E22D" w14:textId="05066CB3" w:rsidR="00673D37" w:rsidRPr="00CD5F7C" w:rsidRDefault="00673D37" w:rsidP="00266895">
      <w:pPr>
        <w:pStyle w:val="ListParagraph"/>
        <w:numPr>
          <w:ilvl w:val="0"/>
          <w:numId w:val="5"/>
        </w:numPr>
        <w:spacing w:before="240" w:after="240" w:line="240" w:lineRule="auto"/>
        <w:ind w:right="1267"/>
        <w:contextualSpacing w:val="0"/>
        <w:jc w:val="both"/>
      </w:pPr>
      <w:r w:rsidRPr="00CD5F7C">
        <w:t>Most projects, if not directly linked to the COVID-19 response or re-purposed in response to the pandemic, experienced delays in their implementation. Fortunately, the fourth quarter of 2020 showed signs of an acceleration in delivery not only in the health sector but also across the 18 United Nations entities implementing UNOSSC trust fund projects. UNOSSC attained a delivery of $11.1 million for projects funded from non-core resources and achieved a full delivery rate of $6 million in core resources.</w:t>
      </w:r>
    </w:p>
    <w:p w14:paraId="279A2F41" w14:textId="1B87A2C6" w:rsidR="00E605A4" w:rsidRPr="00990843" w:rsidRDefault="00E605A4" w:rsidP="005F648C">
      <w:pPr>
        <w:pStyle w:val="HCh"/>
        <w:numPr>
          <w:ilvl w:val="0"/>
          <w:numId w:val="13"/>
        </w:numPr>
        <w:spacing w:before="360" w:after="240" w:line="240" w:lineRule="auto"/>
        <w:ind w:right="1267"/>
      </w:pPr>
      <w:bookmarkStart w:id="448" w:name="_Toc46221159"/>
      <w:bookmarkStart w:id="449" w:name="_Toc46399223"/>
      <w:bookmarkStart w:id="450" w:name="_Toc46221160"/>
      <w:bookmarkStart w:id="451" w:name="_Toc46399224"/>
      <w:bookmarkStart w:id="452" w:name="_Toc46221161"/>
      <w:bookmarkStart w:id="453" w:name="_Toc46399225"/>
      <w:bookmarkStart w:id="454" w:name="_Toc75466859"/>
      <w:bookmarkEnd w:id="447"/>
      <w:bookmarkEnd w:id="448"/>
      <w:bookmarkEnd w:id="449"/>
      <w:bookmarkEnd w:id="450"/>
      <w:bookmarkEnd w:id="451"/>
      <w:bookmarkEnd w:id="452"/>
      <w:bookmarkEnd w:id="453"/>
      <w:r w:rsidRPr="00990843">
        <w:t>United Nations reform and support to United Nations organizations</w:t>
      </w:r>
      <w:bookmarkEnd w:id="454"/>
    </w:p>
    <w:p w14:paraId="6C3AC3A6" w14:textId="6AA79A34" w:rsidR="00E605A4" w:rsidRPr="000E57AE" w:rsidRDefault="00E605A4" w:rsidP="00266895">
      <w:pPr>
        <w:pStyle w:val="ListParagraph"/>
        <w:numPr>
          <w:ilvl w:val="0"/>
          <w:numId w:val="5"/>
        </w:numPr>
        <w:spacing w:before="240" w:after="240" w:line="240" w:lineRule="auto"/>
        <w:ind w:right="1267"/>
        <w:contextualSpacing w:val="0"/>
        <w:jc w:val="both"/>
      </w:pPr>
      <w:r w:rsidRPr="000E57AE">
        <w:t xml:space="preserve">UNDP </w:t>
      </w:r>
      <w:r w:rsidR="008E51E4" w:rsidRPr="000E57AE">
        <w:t xml:space="preserve">undertakes many </w:t>
      </w:r>
      <w:r w:rsidR="00472159" w:rsidRPr="000E57AE">
        <w:t xml:space="preserve">activities in </w:t>
      </w:r>
      <w:r w:rsidR="008E51E4" w:rsidRPr="000E57AE">
        <w:t xml:space="preserve">partnership with and </w:t>
      </w:r>
      <w:r w:rsidR="00472159" w:rsidRPr="000E57AE">
        <w:t xml:space="preserve">support to </w:t>
      </w:r>
      <w:r w:rsidR="00801BEA">
        <w:t xml:space="preserve">the </w:t>
      </w:r>
      <w:r w:rsidR="00472159" w:rsidRPr="000E57AE">
        <w:t>U</w:t>
      </w:r>
      <w:r w:rsidR="00801BEA">
        <w:t xml:space="preserve">nited </w:t>
      </w:r>
      <w:r w:rsidR="00472159" w:rsidRPr="000E57AE">
        <w:t>N</w:t>
      </w:r>
      <w:r w:rsidR="00801BEA">
        <w:t>ations</w:t>
      </w:r>
      <w:r w:rsidR="00472159" w:rsidRPr="000E57AE">
        <w:t xml:space="preserve"> system at large. </w:t>
      </w:r>
    </w:p>
    <w:p w14:paraId="6E3D1EFE" w14:textId="0A888438" w:rsidR="00E605A4" w:rsidRPr="004821D6" w:rsidRDefault="00E605A4" w:rsidP="005F648C">
      <w:pPr>
        <w:pStyle w:val="H1"/>
        <w:numPr>
          <w:ilvl w:val="1"/>
          <w:numId w:val="8"/>
        </w:numPr>
        <w:tabs>
          <w:tab w:val="clear" w:pos="1022"/>
          <w:tab w:val="clear" w:pos="1742"/>
          <w:tab w:val="right" w:pos="1440"/>
          <w:tab w:val="left" w:pos="1800"/>
        </w:tabs>
        <w:spacing w:before="240" w:after="240" w:line="240" w:lineRule="auto"/>
        <w:ind w:left="1152" w:right="0"/>
        <w:outlineLvl w:val="1"/>
      </w:pPr>
      <w:bookmarkStart w:id="455" w:name="_Toc75466860"/>
      <w:r w:rsidRPr="004821D6">
        <w:t>UNDP administrative agent function</w:t>
      </w:r>
      <w:bookmarkStart w:id="456" w:name="_Toc46221163"/>
      <w:bookmarkEnd w:id="455"/>
      <w:bookmarkEnd w:id="456"/>
    </w:p>
    <w:p w14:paraId="30F8C0B2" w14:textId="371B0C16" w:rsidR="00447EBD" w:rsidRPr="00447EBD" w:rsidRDefault="00BF5144" w:rsidP="00266895">
      <w:pPr>
        <w:pStyle w:val="ListParagraph"/>
        <w:numPr>
          <w:ilvl w:val="0"/>
          <w:numId w:val="5"/>
        </w:numPr>
        <w:spacing w:before="240" w:after="240" w:line="240" w:lineRule="auto"/>
        <w:ind w:right="1267"/>
        <w:contextualSpacing w:val="0"/>
        <w:jc w:val="both"/>
      </w:pPr>
      <w:r w:rsidRPr="00EA4CD1">
        <w:t>UNDP supports joint programming</w:t>
      </w:r>
      <w:r w:rsidR="008E66CB" w:rsidRPr="00EA4CD1">
        <w:t>,</w:t>
      </w:r>
      <w:r w:rsidRPr="00EA4CD1">
        <w:t xml:space="preserve"> </w:t>
      </w:r>
      <w:r w:rsidR="00754234" w:rsidRPr="00EA4CD1">
        <w:t xml:space="preserve">including </w:t>
      </w:r>
      <w:r w:rsidRPr="00EA4CD1">
        <w:t xml:space="preserve">through its role in fund design and </w:t>
      </w:r>
      <w:r w:rsidR="002D7D52" w:rsidRPr="00EA4CD1">
        <w:t>adm</w:t>
      </w:r>
      <w:r w:rsidRPr="00EA4CD1">
        <w:t xml:space="preserve">inistration of joint programmes and multi-donor trust funds on behalf of the United Nations system and national </w:t>
      </w:r>
      <w:r w:rsidR="00F51A9A" w:rsidRPr="00EA4CD1">
        <w:t>g</w:t>
      </w:r>
      <w:r w:rsidRPr="00EA4CD1">
        <w:t>overnments, and through its programme implementation role as a participating United Nations organization.</w:t>
      </w:r>
      <w:r w:rsidR="004821D6" w:rsidRPr="00EA4CD1">
        <w:t xml:space="preserve"> Details are set out in </w:t>
      </w:r>
      <w:r w:rsidR="00586BDD" w:rsidRPr="00EA4CD1">
        <w:t>DP/202</w:t>
      </w:r>
      <w:r w:rsidR="001D4C85" w:rsidRPr="00EA4CD1">
        <w:t>1</w:t>
      </w:r>
      <w:r w:rsidR="00586BDD" w:rsidRPr="00EA4CD1">
        <w:t>/</w:t>
      </w:r>
      <w:r w:rsidR="001D4C85" w:rsidRPr="00EA4CD1">
        <w:t>31</w:t>
      </w:r>
      <w:r w:rsidR="00B53F94" w:rsidRPr="00EA4CD1">
        <w:t xml:space="preserve">, </w:t>
      </w:r>
      <w:r w:rsidR="00447EBD" w:rsidRPr="00EA4CD1">
        <w:t>Section VI.</w:t>
      </w:r>
      <w:r w:rsidR="004821D6">
        <w:t xml:space="preserve"> </w:t>
      </w:r>
      <w:r w:rsidRPr="00266895">
        <w:t xml:space="preserve"> </w:t>
      </w:r>
      <w:bookmarkStart w:id="457" w:name="_Toc46221164"/>
      <w:bookmarkEnd w:id="457"/>
    </w:p>
    <w:p w14:paraId="53E5FE5A" w14:textId="79311333" w:rsidR="00E605A4" w:rsidRPr="008C2E10" w:rsidRDefault="00E605A4" w:rsidP="005F648C">
      <w:pPr>
        <w:pStyle w:val="H1"/>
        <w:numPr>
          <w:ilvl w:val="1"/>
          <w:numId w:val="8"/>
        </w:numPr>
        <w:tabs>
          <w:tab w:val="clear" w:pos="1022"/>
          <w:tab w:val="clear" w:pos="1742"/>
          <w:tab w:val="right" w:pos="1440"/>
          <w:tab w:val="left" w:pos="1800"/>
        </w:tabs>
        <w:spacing w:before="240" w:after="240" w:line="240" w:lineRule="auto"/>
        <w:ind w:left="1152" w:right="0"/>
        <w:outlineLvl w:val="1"/>
      </w:pPr>
      <w:bookmarkStart w:id="458" w:name="_Toc75466861"/>
      <w:r w:rsidRPr="008C2E10">
        <w:t>Support to United Nations organizations</w:t>
      </w:r>
      <w:bookmarkEnd w:id="458"/>
    </w:p>
    <w:p w14:paraId="0B713B5C" w14:textId="0F0CB614" w:rsidR="00E605A4" w:rsidRPr="008C2E10" w:rsidRDefault="00BA3E62" w:rsidP="00266895">
      <w:pPr>
        <w:pStyle w:val="ListParagraph"/>
        <w:numPr>
          <w:ilvl w:val="0"/>
          <w:numId w:val="5"/>
        </w:numPr>
        <w:spacing w:before="240" w:after="240" w:line="240" w:lineRule="auto"/>
        <w:ind w:right="1267"/>
        <w:contextualSpacing w:val="0"/>
        <w:jc w:val="both"/>
      </w:pPr>
      <w:r w:rsidRPr="008C2E10">
        <w:t>UNDP continued to be the operational backbone of the United Nations system in 2020. UNDP supported $2.51 billion in financial transactions for approximately 118 United Nations and other agencies in over 170 countries. UNDP provided common premises for other agencies in at least 126 countries, where they could avail of common services, including travel management.</w:t>
      </w:r>
    </w:p>
    <w:p w14:paraId="796DC217" w14:textId="2E05AE31" w:rsidR="00E605A4" w:rsidRPr="00EC2242" w:rsidRDefault="00E605A4" w:rsidP="005F648C">
      <w:pPr>
        <w:pStyle w:val="H1"/>
        <w:numPr>
          <w:ilvl w:val="1"/>
          <w:numId w:val="8"/>
        </w:numPr>
        <w:tabs>
          <w:tab w:val="clear" w:pos="1022"/>
          <w:tab w:val="clear" w:pos="1742"/>
          <w:tab w:val="right" w:pos="1440"/>
          <w:tab w:val="left" w:pos="1800"/>
        </w:tabs>
        <w:spacing w:before="240" w:after="240" w:line="240" w:lineRule="auto"/>
        <w:ind w:left="1152" w:right="0"/>
        <w:outlineLvl w:val="1"/>
      </w:pPr>
      <w:bookmarkStart w:id="459" w:name="_Toc75466862"/>
      <w:r w:rsidRPr="00EC2242">
        <w:t>United Nations development coordination activities</w:t>
      </w:r>
      <w:bookmarkEnd w:id="459"/>
    </w:p>
    <w:p w14:paraId="67762AA4" w14:textId="5D32D320" w:rsidR="006531EC" w:rsidRPr="00266895" w:rsidRDefault="00BF72BA" w:rsidP="00266895">
      <w:pPr>
        <w:pStyle w:val="ListParagraph"/>
        <w:numPr>
          <w:ilvl w:val="0"/>
          <w:numId w:val="5"/>
        </w:numPr>
        <w:spacing w:before="240" w:after="240" w:line="240" w:lineRule="auto"/>
        <w:ind w:right="1267"/>
        <w:contextualSpacing w:val="0"/>
        <w:jc w:val="both"/>
      </w:pPr>
      <w:r w:rsidRPr="00266895">
        <w:t xml:space="preserve">UNDP continued to </w:t>
      </w:r>
      <w:r w:rsidR="006D47EA" w:rsidRPr="00266895">
        <w:t>provide</w:t>
      </w:r>
      <w:r w:rsidRPr="00266895">
        <w:t xml:space="preserve"> support </w:t>
      </w:r>
      <w:r w:rsidR="00F6550E" w:rsidRPr="00266895">
        <w:t xml:space="preserve">of </w:t>
      </w:r>
      <w:r w:rsidR="00DB3439" w:rsidRPr="00266895">
        <w:t>the repositioning of the United Nations development system</w:t>
      </w:r>
      <w:r w:rsidR="00DB3439" w:rsidRPr="00266895" w:rsidDel="00F6550E">
        <w:t xml:space="preserve"> </w:t>
      </w:r>
      <w:r w:rsidR="006531EC" w:rsidRPr="00266895">
        <w:t>from 1 January 2019, the following was requested by the GA resolution 72/279</w:t>
      </w:r>
      <w:r w:rsidR="00BF6B7F" w:rsidRPr="00266895">
        <w:t>:</w:t>
      </w:r>
      <w:r w:rsidR="006531EC" w:rsidRPr="00266895">
        <w:t> </w:t>
      </w:r>
    </w:p>
    <w:p w14:paraId="11D00CA1" w14:textId="77777777" w:rsidR="006D47EA" w:rsidRPr="00385223" w:rsidRDefault="006D47EA" w:rsidP="006D47EA">
      <w:pPr>
        <w:pStyle w:val="SingleTxt"/>
        <w:numPr>
          <w:ilvl w:val="2"/>
          <w:numId w:val="10"/>
        </w:numPr>
        <w:tabs>
          <w:tab w:val="left" w:pos="1530"/>
        </w:tabs>
        <w:spacing w:before="120" w:line="240" w:lineRule="auto"/>
        <w:ind w:left="1627" w:hanging="187"/>
        <w:rPr>
          <w:lang w:val="en-US"/>
        </w:rPr>
      </w:pPr>
      <w:r>
        <w:rPr>
          <w:lang w:val="en-US"/>
        </w:rPr>
        <w:t xml:space="preserve">UNDP provided an annual contribution of </w:t>
      </w:r>
      <w:r w:rsidRPr="000B23F1">
        <w:rPr>
          <w:lang w:val="en-US"/>
        </w:rPr>
        <w:t>$10.3 million</w:t>
      </w:r>
      <w:r>
        <w:rPr>
          <w:lang w:val="en-US"/>
        </w:rPr>
        <w:t xml:space="preserve"> (2019: $10.3 million)</w:t>
      </w:r>
      <w:r w:rsidRPr="000B23F1">
        <w:rPr>
          <w:lang w:val="en-US"/>
        </w:rPr>
        <w:t xml:space="preserve"> </w:t>
      </w:r>
      <w:r>
        <w:rPr>
          <w:lang w:val="en-US"/>
        </w:rPr>
        <w:t xml:space="preserve">to </w:t>
      </w:r>
      <w:r w:rsidRPr="000B23F1">
        <w:rPr>
          <w:lang w:val="en-US"/>
        </w:rPr>
        <w:t xml:space="preserve">the United Nations Sustainable Development Group </w:t>
      </w:r>
      <w:r>
        <w:rPr>
          <w:lang w:val="en-US"/>
        </w:rPr>
        <w:t xml:space="preserve">through </w:t>
      </w:r>
      <w:r w:rsidRPr="000B23F1">
        <w:rPr>
          <w:lang w:val="en-US"/>
        </w:rPr>
        <w:t xml:space="preserve">cost-sharing </w:t>
      </w:r>
      <w:r w:rsidRPr="00385223">
        <w:rPr>
          <w:lang w:val="en-US"/>
        </w:rPr>
        <w:t>arrangement among United Nations development system entities.</w:t>
      </w:r>
    </w:p>
    <w:p w14:paraId="3B4ED093" w14:textId="25CCA026" w:rsidR="006531EC" w:rsidRPr="00385223" w:rsidRDefault="006531EC" w:rsidP="005F648C">
      <w:pPr>
        <w:pStyle w:val="SingleTxt"/>
        <w:numPr>
          <w:ilvl w:val="2"/>
          <w:numId w:val="10"/>
        </w:numPr>
        <w:tabs>
          <w:tab w:val="left" w:pos="1530"/>
        </w:tabs>
        <w:spacing w:before="120" w:line="240" w:lineRule="auto"/>
        <w:ind w:left="1627" w:hanging="187"/>
        <w:rPr>
          <w:lang w:val="en-US"/>
        </w:rPr>
      </w:pPr>
      <w:r w:rsidRPr="00385223">
        <w:rPr>
          <w:lang w:val="en-US"/>
        </w:rPr>
        <w:t>A one per cent coordination levy on tightly earmarked third-party non-core contributions to United Nations development-related activities, to be paid at source. UNDP established internal guidance, processes</w:t>
      </w:r>
      <w:r w:rsidR="006F515A" w:rsidRPr="00385223">
        <w:rPr>
          <w:lang w:val="en-US"/>
        </w:rPr>
        <w:t>,</w:t>
      </w:r>
      <w:r w:rsidRPr="00385223">
        <w:rPr>
          <w:lang w:val="en-US"/>
        </w:rPr>
        <w:t xml:space="preserve"> and communication channels to manage the levy collection and its transfer. UNDP monitors the process of levy </w:t>
      </w:r>
      <w:r w:rsidRPr="00385223">
        <w:rPr>
          <w:lang w:val="en-US"/>
        </w:rPr>
        <w:lastRenderedPageBreak/>
        <w:t xml:space="preserve">collection and continuously engaged with Development Coordination Office and Resident Coordinator Offices on levy matters. </w:t>
      </w:r>
      <w:r w:rsidR="00676458" w:rsidRPr="00385223">
        <w:rPr>
          <w:rFonts w:asciiTheme="majorBidi" w:hAnsiTheme="majorBidi" w:cstheme="majorBidi"/>
        </w:rPr>
        <w:t>UNDP transferred $4.6 million to the United Nations Secretariat as part of the 1 per cent levy on tightly earmarked other resources contributions. </w:t>
      </w:r>
      <w:r w:rsidR="00676458" w:rsidRPr="00385223">
        <w:rPr>
          <w:rStyle w:val="apple-converted-space"/>
          <w:rFonts w:asciiTheme="majorBidi" w:hAnsiTheme="majorBidi" w:cstheme="majorBidi"/>
        </w:rPr>
        <w:t> </w:t>
      </w:r>
      <w:r w:rsidRPr="00385223">
        <w:rPr>
          <w:lang w:val="en-US"/>
        </w:rPr>
        <w:t xml:space="preserve"> It is noted that UNDP </w:t>
      </w:r>
      <w:r w:rsidR="00914999" w:rsidRPr="00385223">
        <w:rPr>
          <w:lang w:val="en-US"/>
        </w:rPr>
        <w:t xml:space="preserve">incurred costs to administer the levy </w:t>
      </w:r>
      <w:r w:rsidR="00A25CFA" w:rsidRPr="00385223">
        <w:rPr>
          <w:lang w:val="en-US"/>
        </w:rPr>
        <w:t xml:space="preserve">estimated to be </w:t>
      </w:r>
      <w:r w:rsidR="00914999" w:rsidRPr="00385223">
        <w:rPr>
          <w:lang w:val="en-US"/>
        </w:rPr>
        <w:t>$0.6 million</w:t>
      </w:r>
      <w:r w:rsidR="00ED4968" w:rsidRPr="00385223">
        <w:rPr>
          <w:lang w:val="en-US"/>
        </w:rPr>
        <w:t xml:space="preserve"> (2019: $0.4 million)</w:t>
      </w:r>
      <w:r w:rsidR="00914999" w:rsidRPr="00385223">
        <w:rPr>
          <w:lang w:val="en-US"/>
        </w:rPr>
        <w:t xml:space="preserve">, </w:t>
      </w:r>
      <w:r w:rsidRPr="00385223">
        <w:rPr>
          <w:lang w:val="en-US"/>
        </w:rPr>
        <w:t>representing a substantial additional administrative cost that UNDP had to spend to able the levy collection in 20</w:t>
      </w:r>
      <w:r w:rsidR="005828D7" w:rsidRPr="00385223">
        <w:rPr>
          <w:lang w:val="en-US"/>
        </w:rPr>
        <w:t>20</w:t>
      </w:r>
      <w:r w:rsidRPr="00385223">
        <w:rPr>
          <w:lang w:val="en-US"/>
        </w:rPr>
        <w:t>. </w:t>
      </w:r>
    </w:p>
    <w:p w14:paraId="564F7C9D" w14:textId="038D3FA3" w:rsidR="00E605A4" w:rsidRPr="009E5F63" w:rsidRDefault="00E605A4" w:rsidP="005F648C">
      <w:pPr>
        <w:pStyle w:val="H1"/>
        <w:numPr>
          <w:ilvl w:val="1"/>
          <w:numId w:val="8"/>
        </w:numPr>
        <w:tabs>
          <w:tab w:val="clear" w:pos="1022"/>
          <w:tab w:val="clear" w:pos="1742"/>
          <w:tab w:val="right" w:pos="1440"/>
          <w:tab w:val="left" w:pos="1800"/>
        </w:tabs>
        <w:spacing w:before="240" w:after="240" w:line="240" w:lineRule="auto"/>
        <w:ind w:left="1152" w:right="0"/>
        <w:outlineLvl w:val="1"/>
      </w:pPr>
      <w:bookmarkStart w:id="460" w:name="_Toc75466863"/>
      <w:bookmarkStart w:id="461" w:name="_Toc75466864"/>
      <w:bookmarkStart w:id="462" w:name="_Hlk72229853"/>
      <w:bookmarkEnd w:id="460"/>
      <w:r w:rsidRPr="000E57AE">
        <w:t>United Nations-mandated security costs</w:t>
      </w:r>
      <w:bookmarkEnd w:id="461"/>
    </w:p>
    <w:p w14:paraId="7B85BEDB" w14:textId="025777EC" w:rsidR="00493B43" w:rsidRPr="00A246E7" w:rsidRDefault="0044021B" w:rsidP="00266895">
      <w:pPr>
        <w:pStyle w:val="ListParagraph"/>
        <w:numPr>
          <w:ilvl w:val="0"/>
          <w:numId w:val="5"/>
        </w:numPr>
        <w:spacing w:before="240" w:after="240" w:line="240" w:lineRule="auto"/>
        <w:ind w:right="1267"/>
        <w:contextualSpacing w:val="0"/>
        <w:jc w:val="both"/>
      </w:pPr>
      <w:r w:rsidRPr="00A246E7">
        <w:t xml:space="preserve">In </w:t>
      </w:r>
      <w:r w:rsidR="00CC629C" w:rsidRPr="00A246E7">
        <w:t xml:space="preserve">its </w:t>
      </w:r>
      <w:r w:rsidRPr="00A246E7">
        <w:t xml:space="preserve">decision 2017/31, the Executive Board approved the UNDP integrated budget, 2018-2021. In document DP/2017/39 on the UNDP integrated budget, 2018-2021, and following prior practice, </w:t>
      </w:r>
      <w:r w:rsidR="00493B43" w:rsidRPr="00A246E7">
        <w:t>UNDP sought exceptional authority during 2018-2021 to disburse up to $30 million in regular resources for security measures, in addition to the approved appropriation from regular resources for the institutional component of the integrated budget of $1</w:t>
      </w:r>
      <w:r w:rsidR="00492099" w:rsidRPr="00A246E7">
        <w:t>.1 billion</w:t>
      </w:r>
      <w:r w:rsidR="00493B43" w:rsidRPr="00A246E7">
        <w:t xml:space="preserve">, the use of which would be limited to new and emerging security mandates as defined in United Nations Department of Safety and Security directives. UNDP will report on these as and when they may occur. </w:t>
      </w:r>
      <w:r w:rsidR="00D31858" w:rsidRPr="00A246E7">
        <w:t>During 2020, $</w:t>
      </w:r>
      <w:r w:rsidR="0063173E" w:rsidRPr="00A246E7">
        <w:t>5</w:t>
      </w:r>
      <w:r w:rsidR="00D31858" w:rsidRPr="00A246E7">
        <w:t xml:space="preserve"> million was drawn </w:t>
      </w:r>
      <w:r w:rsidR="00604A78" w:rsidRPr="00A246E7">
        <w:t xml:space="preserve">from </w:t>
      </w:r>
      <w:r w:rsidR="00BE0368" w:rsidRPr="00A246E7">
        <w:t xml:space="preserve">$30 million of </w:t>
      </w:r>
      <w:r w:rsidR="00D31858" w:rsidRPr="00A246E7">
        <w:t xml:space="preserve">the </w:t>
      </w:r>
      <w:r w:rsidR="0047364B" w:rsidRPr="00A246E7">
        <w:t xml:space="preserve">additional security measures </w:t>
      </w:r>
      <w:r w:rsidR="00BE0368" w:rsidRPr="00A246E7">
        <w:t xml:space="preserve">approved by Executive Board </w:t>
      </w:r>
      <w:r w:rsidR="00224183" w:rsidRPr="00A246E7">
        <w:t xml:space="preserve">and </w:t>
      </w:r>
      <w:r w:rsidR="00BE0368" w:rsidRPr="00A246E7">
        <w:t xml:space="preserve">was </w:t>
      </w:r>
      <w:r w:rsidR="0047364B" w:rsidRPr="00A246E7">
        <w:t>related to C</w:t>
      </w:r>
      <w:r w:rsidR="00154F1C" w:rsidRPr="00A246E7">
        <w:t>OVID</w:t>
      </w:r>
      <w:r w:rsidR="0047364B" w:rsidRPr="00A246E7">
        <w:t>-19 activities</w:t>
      </w:r>
      <w:r w:rsidR="00891808" w:rsidRPr="00A246E7">
        <w:t xml:space="preserve"> e.g.</w:t>
      </w:r>
      <w:r w:rsidR="00460224" w:rsidRPr="00A246E7">
        <w:t>,</w:t>
      </w:r>
      <w:r w:rsidR="00891808" w:rsidRPr="00A246E7">
        <w:t xml:space="preserve"> medical evacuations of personnel. </w:t>
      </w:r>
    </w:p>
    <w:bookmarkEnd w:id="462"/>
    <w:p w14:paraId="40F25E9F" w14:textId="389E7BAD" w:rsidR="00493B43" w:rsidRPr="00E575BB" w:rsidRDefault="00493B43" w:rsidP="00266895">
      <w:pPr>
        <w:pStyle w:val="ListParagraph"/>
        <w:numPr>
          <w:ilvl w:val="0"/>
          <w:numId w:val="5"/>
        </w:numPr>
        <w:spacing w:before="240" w:after="240" w:line="240" w:lineRule="auto"/>
        <w:ind w:right="1267"/>
        <w:contextualSpacing w:val="0"/>
        <w:jc w:val="both"/>
      </w:pPr>
      <w:r w:rsidRPr="00E575BB">
        <w:t>UNDP spent $</w:t>
      </w:r>
      <w:r w:rsidR="00F71608">
        <w:t>27.6</w:t>
      </w:r>
      <w:r w:rsidRPr="00E575BB">
        <w:t xml:space="preserve"> million (20</w:t>
      </w:r>
      <w:r w:rsidR="00F71608">
        <w:t>19</w:t>
      </w:r>
      <w:r w:rsidRPr="00E575BB">
        <w:t>: $</w:t>
      </w:r>
      <w:r w:rsidR="00F71608">
        <w:t>30.2</w:t>
      </w:r>
      <w:r w:rsidRPr="00E575BB">
        <w:t xml:space="preserve"> million), of which $</w:t>
      </w:r>
      <w:r w:rsidR="002E783B">
        <w:t>18.0</w:t>
      </w:r>
      <w:r w:rsidRPr="00E575BB">
        <w:t> million (201</w:t>
      </w:r>
      <w:r w:rsidR="002E783B">
        <w:t>9</w:t>
      </w:r>
      <w:r w:rsidRPr="00E575BB">
        <w:t>: $21.2 million) was associated with the UNDP share of the United Nations field security coordination programme; and $9.</w:t>
      </w:r>
      <w:r w:rsidR="00BA7901">
        <w:t>6</w:t>
      </w:r>
      <w:r w:rsidRPr="00E575BB">
        <w:t xml:space="preserve"> million (201</w:t>
      </w:r>
      <w:r w:rsidR="00BA7901">
        <w:t>9</w:t>
      </w:r>
      <w:r w:rsidRPr="00E575BB">
        <w:t>: $</w:t>
      </w:r>
      <w:r w:rsidR="00BA7901">
        <w:t>9</w:t>
      </w:r>
      <w:r w:rsidRPr="00E575BB">
        <w:t>.0 million) with security advisory services and security investments to ensure the compliance with minimum operating security standards</w:t>
      </w:r>
      <w:r w:rsidR="001C74FE">
        <w:t>, as well as staff safety and duty of care measures in response to COVID-19 pandemic</w:t>
      </w:r>
      <w:r w:rsidRPr="00E575BB">
        <w:t>.</w:t>
      </w:r>
    </w:p>
    <w:p w14:paraId="78A8011F" w14:textId="53C0FB65" w:rsidR="00E605A4" w:rsidRPr="00EC2242" w:rsidRDefault="006A4015" w:rsidP="005F648C">
      <w:pPr>
        <w:pStyle w:val="HCh"/>
        <w:numPr>
          <w:ilvl w:val="0"/>
          <w:numId w:val="13"/>
        </w:numPr>
        <w:spacing w:before="360" w:after="240" w:line="240" w:lineRule="auto"/>
        <w:ind w:right="1267"/>
      </w:pPr>
      <w:r w:rsidRPr="00EC2242">
        <w:tab/>
      </w:r>
      <w:bookmarkStart w:id="463" w:name="_Toc75466865"/>
      <w:r w:rsidR="001C6268" w:rsidRPr="00EC2242">
        <w:t>‘</w:t>
      </w:r>
      <w:r w:rsidR="00E605A4" w:rsidRPr="00EC2242">
        <w:t>Greening</w:t>
      </w:r>
      <w:r w:rsidR="001C6268" w:rsidRPr="00EC2242">
        <w:t>’</w:t>
      </w:r>
      <w:r w:rsidR="00AF1535" w:rsidRPr="00EC2242">
        <w:t xml:space="preserve"> </w:t>
      </w:r>
      <w:r w:rsidR="00E605A4" w:rsidRPr="00EC2242">
        <w:t>UNDP</w:t>
      </w:r>
      <w:bookmarkEnd w:id="463"/>
    </w:p>
    <w:p w14:paraId="0B799ACC" w14:textId="6B8B15DC" w:rsidR="00105683" w:rsidRDefault="00105683" w:rsidP="00266895">
      <w:pPr>
        <w:pStyle w:val="ListParagraph"/>
        <w:numPr>
          <w:ilvl w:val="0"/>
          <w:numId w:val="5"/>
        </w:numPr>
        <w:spacing w:before="240" w:after="240" w:line="240" w:lineRule="auto"/>
        <w:ind w:right="1267"/>
        <w:contextualSpacing w:val="0"/>
        <w:jc w:val="both"/>
      </w:pPr>
      <w:r>
        <w:t>During 2020, UNDP has made substantial progress towards its ambitious ‘Greening Moonshot’ targets, committing to reduce Greenhouse Gas (GHG) emissions from global operations by 25 per cent by 2025 and 50 per cent by 2030. Between the corporate Moonshot Facility, 34 projects were selected for funding in 2020 with an overall investment of $1.92 million. With this investment, UNDP achieved, so far, a</w:t>
      </w:r>
      <w:r w:rsidR="00906956">
        <w:t xml:space="preserve"> </w:t>
      </w:r>
      <w:r>
        <w:t>6</w:t>
      </w:r>
      <w:r w:rsidR="00906956">
        <w:t xml:space="preserve"> per cent</w:t>
      </w:r>
      <w:r>
        <w:t xml:space="preserve"> reduction in UNDP’s electricity carbon footprint and an overall 2.2</w:t>
      </w:r>
      <w:r w:rsidR="00906956">
        <w:t xml:space="preserve"> per cent</w:t>
      </w:r>
      <w:r>
        <w:t xml:space="preserve"> reduction in UNDP’s carbon footprint. With an average payback period of 5.96 years, Moonshot projects are expected to save $420,000 per year in energy costs while increasing business </w:t>
      </w:r>
      <w:r w:rsidR="000E2D3F">
        <w:t>continuity and</w:t>
      </w:r>
      <w:r>
        <w:t xml:space="preserve"> improving the well-being and safety of our staff. If Moonshot investments continue at this or higher levels through 2030, UNDP will be on track to halve its facilities (electricity, generator fuels) footprint, a major contribution to the overall Moonshot target.</w:t>
      </w:r>
    </w:p>
    <w:p w14:paraId="5334479E" w14:textId="2B932791" w:rsidR="00105683" w:rsidRDefault="00105683" w:rsidP="00266895">
      <w:pPr>
        <w:pStyle w:val="ListParagraph"/>
        <w:numPr>
          <w:ilvl w:val="0"/>
          <w:numId w:val="5"/>
        </w:numPr>
        <w:spacing w:before="240" w:after="240" w:line="240" w:lineRule="auto"/>
        <w:ind w:right="1267"/>
        <w:contextualSpacing w:val="0"/>
        <w:jc w:val="both"/>
      </w:pPr>
      <w:r>
        <w:t>To credibly track progress towards Moonshot progress and support GHG reduction claims, UNDP significantly increased its environmental reporting compliance: By end of 2020, 72</w:t>
      </w:r>
      <w:r w:rsidR="007F4430">
        <w:t xml:space="preserve"> per cent</w:t>
      </w:r>
      <w:r>
        <w:t xml:space="preserve"> of UNDP offices reported their impacts via UNDP’s Environmental Management Tool (EMT). Also reporting scopes and methodologies were further improved and reporting structures and responsibilities strengthened. The organization-wide 2019 carbon footprint of 59,995 tons CO2e was offset with Certified Emission Reductions (CERs) from the Adaptation Fund established under the Kyoto Protocol of the United Nations Framework Convention on Climate Change. Similarly, 2020 GHG emission data are collected during 2021 and UNDP’s 2020 Carbon Footprint is </w:t>
      </w:r>
      <w:r>
        <w:lastRenderedPageBreak/>
        <w:t>expected to be established, reported</w:t>
      </w:r>
      <w:r w:rsidR="001E252B">
        <w:t>,</w:t>
      </w:r>
      <w:r>
        <w:t xml:space="preserve"> and offset by end of 2021. As such, UNDP continues to be climate neutral in its global operations. </w:t>
      </w:r>
    </w:p>
    <w:p w14:paraId="5BD4082D" w14:textId="043EF212" w:rsidR="00105683" w:rsidRPr="00105683" w:rsidRDefault="003002E5" w:rsidP="00266895">
      <w:pPr>
        <w:pStyle w:val="ListParagraph"/>
        <w:numPr>
          <w:ilvl w:val="0"/>
          <w:numId w:val="5"/>
        </w:numPr>
        <w:spacing w:before="240" w:after="240" w:line="240" w:lineRule="auto"/>
        <w:ind w:right="1267"/>
        <w:contextualSpacing w:val="0"/>
        <w:jc w:val="both"/>
      </w:pPr>
      <w:r>
        <w:t xml:space="preserve">In addition, </w:t>
      </w:r>
      <w:r w:rsidR="00105683">
        <w:t xml:space="preserve">UNDP’s vehicle policy has been updated to prioritize electric or hybrid representational vehicles where feasible. UNDP also developed a Fleet Management Tool enabling operational efficiencies in the fleet management, improving of Road safety and driving </w:t>
      </w:r>
      <w:r w:rsidR="001F289F">
        <w:t>behaviour</w:t>
      </w:r>
      <w:r w:rsidR="00105683">
        <w:t xml:space="preserve"> but also contributing to the reduction of carbon footprint through promoting car-pooling and enabling tracking of driving </w:t>
      </w:r>
      <w:r w:rsidR="001F289F">
        <w:t>behaviour</w:t>
      </w:r>
      <w:r w:rsidR="00105683">
        <w:t xml:space="preserve"> and speeding, resulting in a reduction in fuel use</w:t>
      </w:r>
      <w:r w:rsidR="00A001FB">
        <w:t>.</w:t>
      </w:r>
    </w:p>
    <w:p w14:paraId="45174019" w14:textId="4AB02C5E" w:rsidR="00122E90" w:rsidRPr="007F402D" w:rsidRDefault="00DC38D5" w:rsidP="005F648C">
      <w:pPr>
        <w:pStyle w:val="HCh"/>
        <w:numPr>
          <w:ilvl w:val="0"/>
          <w:numId w:val="13"/>
        </w:numPr>
        <w:spacing w:before="360" w:after="240" w:line="240" w:lineRule="auto"/>
        <w:ind w:right="1267"/>
        <w:rPr>
          <w:b w:val="0"/>
          <w:bCs/>
        </w:rPr>
      </w:pPr>
      <w:r>
        <w:t xml:space="preserve"> </w:t>
      </w:r>
      <w:bookmarkStart w:id="464" w:name="_Toc75466866"/>
      <w:r w:rsidR="007F402D">
        <w:t xml:space="preserve">Appendices </w:t>
      </w:r>
      <w:r w:rsidR="00122E90" w:rsidRPr="007F402D">
        <w:rPr>
          <w:b w:val="0"/>
          <w:bCs/>
        </w:rPr>
        <w:t>(available on the UNDP Executive Board web page)</w:t>
      </w:r>
      <w:bookmarkEnd w:id="464"/>
    </w:p>
    <w:p w14:paraId="1F8D0F5D" w14:textId="18E7BDB5" w:rsidR="00DC38D5" w:rsidRPr="00DC38D5" w:rsidRDefault="00DC38D5" w:rsidP="008264C8">
      <w:pPr>
        <w:tabs>
          <w:tab w:val="right" w:pos="1080"/>
          <w:tab w:val="right" w:pos="1714"/>
          <w:tab w:val="left" w:pos="2160"/>
          <w:tab w:val="left" w:pos="2592"/>
          <w:tab w:val="left" w:pos="3024"/>
          <w:tab w:val="left" w:pos="3456"/>
          <w:tab w:val="right" w:leader="dot" w:pos="9360"/>
        </w:tabs>
        <w:spacing w:before="240" w:after="240" w:line="240" w:lineRule="auto"/>
        <w:ind w:left="360"/>
        <w:rPr>
          <w:sz w:val="24"/>
          <w:szCs w:val="24"/>
        </w:rPr>
      </w:pPr>
      <w:r w:rsidRPr="00DC38D5">
        <w:rPr>
          <w:sz w:val="24"/>
          <w:szCs w:val="24"/>
        </w:rPr>
        <w:t>Contents</w:t>
      </w:r>
    </w:p>
    <w:p w14:paraId="2802D9F9" w14:textId="21178D1B" w:rsidR="00122E90" w:rsidRPr="00E45F33" w:rsidRDefault="00122E90" w:rsidP="005F648C">
      <w:pPr>
        <w:pStyle w:val="ListParagraph"/>
        <w:numPr>
          <w:ilvl w:val="0"/>
          <w:numId w:val="12"/>
        </w:numPr>
        <w:tabs>
          <w:tab w:val="right" w:pos="1080"/>
          <w:tab w:val="right" w:pos="1714"/>
          <w:tab w:val="left" w:pos="2160"/>
          <w:tab w:val="left" w:pos="2592"/>
          <w:tab w:val="left" w:pos="3024"/>
          <w:tab w:val="left" w:pos="3456"/>
          <w:tab w:val="right" w:leader="dot" w:pos="9360"/>
        </w:tabs>
        <w:spacing w:before="240" w:after="240" w:line="240" w:lineRule="auto"/>
        <w:ind w:left="1080"/>
        <w:contextualSpacing w:val="0"/>
      </w:pPr>
      <w:r w:rsidRPr="00E45F33">
        <w:t>UNDP overview</w:t>
      </w:r>
    </w:p>
    <w:p w14:paraId="1070E599" w14:textId="175791A7" w:rsidR="00122E90" w:rsidRPr="00E45F33" w:rsidRDefault="00122E90" w:rsidP="005F648C">
      <w:pPr>
        <w:pStyle w:val="ListParagraph"/>
        <w:numPr>
          <w:ilvl w:val="1"/>
          <w:numId w:val="9"/>
        </w:numPr>
        <w:tabs>
          <w:tab w:val="right" w:pos="1080"/>
          <w:tab w:val="right" w:pos="1714"/>
          <w:tab w:val="left" w:pos="2160"/>
          <w:tab w:val="left" w:pos="2592"/>
          <w:tab w:val="left" w:pos="3024"/>
          <w:tab w:val="left" w:pos="3456"/>
          <w:tab w:val="right" w:leader="dot" w:pos="9360"/>
        </w:tabs>
        <w:spacing w:before="240" w:after="240" w:line="240" w:lineRule="auto"/>
        <w:ind w:left="1800"/>
        <w:contextualSpacing w:val="0"/>
      </w:pPr>
      <w:r w:rsidRPr="00E45F33">
        <w:t>Statement of financial performance for the year ended 31 December 20</w:t>
      </w:r>
      <w:r w:rsidR="007525AD">
        <w:t>20</w:t>
      </w:r>
    </w:p>
    <w:p w14:paraId="5624E4A4" w14:textId="3CC8CA3D" w:rsidR="00122E90" w:rsidRPr="00E45F33" w:rsidRDefault="00122E90" w:rsidP="005F648C">
      <w:pPr>
        <w:pStyle w:val="ListParagraph"/>
        <w:numPr>
          <w:ilvl w:val="1"/>
          <w:numId w:val="9"/>
        </w:numPr>
        <w:tabs>
          <w:tab w:val="right" w:pos="1080"/>
          <w:tab w:val="right" w:pos="1714"/>
          <w:tab w:val="left" w:pos="2160"/>
          <w:tab w:val="left" w:pos="2592"/>
          <w:tab w:val="left" w:pos="3024"/>
          <w:tab w:val="left" w:pos="3456"/>
          <w:tab w:val="right" w:leader="dot" w:pos="9360"/>
        </w:tabs>
        <w:spacing w:before="240" w:after="240" w:line="240" w:lineRule="auto"/>
        <w:ind w:left="1800"/>
        <w:contextualSpacing w:val="0"/>
      </w:pPr>
      <w:r w:rsidRPr="00E45F33">
        <w:t xml:space="preserve">Statement of financial position as </w:t>
      </w:r>
      <w:proofErr w:type="gramStart"/>
      <w:r w:rsidRPr="00E45F33">
        <w:t>at</w:t>
      </w:r>
      <w:proofErr w:type="gramEnd"/>
      <w:r w:rsidRPr="00E45F33">
        <w:t xml:space="preserve"> 31 December 20</w:t>
      </w:r>
      <w:r w:rsidR="007525AD">
        <w:t>20</w:t>
      </w:r>
    </w:p>
    <w:p w14:paraId="60643B0C" w14:textId="63868629" w:rsidR="00122E90" w:rsidRPr="00E45F33" w:rsidRDefault="00122E90" w:rsidP="005F648C">
      <w:pPr>
        <w:pStyle w:val="ListParagraph"/>
        <w:numPr>
          <w:ilvl w:val="0"/>
          <w:numId w:val="12"/>
        </w:numPr>
        <w:tabs>
          <w:tab w:val="right" w:pos="1080"/>
          <w:tab w:val="right" w:pos="1714"/>
          <w:tab w:val="left" w:pos="2160"/>
          <w:tab w:val="left" w:pos="2592"/>
          <w:tab w:val="left" w:pos="3024"/>
          <w:tab w:val="left" w:pos="3456"/>
          <w:tab w:val="right" w:leader="dot" w:pos="9360"/>
        </w:tabs>
        <w:spacing w:before="240" w:after="240" w:line="240" w:lineRule="auto"/>
        <w:ind w:left="1080"/>
        <w:contextualSpacing w:val="0"/>
      </w:pPr>
      <w:r w:rsidRPr="00E45F33">
        <w:t>Regular resources – comparison of budget to actual, 20</w:t>
      </w:r>
      <w:r w:rsidR="007525AD">
        <w:t>20</w:t>
      </w:r>
    </w:p>
    <w:p w14:paraId="003A228A" w14:textId="3AD5BD38" w:rsidR="00122E90" w:rsidRPr="00AD52A4" w:rsidRDefault="00122E90" w:rsidP="005F648C">
      <w:pPr>
        <w:pStyle w:val="ListParagraph"/>
        <w:numPr>
          <w:ilvl w:val="0"/>
          <w:numId w:val="12"/>
        </w:numPr>
        <w:tabs>
          <w:tab w:val="right" w:pos="1080"/>
          <w:tab w:val="right" w:pos="1714"/>
          <w:tab w:val="left" w:pos="2160"/>
          <w:tab w:val="left" w:pos="2592"/>
          <w:tab w:val="left" w:pos="3024"/>
          <w:tab w:val="left" w:pos="3456"/>
          <w:tab w:val="right" w:leader="dot" w:pos="9360"/>
        </w:tabs>
        <w:spacing w:before="240" w:after="240" w:line="240" w:lineRule="auto"/>
        <w:ind w:left="1080"/>
        <w:contextualSpacing w:val="0"/>
      </w:pPr>
      <w:r w:rsidRPr="00AD52A4">
        <w:t>A.</w:t>
      </w:r>
      <w:r w:rsidRPr="00AD52A4">
        <w:tab/>
        <w:t>Integrated resources plan, 2018-2021 estimates compared to 2018-20</w:t>
      </w:r>
      <w:r w:rsidR="007525AD">
        <w:t>20</w:t>
      </w:r>
      <w:r w:rsidRPr="00AD52A4">
        <w:t xml:space="preserve"> actuals </w:t>
      </w:r>
    </w:p>
    <w:p w14:paraId="514BC02E" w14:textId="68FF0D5C" w:rsidR="00122E90" w:rsidRPr="00291886" w:rsidRDefault="00122E90" w:rsidP="008264C8">
      <w:pPr>
        <w:pStyle w:val="ListParagraph"/>
        <w:tabs>
          <w:tab w:val="right" w:pos="1080"/>
          <w:tab w:val="right" w:pos="1714"/>
          <w:tab w:val="left" w:pos="2160"/>
          <w:tab w:val="left" w:pos="2592"/>
          <w:tab w:val="left" w:pos="3024"/>
          <w:tab w:val="left" w:pos="3456"/>
          <w:tab w:val="right" w:leader="dot" w:pos="9360"/>
        </w:tabs>
        <w:spacing w:before="240" w:after="240" w:line="240" w:lineRule="auto"/>
        <w:ind w:left="1080"/>
        <w:contextualSpacing w:val="0"/>
      </w:pPr>
      <w:r w:rsidRPr="00AD52A4">
        <w:t>B.</w:t>
      </w:r>
      <w:r w:rsidRPr="00AD52A4">
        <w:tab/>
        <w:t xml:space="preserve">Summary of institutional component of the integrated budget by category of expenditures: </w:t>
      </w:r>
      <w:r w:rsidR="00547348">
        <w:t>2018-</w:t>
      </w:r>
      <w:r w:rsidRPr="00AD52A4">
        <w:t>20</w:t>
      </w:r>
      <w:r w:rsidR="007525AD">
        <w:t>20</w:t>
      </w:r>
      <w:r w:rsidRPr="00AD52A4">
        <w:t xml:space="preserve"> </w:t>
      </w:r>
      <w:r w:rsidRPr="00291886">
        <w:t xml:space="preserve">annualized estimates versus </w:t>
      </w:r>
      <w:r w:rsidR="00547348" w:rsidRPr="00291886">
        <w:t>2018-</w:t>
      </w:r>
      <w:r w:rsidRPr="00291886">
        <w:t>20</w:t>
      </w:r>
      <w:r w:rsidR="007525AD" w:rsidRPr="00291886">
        <w:t>20</w:t>
      </w:r>
      <w:r w:rsidRPr="00291886">
        <w:t xml:space="preserve"> actual expenditures </w:t>
      </w:r>
    </w:p>
    <w:p w14:paraId="62187974" w14:textId="1BB06E8C" w:rsidR="00122E90" w:rsidRPr="00291886" w:rsidRDefault="00122E90" w:rsidP="008264C8">
      <w:pPr>
        <w:pStyle w:val="ListParagraph"/>
        <w:tabs>
          <w:tab w:val="right" w:pos="1080"/>
          <w:tab w:val="right" w:pos="1714"/>
          <w:tab w:val="left" w:pos="2160"/>
          <w:tab w:val="left" w:pos="2592"/>
          <w:tab w:val="left" w:pos="3024"/>
          <w:tab w:val="left" w:pos="3456"/>
          <w:tab w:val="right" w:leader="dot" w:pos="9360"/>
        </w:tabs>
        <w:spacing w:before="240" w:after="240" w:line="240" w:lineRule="auto"/>
        <w:ind w:left="1080"/>
        <w:contextualSpacing w:val="0"/>
      </w:pPr>
      <w:r w:rsidRPr="00291886">
        <w:t>C.</w:t>
      </w:r>
      <w:r w:rsidRPr="00291886">
        <w:tab/>
        <w:t>Resources allocated to posts by location, 20</w:t>
      </w:r>
      <w:r w:rsidR="007525AD" w:rsidRPr="00291886">
        <w:t>20</w:t>
      </w:r>
    </w:p>
    <w:p w14:paraId="3B490305" w14:textId="078461CE" w:rsidR="00AD52A4" w:rsidRPr="00291886" w:rsidRDefault="00122E90" w:rsidP="005F648C">
      <w:pPr>
        <w:pStyle w:val="ListParagraph"/>
        <w:numPr>
          <w:ilvl w:val="0"/>
          <w:numId w:val="12"/>
        </w:numPr>
        <w:tabs>
          <w:tab w:val="right" w:pos="1080"/>
          <w:tab w:val="right" w:pos="1714"/>
          <w:tab w:val="left" w:pos="2160"/>
          <w:tab w:val="left" w:pos="2592"/>
          <w:tab w:val="left" w:pos="3024"/>
          <w:tab w:val="left" w:pos="3456"/>
          <w:tab w:val="right" w:leader="dot" w:pos="9360"/>
        </w:tabs>
        <w:spacing w:before="240" w:after="240" w:line="240" w:lineRule="auto"/>
        <w:ind w:left="1080"/>
        <w:contextualSpacing w:val="0"/>
      </w:pPr>
      <w:r w:rsidRPr="00291886">
        <w:t xml:space="preserve">Regular resources – </w:t>
      </w:r>
      <w:r w:rsidR="003A0517" w:rsidRPr="00291886">
        <w:t xml:space="preserve">annual </w:t>
      </w:r>
      <w:r w:rsidRPr="00291886">
        <w:t>contributions from top 10 donors, 201</w:t>
      </w:r>
      <w:r w:rsidR="001B5D54">
        <w:t>9</w:t>
      </w:r>
      <w:r w:rsidRPr="00291886">
        <w:t>-20</w:t>
      </w:r>
      <w:r w:rsidR="007525AD" w:rsidRPr="00291886">
        <w:t>20</w:t>
      </w:r>
    </w:p>
    <w:p w14:paraId="6A764B8D" w14:textId="78C0D18D" w:rsidR="00951246" w:rsidRPr="00291886" w:rsidRDefault="00D262AC" w:rsidP="005F648C">
      <w:pPr>
        <w:pStyle w:val="ListParagraph"/>
        <w:numPr>
          <w:ilvl w:val="0"/>
          <w:numId w:val="12"/>
        </w:numPr>
        <w:tabs>
          <w:tab w:val="right" w:pos="1080"/>
          <w:tab w:val="right" w:pos="1714"/>
          <w:tab w:val="left" w:pos="2160"/>
          <w:tab w:val="left" w:pos="2592"/>
          <w:tab w:val="left" w:pos="3024"/>
          <w:tab w:val="left" w:pos="3456"/>
          <w:tab w:val="right" w:leader="dot" w:pos="9360"/>
        </w:tabs>
        <w:spacing w:before="240" w:after="240" w:line="240" w:lineRule="auto"/>
        <w:ind w:left="1080"/>
        <w:contextualSpacing w:val="0"/>
      </w:pPr>
      <w:r w:rsidRPr="00291886">
        <w:t>Update on g</w:t>
      </w:r>
      <w:r w:rsidR="00951246" w:rsidRPr="00291886">
        <w:t xml:space="preserve">eneral </w:t>
      </w:r>
      <w:r w:rsidRPr="00291886">
        <w:t>m</w:t>
      </w:r>
      <w:r w:rsidR="00951246" w:rsidRPr="00291886">
        <w:t xml:space="preserve">anagement </w:t>
      </w:r>
      <w:r w:rsidRPr="00291886">
        <w:t>services cost-recovery w</w:t>
      </w:r>
      <w:r w:rsidR="00951246" w:rsidRPr="00291886">
        <w:t>aivers</w:t>
      </w:r>
    </w:p>
    <w:p w14:paraId="14E15ED9" w14:textId="3D645847" w:rsidR="00AD52A4" w:rsidRPr="00291886" w:rsidRDefault="00122E90" w:rsidP="005F648C">
      <w:pPr>
        <w:pStyle w:val="ListParagraph"/>
        <w:numPr>
          <w:ilvl w:val="0"/>
          <w:numId w:val="12"/>
        </w:numPr>
        <w:tabs>
          <w:tab w:val="right" w:pos="1080"/>
          <w:tab w:val="right" w:pos="1714"/>
          <w:tab w:val="left" w:pos="2160"/>
          <w:tab w:val="left" w:pos="2592"/>
          <w:tab w:val="left" w:pos="3024"/>
          <w:tab w:val="left" w:pos="3456"/>
          <w:tab w:val="right" w:leader="dot" w:pos="9360"/>
        </w:tabs>
        <w:spacing w:before="240" w:after="240" w:line="240" w:lineRule="auto"/>
        <w:ind w:left="1080"/>
        <w:contextualSpacing w:val="0"/>
      </w:pPr>
      <w:r w:rsidRPr="00291886">
        <w:t xml:space="preserve">Explanation of terms used in </w:t>
      </w:r>
      <w:r w:rsidR="003C118A" w:rsidRPr="00291886">
        <w:t xml:space="preserve">Annex </w:t>
      </w:r>
      <w:r w:rsidR="007F402D" w:rsidRPr="00291886">
        <w:t xml:space="preserve">I </w:t>
      </w:r>
      <w:r w:rsidR="003C118A" w:rsidRPr="00291886">
        <w:t xml:space="preserve">to </w:t>
      </w:r>
      <w:r w:rsidRPr="00291886">
        <w:t>DP/20</w:t>
      </w:r>
      <w:r w:rsidR="00606FEC" w:rsidRPr="00291886">
        <w:t>21</w:t>
      </w:r>
      <w:r w:rsidRPr="00291886">
        <w:t>/</w:t>
      </w:r>
      <w:r w:rsidR="00606FEC" w:rsidRPr="00291886">
        <w:t>3</w:t>
      </w:r>
      <w:r w:rsidR="00F7565F">
        <w:t>1</w:t>
      </w:r>
    </w:p>
    <w:p w14:paraId="445CD3F5" w14:textId="1A5F3510" w:rsidR="007F402D" w:rsidRPr="00291886" w:rsidRDefault="00CB7133" w:rsidP="005F648C">
      <w:pPr>
        <w:pStyle w:val="ListParagraph"/>
        <w:numPr>
          <w:ilvl w:val="0"/>
          <w:numId w:val="12"/>
        </w:numPr>
        <w:tabs>
          <w:tab w:val="right" w:pos="1080"/>
          <w:tab w:val="right" w:pos="1714"/>
          <w:tab w:val="left" w:pos="2160"/>
          <w:tab w:val="left" w:pos="2592"/>
          <w:tab w:val="left" w:pos="3024"/>
          <w:tab w:val="left" w:pos="3456"/>
          <w:tab w:val="right" w:leader="dot" w:pos="9360"/>
        </w:tabs>
        <w:spacing w:before="240" w:after="240" w:line="240" w:lineRule="auto"/>
        <w:ind w:left="1080"/>
        <w:contextualSpacing w:val="0"/>
      </w:pPr>
      <w:r w:rsidRPr="00291886">
        <w:t xml:space="preserve">Supporting </w:t>
      </w:r>
      <w:r w:rsidR="007F402D" w:rsidRPr="00291886">
        <w:t>information</w:t>
      </w:r>
      <w:r w:rsidR="000617F1" w:rsidRPr="00291886">
        <w:t xml:space="preserve"> relating</w:t>
      </w:r>
      <w:r w:rsidR="007F402D" w:rsidRPr="00291886">
        <w:t xml:space="preserve"> to the</w:t>
      </w:r>
      <w:r w:rsidRPr="00291886">
        <w:t xml:space="preserve"> detailed</w:t>
      </w:r>
      <w:r w:rsidR="007F402D" w:rsidRPr="00291886">
        <w:t xml:space="preserve"> annual review of the financial situation, 20</w:t>
      </w:r>
      <w:r w:rsidR="00606FEC" w:rsidRPr="00291886">
        <w:t>20</w:t>
      </w:r>
    </w:p>
    <w:p w14:paraId="136BF76E" w14:textId="77777777" w:rsidR="00AD52A4" w:rsidRDefault="00AD52A4" w:rsidP="007A712B">
      <w:pPr>
        <w:tabs>
          <w:tab w:val="right" w:pos="1080"/>
          <w:tab w:val="right" w:pos="1714"/>
          <w:tab w:val="left" w:pos="2160"/>
          <w:tab w:val="left" w:pos="2592"/>
          <w:tab w:val="left" w:pos="3024"/>
          <w:tab w:val="left" w:pos="3456"/>
          <w:tab w:val="right" w:leader="dot" w:pos="9360"/>
        </w:tabs>
        <w:spacing w:before="120" w:after="120" w:line="240" w:lineRule="auto"/>
      </w:pPr>
    </w:p>
    <w:p w14:paraId="4350F02B" w14:textId="7887F918" w:rsidR="00FC4398" w:rsidRPr="000E57AE" w:rsidRDefault="00FC4398" w:rsidP="000B23F1">
      <w:pPr>
        <w:tabs>
          <w:tab w:val="right" w:pos="1080"/>
          <w:tab w:val="right" w:pos="1714"/>
          <w:tab w:val="left" w:pos="2160"/>
          <w:tab w:val="left" w:pos="2592"/>
          <w:tab w:val="left" w:pos="3024"/>
          <w:tab w:val="left" w:pos="3456"/>
          <w:tab w:val="right" w:leader="dot" w:pos="9360"/>
        </w:tabs>
        <w:spacing w:before="120" w:after="120" w:line="240" w:lineRule="auto"/>
      </w:pPr>
      <w:r w:rsidRPr="000E57AE">
        <w:rPr>
          <w:noProof/>
          <w:w w:val="100"/>
          <w:lang w:val="en-US"/>
        </w:rPr>
        <mc:AlternateContent>
          <mc:Choice Requires="wps">
            <w:drawing>
              <wp:anchor distT="0" distB="0" distL="114300" distR="114300" simplePos="0" relativeHeight="251658250" behindDoc="0" locked="0" layoutInCell="1" allowOverlap="1" wp14:anchorId="10CF8459" wp14:editId="04150D9F">
                <wp:simplePos x="0" y="0"/>
                <wp:positionH relativeFrom="column">
                  <wp:posOffset>2920365</wp:posOffset>
                </wp:positionH>
                <wp:positionV relativeFrom="paragraph">
                  <wp:posOffset>100838</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noFill/>
                        <a:ln w="3175" cap="flat" cmpd="sng" algn="ctr">
                          <a:solidFill>
                            <a:srgbClr val="010000"/>
                          </a:solidFill>
                          <a:prstDash val="solid"/>
                        </a:ln>
                        <a:effectLst/>
                      </wps:spPr>
                      <wps:bodyPr/>
                    </wps:wsp>
                  </a:graphicData>
                </a:graphic>
              </wp:anchor>
            </w:drawing>
          </mc:Choice>
          <mc:Fallback xmlns:w16sdtdh="http://schemas.microsoft.com/office/word/2020/wordml/sdtdatahash" xmlns:arto="http://schemas.microsoft.com/office/word/2006/arto" xmlns:a14="http://schemas.microsoft.com/office/drawing/2010/main" xmlns:pic="http://schemas.openxmlformats.org/drawingml/2006/picture" xmlns:a="http://schemas.openxmlformats.org/drawingml/2006/main">
            <w:pict w14:anchorId="55DD22D0">
              <v:line id="Straight Connector 4" style="position:absolute;z-index:251658246;visibility:visible;mso-wrap-style:square;mso-wrap-distance-left:9pt;mso-wrap-distance-top:0;mso-wrap-distance-right:9pt;mso-wrap-distance-bottom:0;mso-position-horizontal:absolute;mso-position-horizontal-relative:text;mso-position-vertical:absolute;mso-position-vertical-relative:text" o:spid="_x0000_s1026" strokecolor="#010000" strokeweight=".25pt" from="229.95pt,7.95pt" to="301.95pt,7.95pt" w14:anchorId="1E420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"/>
            </w:pict>
          </mc:Fallback>
        </mc:AlternateContent>
      </w:r>
    </w:p>
    <w:sectPr w:rsidR="00FC4398" w:rsidRPr="000E57AE" w:rsidSect="00A93A87">
      <w:endnotePr>
        <w:numFmt w:val="decimal"/>
      </w:endnotePr>
      <w:type w:val="continuous"/>
      <w:pgSz w:w="12240" w:h="15840" w:code="1"/>
      <w:pgMar w:top="1710" w:right="1195" w:bottom="1267" w:left="990" w:header="576" w:footer="864" w:gutter="0"/>
      <w:pgNumType w:start="1"/>
      <w:cols w:space="720"/>
      <w:noEndnote/>
      <w:docGrid w:linePitch="2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8552F" w14:textId="77777777" w:rsidR="000F5D36" w:rsidRDefault="000F5D36">
      <w:r>
        <w:separator/>
      </w:r>
    </w:p>
    <w:p w14:paraId="6CC8A76A" w14:textId="77777777" w:rsidR="000F5D36" w:rsidRDefault="000F5D36"/>
  </w:endnote>
  <w:endnote w:type="continuationSeparator" w:id="0">
    <w:p w14:paraId="63395A2C" w14:textId="77777777" w:rsidR="000F5D36" w:rsidRDefault="000F5D36">
      <w:r>
        <w:continuationSeparator/>
      </w:r>
    </w:p>
    <w:p w14:paraId="2A454684" w14:textId="77777777" w:rsidR="000F5D36" w:rsidRDefault="000F5D36"/>
  </w:endnote>
  <w:endnote w:type="continuationNotice" w:id="1">
    <w:p w14:paraId="5C56F7EB" w14:textId="77777777" w:rsidR="000F5D36" w:rsidRDefault="000F5D36">
      <w:pPr>
        <w:spacing w:line="240" w:lineRule="auto"/>
      </w:pPr>
    </w:p>
    <w:p w14:paraId="0F71D49B" w14:textId="77777777" w:rsidR="000F5D36" w:rsidRDefault="000F5D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Layout w:type="fixed"/>
      <w:tblLook w:val="0000" w:firstRow="0" w:lastRow="0" w:firstColumn="0" w:lastColumn="0" w:noHBand="0" w:noVBand="0"/>
    </w:tblPr>
    <w:tblGrid>
      <w:gridCol w:w="5028"/>
      <w:gridCol w:w="5028"/>
    </w:tblGrid>
    <w:tr w:rsidR="00381AB7" w14:paraId="3326ABB6" w14:textId="77777777" w:rsidTr="00943B33">
      <w:tc>
        <w:tcPr>
          <w:tcW w:w="5028" w:type="dxa"/>
          <w:shd w:val="clear" w:color="auto" w:fill="auto"/>
        </w:tcPr>
        <w:p w14:paraId="78B33A15" w14:textId="77777777" w:rsidR="00381AB7" w:rsidRPr="00943B33" w:rsidRDefault="00381AB7" w:rsidP="007820E2">
          <w:pPr>
            <w:pStyle w:val="Footer"/>
            <w:jc w:val="right"/>
            <w:rPr>
              <w:b w:val="0"/>
              <w:w w:val="103"/>
              <w:sz w:val="14"/>
            </w:rPr>
          </w:pPr>
        </w:p>
      </w:tc>
      <w:tc>
        <w:tcPr>
          <w:tcW w:w="5028" w:type="dxa"/>
          <w:shd w:val="clear" w:color="auto" w:fill="auto"/>
        </w:tcPr>
        <w:p w14:paraId="0EC83F07" w14:textId="77777777" w:rsidR="00381AB7" w:rsidRPr="00943B33" w:rsidRDefault="00381AB7" w:rsidP="00D4624A">
          <w:pPr>
            <w:pStyle w:val="Footer"/>
            <w:rPr>
              <w:w w:val="103"/>
            </w:rPr>
          </w:pPr>
          <w:r>
            <w:rPr>
              <w:w w:val="103"/>
            </w:rPr>
            <w:fldChar w:fldCharType="begin"/>
          </w:r>
          <w:r>
            <w:rPr>
              <w:w w:val="103"/>
            </w:rPr>
            <w:instrText xml:space="preserve"> PAGE  \* Arabic  \* MERGEFORMAT </w:instrText>
          </w:r>
          <w:r>
            <w:rPr>
              <w:w w:val="103"/>
            </w:rPr>
            <w:fldChar w:fldCharType="separate"/>
          </w:r>
          <w:r>
            <w:rPr>
              <w:w w:val="103"/>
            </w:rPr>
            <w:t>10</w:t>
          </w:r>
          <w:r>
            <w:rPr>
              <w:w w:val="103"/>
            </w:rPr>
            <w:fldChar w:fldCharType="end"/>
          </w:r>
        </w:p>
      </w:tc>
    </w:tr>
  </w:tbl>
  <w:p w14:paraId="6D96397C" w14:textId="77777777" w:rsidR="00381AB7" w:rsidRPr="00943B33" w:rsidRDefault="00381AB7" w:rsidP="00943B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Layout w:type="fixed"/>
      <w:tblLook w:val="0000" w:firstRow="0" w:lastRow="0" w:firstColumn="0" w:lastColumn="0" w:noHBand="0" w:noVBand="0"/>
    </w:tblPr>
    <w:tblGrid>
      <w:gridCol w:w="5028"/>
      <w:gridCol w:w="5028"/>
    </w:tblGrid>
    <w:tr w:rsidR="00381AB7" w14:paraId="66DB47AB" w14:textId="77777777" w:rsidTr="00D81914">
      <w:trPr>
        <w:trHeight w:val="80"/>
      </w:trPr>
      <w:tc>
        <w:tcPr>
          <w:tcW w:w="5028" w:type="dxa"/>
          <w:shd w:val="clear" w:color="auto" w:fill="auto"/>
        </w:tcPr>
        <w:p w14:paraId="1CFDAA4C" w14:textId="77777777" w:rsidR="00381AB7" w:rsidRPr="00943B33" w:rsidRDefault="00381AB7" w:rsidP="00D4624A">
          <w:pPr>
            <w:pStyle w:val="Footer"/>
            <w:jc w:val="right"/>
            <w:rPr>
              <w:w w:val="103"/>
            </w:rPr>
          </w:pPr>
          <w:r>
            <w:rPr>
              <w:w w:val="103"/>
            </w:rPr>
            <w:fldChar w:fldCharType="begin"/>
          </w:r>
          <w:r>
            <w:rPr>
              <w:w w:val="103"/>
            </w:rPr>
            <w:instrText xml:space="preserve"> PAGE  \* Arabic  \* MERGEFORMAT </w:instrText>
          </w:r>
          <w:r>
            <w:rPr>
              <w:w w:val="103"/>
            </w:rPr>
            <w:fldChar w:fldCharType="separate"/>
          </w:r>
          <w:r>
            <w:rPr>
              <w:w w:val="103"/>
            </w:rPr>
            <w:t>9</w:t>
          </w:r>
          <w:r>
            <w:rPr>
              <w:w w:val="103"/>
            </w:rPr>
            <w:fldChar w:fldCharType="end"/>
          </w:r>
        </w:p>
      </w:tc>
      <w:tc>
        <w:tcPr>
          <w:tcW w:w="5028" w:type="dxa"/>
          <w:shd w:val="clear" w:color="auto" w:fill="auto"/>
        </w:tcPr>
        <w:p w14:paraId="4A7ADF74" w14:textId="77777777" w:rsidR="00381AB7" w:rsidRPr="00943B33" w:rsidRDefault="00381AB7" w:rsidP="00943B33">
          <w:pPr>
            <w:pStyle w:val="Footer"/>
            <w:rPr>
              <w:b w:val="0"/>
              <w:w w:val="103"/>
              <w:sz w:val="14"/>
            </w:rPr>
          </w:pPr>
        </w:p>
      </w:tc>
    </w:tr>
  </w:tbl>
  <w:p w14:paraId="055965DC" w14:textId="77777777" w:rsidR="00381AB7" w:rsidRPr="00943B33" w:rsidRDefault="00381AB7" w:rsidP="00943B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0"/>
      <w:gridCol w:w="4920"/>
    </w:tblGrid>
    <w:tr w:rsidR="00381AB7" w14:paraId="30FDBF18" w14:textId="77777777" w:rsidTr="5D788B90">
      <w:tc>
        <w:tcPr>
          <w:tcW w:w="3700" w:type="dxa"/>
          <w:shd w:val="clear" w:color="auto" w:fill="auto"/>
        </w:tcPr>
        <w:p w14:paraId="6B9F6A2F" w14:textId="3E32F62D" w:rsidR="00381AB7" w:rsidRPr="00BB1219" w:rsidRDefault="00381AB7">
          <w:pPr>
            <w:pStyle w:val="Footer"/>
            <w:rPr>
              <w:rFonts w:ascii="Barcode 3 of 9 by request" w:hAnsi="Barcode 3 of 9 by request"/>
              <w:b w:val="0"/>
              <w:sz w:val="24"/>
            </w:rPr>
          </w:pPr>
        </w:p>
      </w:tc>
      <w:tc>
        <w:tcPr>
          <w:tcW w:w="4920" w:type="dxa"/>
          <w:shd w:val="clear" w:color="auto" w:fill="auto"/>
        </w:tcPr>
        <w:p w14:paraId="5DB983AF" w14:textId="441B04CC" w:rsidR="00381AB7" w:rsidRDefault="00381AB7" w:rsidP="00BB1219">
          <w:pPr>
            <w:pStyle w:val="Footer"/>
            <w:spacing w:line="240" w:lineRule="atLeast"/>
            <w:jc w:val="right"/>
            <w:rPr>
              <w:b w:val="0"/>
              <w:sz w:val="20"/>
            </w:rPr>
          </w:pPr>
        </w:p>
      </w:tc>
    </w:tr>
  </w:tbl>
  <w:p w14:paraId="57FFDB2E" w14:textId="77777777" w:rsidR="00381AB7" w:rsidRPr="00BB1219" w:rsidRDefault="00381AB7">
    <w:pPr>
      <w:pStyle w:val="Footer"/>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3303A" w14:textId="77777777" w:rsidR="000F5D36" w:rsidRDefault="000F5D36">
      <w:r>
        <w:separator/>
      </w:r>
    </w:p>
    <w:p w14:paraId="6D2DE3E7" w14:textId="77777777" w:rsidR="000F5D36" w:rsidRDefault="000F5D36"/>
  </w:footnote>
  <w:footnote w:type="continuationSeparator" w:id="0">
    <w:p w14:paraId="03929676" w14:textId="77777777" w:rsidR="000F5D36" w:rsidRDefault="000F5D36">
      <w:r>
        <w:continuationSeparator/>
      </w:r>
    </w:p>
    <w:p w14:paraId="29A2DBC6" w14:textId="77777777" w:rsidR="000F5D36" w:rsidRDefault="000F5D36"/>
  </w:footnote>
  <w:footnote w:type="continuationNotice" w:id="1">
    <w:p w14:paraId="19386EA4" w14:textId="77777777" w:rsidR="000F5D36" w:rsidRDefault="000F5D36">
      <w:pPr>
        <w:spacing w:line="240" w:lineRule="auto"/>
      </w:pPr>
    </w:p>
    <w:p w14:paraId="24F940F4" w14:textId="77777777" w:rsidR="000F5D36" w:rsidRDefault="000F5D36"/>
  </w:footnote>
  <w:footnote w:id="2">
    <w:p w14:paraId="64DA2F61" w14:textId="566B4FF7" w:rsidR="00381AB7" w:rsidRPr="006F67F1" w:rsidRDefault="00381AB7" w:rsidP="00152D26">
      <w:pPr>
        <w:pStyle w:val="FootnoteText"/>
        <w:ind w:left="418" w:firstLine="0"/>
        <w:jc w:val="both"/>
        <w:rPr>
          <w:szCs w:val="17"/>
        </w:rPr>
      </w:pPr>
      <w:r w:rsidRPr="006F67F1">
        <w:rPr>
          <w:rStyle w:val="FootnoteReference"/>
          <w:sz w:val="16"/>
          <w:szCs w:val="16"/>
        </w:rPr>
        <w:footnoteRef/>
      </w:r>
      <w:r w:rsidRPr="006F67F1">
        <w:rPr>
          <w:sz w:val="16"/>
          <w:szCs w:val="16"/>
        </w:rPr>
        <w:t xml:space="preserve"> On calculating the operational reserves for 2020, a net transfer of $16 million was made from accumulated surpluses. The operational reserve was established in 1979 by the Governing Council (now the Executive Board) of UNDP to ensure adequate liquidity of UNDP by funding such reserve through a defined formula that is calculated yearly.</w:t>
      </w:r>
    </w:p>
  </w:footnote>
  <w:footnote w:id="3">
    <w:p w14:paraId="14A6E38F" w14:textId="67BBA28E" w:rsidR="00381AB7" w:rsidRDefault="00381AB7" w:rsidP="003A0CDC">
      <w:pPr>
        <w:pStyle w:val="FootnoteText"/>
        <w:ind w:hanging="57"/>
        <w:rPr>
          <w:lang w:eastAsia="ja-JP"/>
        </w:rPr>
      </w:pPr>
      <w:r>
        <w:rPr>
          <w:rStyle w:val="FootnoteReference"/>
        </w:rPr>
        <w:footnoteRef/>
      </w:r>
      <w:r>
        <w:t xml:space="preserve"> </w:t>
      </w:r>
      <w:r>
        <w:rPr>
          <w:lang w:eastAsia="ja-JP"/>
        </w:rPr>
        <w:t>Includes IPSAS revenue adjustments in 2019</w:t>
      </w:r>
    </w:p>
  </w:footnote>
  <w:footnote w:id="4">
    <w:p w14:paraId="59E1FAE8" w14:textId="02F6E4FB" w:rsidR="00381AB7" w:rsidRPr="00892CE0" w:rsidRDefault="00381AB7" w:rsidP="000E4D3F">
      <w:pPr>
        <w:pStyle w:val="FootnoteText"/>
        <w:rPr>
          <w:lang w:val="en-US"/>
        </w:rPr>
      </w:pPr>
      <w:r>
        <w:rPr>
          <w:rStyle w:val="FootnoteReference"/>
        </w:rPr>
        <w:footnoteRef/>
      </w:r>
      <w:r>
        <w:t xml:space="preserve"> Classified based on “</w:t>
      </w:r>
      <w:r w:rsidRPr="000E4D3F">
        <w:t>States of Fragility 202</w:t>
      </w:r>
      <w:r>
        <w:t xml:space="preserve">0” published by </w:t>
      </w:r>
      <w:r w:rsidRPr="00E2392B">
        <w:t>Organisation for Economic Co-operation and Development</w:t>
      </w:r>
      <w:r>
        <w:t xml:space="preserve"> (OECD).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381AB7" w14:paraId="34D17D8C" w14:textId="77777777" w:rsidTr="00943B33">
      <w:trPr>
        <w:trHeight w:hRule="exact" w:val="864"/>
      </w:trPr>
      <w:tc>
        <w:tcPr>
          <w:tcW w:w="4838" w:type="dxa"/>
          <w:shd w:val="clear" w:color="auto" w:fill="auto"/>
          <w:vAlign w:val="bottom"/>
        </w:tcPr>
        <w:p w14:paraId="14B97FDB" w14:textId="649F7BC8" w:rsidR="00381AB7" w:rsidRPr="00943B33" w:rsidRDefault="00381AB7" w:rsidP="00FC022F">
          <w:pPr>
            <w:pStyle w:val="Header"/>
            <w:spacing w:after="80"/>
            <w:rPr>
              <w:b/>
            </w:rPr>
          </w:pPr>
          <w:r>
            <w:rPr>
              <w:b/>
            </w:rPr>
            <w:t>Annex I to DP/2021/31</w:t>
          </w:r>
        </w:p>
      </w:tc>
      <w:tc>
        <w:tcPr>
          <w:tcW w:w="5028" w:type="dxa"/>
          <w:shd w:val="clear" w:color="auto" w:fill="auto"/>
          <w:vAlign w:val="bottom"/>
        </w:tcPr>
        <w:p w14:paraId="2B6AA1E4" w14:textId="77777777" w:rsidR="00381AB7" w:rsidRDefault="00381AB7" w:rsidP="00943B33">
          <w:pPr>
            <w:pStyle w:val="Header"/>
          </w:pPr>
        </w:p>
      </w:tc>
    </w:tr>
  </w:tbl>
  <w:p w14:paraId="63CA35E7" w14:textId="77777777" w:rsidR="00381AB7" w:rsidRPr="00943B33" w:rsidRDefault="00381AB7" w:rsidP="007A6D5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381AB7" w14:paraId="1DCC3476" w14:textId="77777777" w:rsidTr="00943B33">
      <w:trPr>
        <w:trHeight w:hRule="exact" w:val="864"/>
      </w:trPr>
      <w:tc>
        <w:tcPr>
          <w:tcW w:w="4838" w:type="dxa"/>
          <w:shd w:val="clear" w:color="auto" w:fill="auto"/>
          <w:vAlign w:val="bottom"/>
        </w:tcPr>
        <w:p w14:paraId="3A1E20CA" w14:textId="77777777" w:rsidR="00381AB7" w:rsidRDefault="00381AB7" w:rsidP="00943B33">
          <w:pPr>
            <w:pStyle w:val="Header"/>
          </w:pPr>
        </w:p>
      </w:tc>
      <w:tc>
        <w:tcPr>
          <w:tcW w:w="5028" w:type="dxa"/>
          <w:shd w:val="clear" w:color="auto" w:fill="auto"/>
          <w:vAlign w:val="bottom"/>
        </w:tcPr>
        <w:p w14:paraId="30DCB303" w14:textId="3E16F607" w:rsidR="00381AB7" w:rsidRPr="00943B33" w:rsidRDefault="00381AB7" w:rsidP="00FC022F">
          <w:pPr>
            <w:pStyle w:val="Header"/>
            <w:spacing w:after="80"/>
            <w:jc w:val="right"/>
            <w:rPr>
              <w:b/>
            </w:rPr>
          </w:pPr>
          <w:r>
            <w:rPr>
              <w:b/>
            </w:rPr>
            <w:t>Annex I to DP/2021/31</w:t>
          </w:r>
        </w:p>
      </w:tc>
    </w:tr>
  </w:tbl>
  <w:p w14:paraId="3E055973" w14:textId="77777777" w:rsidR="00381AB7" w:rsidRPr="00943B33" w:rsidRDefault="00381AB7" w:rsidP="00943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C11D8"/>
    <w:multiLevelType w:val="hybridMultilevel"/>
    <w:tmpl w:val="1B6E8C20"/>
    <w:lvl w:ilvl="0" w:tplc="3E9C76D6">
      <w:start w:val="1"/>
      <w:numFmt w:val="decimal"/>
      <w:lvlText w:val="%1."/>
      <w:lvlJc w:val="left"/>
      <w:pPr>
        <w:ind w:left="1343" w:hanging="360"/>
      </w:pPr>
      <w:rPr>
        <w:rFonts w:ascii="Times New Roman" w:hAnsi="Times New Roman" w:cs="Times New Roman" w:hint="default"/>
        <w:b w:val="0"/>
        <w:bCs/>
        <w:strike w:val="0"/>
      </w:rPr>
    </w:lvl>
    <w:lvl w:ilvl="1" w:tplc="04090019">
      <w:start w:val="1"/>
      <w:numFmt w:val="lowerLetter"/>
      <w:lvlText w:val="%2."/>
      <w:lvlJc w:val="left"/>
      <w:pPr>
        <w:ind w:left="2520" w:hanging="360"/>
      </w:pPr>
    </w:lvl>
    <w:lvl w:ilvl="2" w:tplc="E5442810">
      <w:start w:val="1"/>
      <w:numFmt w:val="low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F2120B0"/>
    <w:multiLevelType w:val="hybridMultilevel"/>
    <w:tmpl w:val="4C8E35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05A52"/>
    <w:multiLevelType w:val="hybridMultilevel"/>
    <w:tmpl w:val="C4BAC26C"/>
    <w:lvl w:ilvl="0" w:tplc="AC76A948">
      <w:start w:val="1"/>
      <w:numFmt w:val="decimal"/>
      <w:lvlText w:val="%1."/>
      <w:lvlJc w:val="left"/>
      <w:pPr>
        <w:ind w:left="1343" w:hanging="360"/>
      </w:pPr>
      <w:rPr>
        <w:b w:val="0"/>
        <w:bCs/>
      </w:rPr>
    </w:lvl>
    <w:lvl w:ilvl="1" w:tplc="04090019">
      <w:start w:val="1"/>
      <w:numFmt w:val="lowerLetter"/>
      <w:lvlText w:val="%2."/>
      <w:lvlJc w:val="left"/>
      <w:pPr>
        <w:ind w:left="2520" w:hanging="360"/>
      </w:pPr>
    </w:lvl>
    <w:lvl w:ilvl="2" w:tplc="E5442810">
      <w:start w:val="1"/>
      <w:numFmt w:val="low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4366C42"/>
    <w:multiLevelType w:val="hybridMultilevel"/>
    <w:tmpl w:val="1CBEF6FC"/>
    <w:lvl w:ilvl="0" w:tplc="C8DEA626">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181324"/>
    <w:multiLevelType w:val="multilevel"/>
    <w:tmpl w:val="D5907FDA"/>
    <w:lvl w:ilvl="0">
      <w:start w:val="1"/>
      <w:numFmt w:val="upperRoman"/>
      <w:lvlText w:val="%1."/>
      <w:lvlJc w:val="right"/>
      <w:pPr>
        <w:tabs>
          <w:tab w:val="num" w:pos="1296"/>
        </w:tabs>
        <w:ind w:left="1296" w:hanging="216"/>
      </w:pPr>
    </w:lvl>
    <w:lvl w:ilvl="1">
      <w:start w:val="1"/>
      <w:numFmt w:val="upperLetter"/>
      <w:lvlText w:val="%2."/>
      <w:lvlJc w:val="left"/>
      <w:pPr>
        <w:tabs>
          <w:tab w:val="num" w:pos="1692"/>
        </w:tabs>
        <w:ind w:left="1692"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6"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7" w15:restartNumberingAfterBreak="0">
    <w:nsid w:val="469743FD"/>
    <w:multiLevelType w:val="hybridMultilevel"/>
    <w:tmpl w:val="E88E3C72"/>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003274"/>
    <w:multiLevelType w:val="hybridMultilevel"/>
    <w:tmpl w:val="887EB836"/>
    <w:lvl w:ilvl="0" w:tplc="659EBCA2">
      <w:start w:val="1"/>
      <w:numFmt w:val="upperRoman"/>
      <w:lvlText w:val="%1."/>
      <w:lvlJc w:val="left"/>
      <w:pPr>
        <w:ind w:left="108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25260A"/>
    <w:multiLevelType w:val="hybridMultilevel"/>
    <w:tmpl w:val="66F435E8"/>
    <w:lvl w:ilvl="0" w:tplc="80A6E366">
      <w:numFmt w:val="bullet"/>
      <w:lvlText w:val="-"/>
      <w:lvlJc w:val="left"/>
      <w:pPr>
        <w:ind w:left="1380" w:hanging="10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145B2F"/>
    <w:multiLevelType w:val="hybridMultilevel"/>
    <w:tmpl w:val="FFFFFFFF"/>
    <w:lvl w:ilvl="0" w:tplc="BFE079BE">
      <w:start w:val="1"/>
      <w:numFmt w:val="decimal"/>
      <w:lvlText w:val="%1."/>
      <w:lvlJc w:val="left"/>
      <w:pPr>
        <w:ind w:left="720" w:hanging="360"/>
      </w:pPr>
    </w:lvl>
    <w:lvl w:ilvl="1" w:tplc="CE02C9C2">
      <w:start w:val="1"/>
      <w:numFmt w:val="lowerLetter"/>
      <w:lvlText w:val="%2."/>
      <w:lvlJc w:val="left"/>
      <w:pPr>
        <w:ind w:left="1440" w:hanging="360"/>
      </w:pPr>
    </w:lvl>
    <w:lvl w:ilvl="2" w:tplc="B7F01822">
      <w:start w:val="1"/>
      <w:numFmt w:val="lowerLetter"/>
      <w:lvlText w:val="(%3)"/>
      <w:lvlJc w:val="left"/>
      <w:pPr>
        <w:ind w:left="2160" w:hanging="180"/>
      </w:pPr>
    </w:lvl>
    <w:lvl w:ilvl="3" w:tplc="2E7816C6">
      <w:start w:val="1"/>
      <w:numFmt w:val="decimal"/>
      <w:lvlText w:val="%4."/>
      <w:lvlJc w:val="left"/>
      <w:pPr>
        <w:ind w:left="2880" w:hanging="360"/>
      </w:pPr>
    </w:lvl>
    <w:lvl w:ilvl="4" w:tplc="239A13D8">
      <w:start w:val="1"/>
      <w:numFmt w:val="lowerLetter"/>
      <w:lvlText w:val="%5."/>
      <w:lvlJc w:val="left"/>
      <w:pPr>
        <w:ind w:left="3600" w:hanging="360"/>
      </w:pPr>
    </w:lvl>
    <w:lvl w:ilvl="5" w:tplc="AFD89634">
      <w:start w:val="1"/>
      <w:numFmt w:val="lowerRoman"/>
      <w:lvlText w:val="%6."/>
      <w:lvlJc w:val="right"/>
      <w:pPr>
        <w:ind w:left="4320" w:hanging="180"/>
      </w:pPr>
    </w:lvl>
    <w:lvl w:ilvl="6" w:tplc="C14E40EA">
      <w:start w:val="1"/>
      <w:numFmt w:val="decimal"/>
      <w:lvlText w:val="%7."/>
      <w:lvlJc w:val="left"/>
      <w:pPr>
        <w:ind w:left="5040" w:hanging="360"/>
      </w:pPr>
    </w:lvl>
    <w:lvl w:ilvl="7" w:tplc="DC00762E">
      <w:start w:val="1"/>
      <w:numFmt w:val="lowerLetter"/>
      <w:lvlText w:val="%8."/>
      <w:lvlJc w:val="left"/>
      <w:pPr>
        <w:ind w:left="5760" w:hanging="360"/>
      </w:pPr>
    </w:lvl>
    <w:lvl w:ilvl="8" w:tplc="40429AD8">
      <w:start w:val="1"/>
      <w:numFmt w:val="lowerRoman"/>
      <w:lvlText w:val="%9."/>
      <w:lvlJc w:val="right"/>
      <w:pPr>
        <w:ind w:left="6480" w:hanging="180"/>
      </w:pPr>
    </w:lvl>
  </w:abstractNum>
  <w:abstractNum w:abstractNumId="11"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12" w15:restartNumberingAfterBreak="0">
    <w:nsid w:val="68350C7C"/>
    <w:multiLevelType w:val="hybridMultilevel"/>
    <w:tmpl w:val="EFF05C4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372E66"/>
    <w:multiLevelType w:val="hybridMultilevel"/>
    <w:tmpl w:val="4084799C"/>
    <w:lvl w:ilvl="0" w:tplc="B08C55E2">
      <w:numFmt w:val="bullet"/>
      <w:lvlText w:val="-"/>
      <w:lvlJc w:val="left"/>
      <w:pPr>
        <w:ind w:left="720" w:hanging="360"/>
      </w:pPr>
      <w:rPr>
        <w:rFonts w:ascii="Times New Roman" w:eastAsia="Calibri"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4" w15:restartNumberingAfterBreak="0">
    <w:nsid w:val="6DC8572C"/>
    <w:multiLevelType w:val="hybridMultilevel"/>
    <w:tmpl w:val="1B8AD5CC"/>
    <w:lvl w:ilvl="0" w:tplc="04090017">
      <w:start w:val="1"/>
      <w:numFmt w:val="lowerLetter"/>
      <w:lvlText w:val="%1)"/>
      <w:lvlJc w:val="left"/>
      <w:pPr>
        <w:ind w:left="2063" w:hanging="360"/>
      </w:pPr>
      <w:rPr>
        <w:rFonts w:hint="default"/>
      </w:rPr>
    </w:lvl>
    <w:lvl w:ilvl="1" w:tplc="04090019" w:tentative="1">
      <w:start w:val="1"/>
      <w:numFmt w:val="lowerLetter"/>
      <w:lvlText w:val="%2."/>
      <w:lvlJc w:val="left"/>
      <w:pPr>
        <w:ind w:left="2783" w:hanging="360"/>
      </w:pPr>
    </w:lvl>
    <w:lvl w:ilvl="2" w:tplc="0409001B" w:tentative="1">
      <w:start w:val="1"/>
      <w:numFmt w:val="lowerRoman"/>
      <w:lvlText w:val="%3."/>
      <w:lvlJc w:val="right"/>
      <w:pPr>
        <w:ind w:left="3503" w:hanging="180"/>
      </w:pPr>
    </w:lvl>
    <w:lvl w:ilvl="3" w:tplc="0409000F" w:tentative="1">
      <w:start w:val="1"/>
      <w:numFmt w:val="decimal"/>
      <w:lvlText w:val="%4."/>
      <w:lvlJc w:val="left"/>
      <w:pPr>
        <w:ind w:left="4223" w:hanging="360"/>
      </w:pPr>
    </w:lvl>
    <w:lvl w:ilvl="4" w:tplc="04090019" w:tentative="1">
      <w:start w:val="1"/>
      <w:numFmt w:val="lowerLetter"/>
      <w:lvlText w:val="%5."/>
      <w:lvlJc w:val="left"/>
      <w:pPr>
        <w:ind w:left="4943" w:hanging="360"/>
      </w:pPr>
    </w:lvl>
    <w:lvl w:ilvl="5" w:tplc="0409001B" w:tentative="1">
      <w:start w:val="1"/>
      <w:numFmt w:val="lowerRoman"/>
      <w:lvlText w:val="%6."/>
      <w:lvlJc w:val="right"/>
      <w:pPr>
        <w:ind w:left="5663" w:hanging="180"/>
      </w:pPr>
    </w:lvl>
    <w:lvl w:ilvl="6" w:tplc="0409000F" w:tentative="1">
      <w:start w:val="1"/>
      <w:numFmt w:val="decimal"/>
      <w:lvlText w:val="%7."/>
      <w:lvlJc w:val="left"/>
      <w:pPr>
        <w:ind w:left="6383" w:hanging="360"/>
      </w:pPr>
    </w:lvl>
    <w:lvl w:ilvl="7" w:tplc="04090019" w:tentative="1">
      <w:start w:val="1"/>
      <w:numFmt w:val="lowerLetter"/>
      <w:lvlText w:val="%8."/>
      <w:lvlJc w:val="left"/>
      <w:pPr>
        <w:ind w:left="7103" w:hanging="360"/>
      </w:pPr>
    </w:lvl>
    <w:lvl w:ilvl="8" w:tplc="0409001B" w:tentative="1">
      <w:start w:val="1"/>
      <w:numFmt w:val="lowerRoman"/>
      <w:lvlText w:val="%9."/>
      <w:lvlJc w:val="right"/>
      <w:pPr>
        <w:ind w:left="7823" w:hanging="180"/>
      </w:pPr>
    </w:lvl>
  </w:abstractNum>
  <w:abstractNum w:abstractNumId="15" w15:restartNumberingAfterBreak="0">
    <w:nsid w:val="7D701788"/>
    <w:multiLevelType w:val="hybridMultilevel"/>
    <w:tmpl w:val="2F02B066"/>
    <w:lvl w:ilvl="0" w:tplc="AC76A948">
      <w:start w:val="1"/>
      <w:numFmt w:val="decimal"/>
      <w:lvlText w:val="%1."/>
      <w:lvlJc w:val="left"/>
      <w:pPr>
        <w:ind w:left="1343" w:hanging="360"/>
      </w:pPr>
      <w:rPr>
        <w:b w:val="0"/>
        <w:bCs/>
      </w:rPr>
    </w:lvl>
    <w:lvl w:ilvl="1" w:tplc="04090019">
      <w:start w:val="1"/>
      <w:numFmt w:val="lowerLetter"/>
      <w:lvlText w:val="%2."/>
      <w:lvlJc w:val="left"/>
      <w:pPr>
        <w:ind w:left="2520" w:hanging="360"/>
      </w:pPr>
    </w:lvl>
    <w:lvl w:ilvl="2" w:tplc="E5442810">
      <w:start w:val="1"/>
      <w:numFmt w:val="low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11"/>
  </w:num>
  <w:num w:numId="3">
    <w:abstractNumId w:val="6"/>
  </w:num>
  <w:num w:numId="4">
    <w:abstractNumId w:val="4"/>
  </w:num>
  <w:num w:numId="5">
    <w:abstractNumId w:val="0"/>
  </w:num>
  <w:num w:numId="6">
    <w:abstractNumId w:val="4"/>
    <w:lvlOverride w:ilvl="0">
      <w:startOverride w:val="5"/>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
  </w:num>
  <w:num w:numId="11">
    <w:abstractNumId w:val="14"/>
  </w:num>
  <w:num w:numId="12">
    <w:abstractNumId w:val="12"/>
  </w:num>
  <w:num w:numId="13">
    <w:abstractNumId w:val="8"/>
  </w:num>
  <w:num w:numId="14">
    <w:abstractNumId w:val="10"/>
  </w:num>
  <w:num w:numId="15">
    <w:abstractNumId w:val="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
  </w:num>
  <w:num w:numId="19">
    <w:abstractNumId w:val="13"/>
  </w:num>
  <w:num w:numId="20">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76"/>
  <w:hyphenationZone w:val="20"/>
  <w:doNotHyphenateCaps/>
  <w:evenAndOddHeaders/>
  <w:drawingGridHorizontalSpacing w:val="120"/>
  <w:displayHorizontalDrawingGridEvery w:val="2"/>
  <w:characterSpacingControl w:val="doNotCompress"/>
  <w:hdrShapeDefaults>
    <o:shapedefaults v:ext="edit" spidmax="4097"/>
  </w:hdrShapeDefaults>
  <w:footnotePr>
    <w:footnote w:id="-1"/>
    <w:footnote w:id="0"/>
    <w:footnote w:id="1"/>
  </w:footnotePr>
  <w:endnotePr>
    <w:pos w:val="sectEnd"/>
    <w:numFmt w:val="decimal"/>
    <w:endnote w:id="-1"/>
    <w:endnote w:id="0"/>
    <w:endnote w:id="1"/>
  </w:endnotePr>
  <w:compat>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1912420*"/>
    <w:docVar w:name="jobn" w:val="19-12420 (E)"/>
    <w:docVar w:name="JobNo" w:val="1912420E"/>
    <w:docVar w:name="ODSRefJobNo" w:val="1922504E"/>
    <w:docVar w:name="sss1" w:val="DP/2019/26"/>
    <w:docVar w:name="sss2" w:val="-"/>
  </w:docVars>
  <w:rsids>
    <w:rsidRoot w:val="009D2BFA"/>
    <w:rsid w:val="00000369"/>
    <w:rsid w:val="000003A1"/>
    <w:rsid w:val="00000438"/>
    <w:rsid w:val="0000061B"/>
    <w:rsid w:val="00000639"/>
    <w:rsid w:val="000007B6"/>
    <w:rsid w:val="00000847"/>
    <w:rsid w:val="0000085F"/>
    <w:rsid w:val="00000A30"/>
    <w:rsid w:val="0000107D"/>
    <w:rsid w:val="00001904"/>
    <w:rsid w:val="00001B39"/>
    <w:rsid w:val="00001C99"/>
    <w:rsid w:val="00001DE3"/>
    <w:rsid w:val="00001DE9"/>
    <w:rsid w:val="000022CC"/>
    <w:rsid w:val="00002852"/>
    <w:rsid w:val="00002A41"/>
    <w:rsid w:val="00002D8C"/>
    <w:rsid w:val="00002F18"/>
    <w:rsid w:val="0000301C"/>
    <w:rsid w:val="00003350"/>
    <w:rsid w:val="00003369"/>
    <w:rsid w:val="00004121"/>
    <w:rsid w:val="000044BD"/>
    <w:rsid w:val="000045F2"/>
    <w:rsid w:val="00004AB8"/>
    <w:rsid w:val="00004B02"/>
    <w:rsid w:val="00005127"/>
    <w:rsid w:val="000052BC"/>
    <w:rsid w:val="00005746"/>
    <w:rsid w:val="00005769"/>
    <w:rsid w:val="00006536"/>
    <w:rsid w:val="00006821"/>
    <w:rsid w:val="00006964"/>
    <w:rsid w:val="00006A7F"/>
    <w:rsid w:val="00006D53"/>
    <w:rsid w:val="000073E4"/>
    <w:rsid w:val="000074D8"/>
    <w:rsid w:val="00007608"/>
    <w:rsid w:val="00007823"/>
    <w:rsid w:val="00007947"/>
    <w:rsid w:val="00007A02"/>
    <w:rsid w:val="00007DDE"/>
    <w:rsid w:val="00010121"/>
    <w:rsid w:val="0001033D"/>
    <w:rsid w:val="00010409"/>
    <w:rsid w:val="00010779"/>
    <w:rsid w:val="00010CB2"/>
    <w:rsid w:val="00010EAD"/>
    <w:rsid w:val="00010FBD"/>
    <w:rsid w:val="0001175B"/>
    <w:rsid w:val="00011833"/>
    <w:rsid w:val="00011910"/>
    <w:rsid w:val="000119DF"/>
    <w:rsid w:val="00011BAF"/>
    <w:rsid w:val="00011C6E"/>
    <w:rsid w:val="00011E94"/>
    <w:rsid w:val="00011F66"/>
    <w:rsid w:val="000120FF"/>
    <w:rsid w:val="00012694"/>
    <w:rsid w:val="00012950"/>
    <w:rsid w:val="00012A18"/>
    <w:rsid w:val="00012A44"/>
    <w:rsid w:val="00012B9B"/>
    <w:rsid w:val="000130E7"/>
    <w:rsid w:val="000137FE"/>
    <w:rsid w:val="00013912"/>
    <w:rsid w:val="00013955"/>
    <w:rsid w:val="00013C9F"/>
    <w:rsid w:val="00013E04"/>
    <w:rsid w:val="00013E71"/>
    <w:rsid w:val="00014135"/>
    <w:rsid w:val="00014243"/>
    <w:rsid w:val="0001436B"/>
    <w:rsid w:val="00014716"/>
    <w:rsid w:val="00014941"/>
    <w:rsid w:val="00014B74"/>
    <w:rsid w:val="000151E8"/>
    <w:rsid w:val="000151E9"/>
    <w:rsid w:val="00015596"/>
    <w:rsid w:val="0001584F"/>
    <w:rsid w:val="00015AEF"/>
    <w:rsid w:val="00015EE0"/>
    <w:rsid w:val="00015F6F"/>
    <w:rsid w:val="000162F6"/>
    <w:rsid w:val="00016327"/>
    <w:rsid w:val="00016641"/>
    <w:rsid w:val="00016776"/>
    <w:rsid w:val="0001700A"/>
    <w:rsid w:val="00017279"/>
    <w:rsid w:val="0001755B"/>
    <w:rsid w:val="0001793F"/>
    <w:rsid w:val="00017D95"/>
    <w:rsid w:val="00020466"/>
    <w:rsid w:val="00020C67"/>
    <w:rsid w:val="00020F14"/>
    <w:rsid w:val="00021298"/>
    <w:rsid w:val="00021540"/>
    <w:rsid w:val="0002179A"/>
    <w:rsid w:val="00021ACF"/>
    <w:rsid w:val="000224DC"/>
    <w:rsid w:val="000225EA"/>
    <w:rsid w:val="00022990"/>
    <w:rsid w:val="00022C10"/>
    <w:rsid w:val="00022C1E"/>
    <w:rsid w:val="00022D86"/>
    <w:rsid w:val="000233A6"/>
    <w:rsid w:val="0002383E"/>
    <w:rsid w:val="00023BDE"/>
    <w:rsid w:val="00023D73"/>
    <w:rsid w:val="00024269"/>
    <w:rsid w:val="000243C1"/>
    <w:rsid w:val="0002455F"/>
    <w:rsid w:val="000245E1"/>
    <w:rsid w:val="000246DA"/>
    <w:rsid w:val="000249DC"/>
    <w:rsid w:val="00024B08"/>
    <w:rsid w:val="00024C41"/>
    <w:rsid w:val="00024E5A"/>
    <w:rsid w:val="00024FC7"/>
    <w:rsid w:val="00025297"/>
    <w:rsid w:val="000257D0"/>
    <w:rsid w:val="00025848"/>
    <w:rsid w:val="00025B83"/>
    <w:rsid w:val="00025C6B"/>
    <w:rsid w:val="00025E8C"/>
    <w:rsid w:val="00026167"/>
    <w:rsid w:val="0002623E"/>
    <w:rsid w:val="00026310"/>
    <w:rsid w:val="00026391"/>
    <w:rsid w:val="000263E8"/>
    <w:rsid w:val="000269E1"/>
    <w:rsid w:val="00026CE8"/>
    <w:rsid w:val="00026D4C"/>
    <w:rsid w:val="00027488"/>
    <w:rsid w:val="0002782B"/>
    <w:rsid w:val="00027A02"/>
    <w:rsid w:val="00027C60"/>
    <w:rsid w:val="00027D58"/>
    <w:rsid w:val="00030166"/>
    <w:rsid w:val="0003036C"/>
    <w:rsid w:val="0003042B"/>
    <w:rsid w:val="000306CC"/>
    <w:rsid w:val="000308AA"/>
    <w:rsid w:val="00030947"/>
    <w:rsid w:val="00030AD1"/>
    <w:rsid w:val="00031B62"/>
    <w:rsid w:val="00031CA3"/>
    <w:rsid w:val="00031F2D"/>
    <w:rsid w:val="00031FF6"/>
    <w:rsid w:val="000320CC"/>
    <w:rsid w:val="00032100"/>
    <w:rsid w:val="0003226B"/>
    <w:rsid w:val="000323B2"/>
    <w:rsid w:val="0003242E"/>
    <w:rsid w:val="000324A5"/>
    <w:rsid w:val="00032594"/>
    <w:rsid w:val="0003271B"/>
    <w:rsid w:val="00032B75"/>
    <w:rsid w:val="00032D69"/>
    <w:rsid w:val="00033019"/>
    <w:rsid w:val="00033164"/>
    <w:rsid w:val="00033316"/>
    <w:rsid w:val="000334FB"/>
    <w:rsid w:val="00033527"/>
    <w:rsid w:val="0003355C"/>
    <w:rsid w:val="0003371A"/>
    <w:rsid w:val="000338F0"/>
    <w:rsid w:val="000339C7"/>
    <w:rsid w:val="00033ACD"/>
    <w:rsid w:val="00033B7C"/>
    <w:rsid w:val="0003402B"/>
    <w:rsid w:val="000341F1"/>
    <w:rsid w:val="000342F2"/>
    <w:rsid w:val="00034346"/>
    <w:rsid w:val="000343CE"/>
    <w:rsid w:val="000346CB"/>
    <w:rsid w:val="000348A3"/>
    <w:rsid w:val="00034D7D"/>
    <w:rsid w:val="00034F69"/>
    <w:rsid w:val="000355B9"/>
    <w:rsid w:val="00035661"/>
    <w:rsid w:val="0003584D"/>
    <w:rsid w:val="00035EBA"/>
    <w:rsid w:val="000360BA"/>
    <w:rsid w:val="00036B97"/>
    <w:rsid w:val="00036DF5"/>
    <w:rsid w:val="00037358"/>
    <w:rsid w:val="0003738C"/>
    <w:rsid w:val="00037435"/>
    <w:rsid w:val="00037E4B"/>
    <w:rsid w:val="000409FA"/>
    <w:rsid w:val="00040B07"/>
    <w:rsid w:val="00040B25"/>
    <w:rsid w:val="00040FE2"/>
    <w:rsid w:val="00041196"/>
    <w:rsid w:val="000411CE"/>
    <w:rsid w:val="000413BF"/>
    <w:rsid w:val="00041429"/>
    <w:rsid w:val="00041520"/>
    <w:rsid w:val="00041766"/>
    <w:rsid w:val="000417F2"/>
    <w:rsid w:val="00041CAB"/>
    <w:rsid w:val="00042578"/>
    <w:rsid w:val="00042A96"/>
    <w:rsid w:val="0004311B"/>
    <w:rsid w:val="0004316C"/>
    <w:rsid w:val="00043343"/>
    <w:rsid w:val="00043410"/>
    <w:rsid w:val="0004353F"/>
    <w:rsid w:val="00043620"/>
    <w:rsid w:val="00044A03"/>
    <w:rsid w:val="00044A42"/>
    <w:rsid w:val="00044A8C"/>
    <w:rsid w:val="00045266"/>
    <w:rsid w:val="00045485"/>
    <w:rsid w:val="00045658"/>
    <w:rsid w:val="00045847"/>
    <w:rsid w:val="00046337"/>
    <w:rsid w:val="000467FA"/>
    <w:rsid w:val="000469EA"/>
    <w:rsid w:val="00046A06"/>
    <w:rsid w:val="00046B0C"/>
    <w:rsid w:val="0004725E"/>
    <w:rsid w:val="000473E6"/>
    <w:rsid w:val="0004781B"/>
    <w:rsid w:val="00047D11"/>
    <w:rsid w:val="00050445"/>
    <w:rsid w:val="000505AE"/>
    <w:rsid w:val="000509B8"/>
    <w:rsid w:val="00050A88"/>
    <w:rsid w:val="00050E3D"/>
    <w:rsid w:val="000511E4"/>
    <w:rsid w:val="00051981"/>
    <w:rsid w:val="00051B43"/>
    <w:rsid w:val="00051D6F"/>
    <w:rsid w:val="00051DBD"/>
    <w:rsid w:val="00051EA9"/>
    <w:rsid w:val="000524A5"/>
    <w:rsid w:val="00052712"/>
    <w:rsid w:val="000527DC"/>
    <w:rsid w:val="00053056"/>
    <w:rsid w:val="00053147"/>
    <w:rsid w:val="000531A6"/>
    <w:rsid w:val="000531BF"/>
    <w:rsid w:val="00053358"/>
    <w:rsid w:val="00053446"/>
    <w:rsid w:val="000536C3"/>
    <w:rsid w:val="00053A0C"/>
    <w:rsid w:val="00053D83"/>
    <w:rsid w:val="00053E24"/>
    <w:rsid w:val="00053FCB"/>
    <w:rsid w:val="00054195"/>
    <w:rsid w:val="000542B1"/>
    <w:rsid w:val="0005459F"/>
    <w:rsid w:val="00054796"/>
    <w:rsid w:val="00054828"/>
    <w:rsid w:val="00054852"/>
    <w:rsid w:val="00054A6B"/>
    <w:rsid w:val="00054D22"/>
    <w:rsid w:val="00054DC7"/>
    <w:rsid w:val="000550F6"/>
    <w:rsid w:val="00055332"/>
    <w:rsid w:val="000554D6"/>
    <w:rsid w:val="00055742"/>
    <w:rsid w:val="00055A70"/>
    <w:rsid w:val="00055BDA"/>
    <w:rsid w:val="00055D1D"/>
    <w:rsid w:val="00055D6B"/>
    <w:rsid w:val="00055DB3"/>
    <w:rsid w:val="0005657F"/>
    <w:rsid w:val="000566C0"/>
    <w:rsid w:val="00056CE4"/>
    <w:rsid w:val="0005710F"/>
    <w:rsid w:val="000572F6"/>
    <w:rsid w:val="000573C7"/>
    <w:rsid w:val="000578BE"/>
    <w:rsid w:val="00057EEA"/>
    <w:rsid w:val="00057F15"/>
    <w:rsid w:val="00057FD3"/>
    <w:rsid w:val="00060138"/>
    <w:rsid w:val="000604DB"/>
    <w:rsid w:val="000609E6"/>
    <w:rsid w:val="00060B08"/>
    <w:rsid w:val="00060FB4"/>
    <w:rsid w:val="00061003"/>
    <w:rsid w:val="00061088"/>
    <w:rsid w:val="0006167E"/>
    <w:rsid w:val="0006171E"/>
    <w:rsid w:val="0006172E"/>
    <w:rsid w:val="000617B1"/>
    <w:rsid w:val="000617F1"/>
    <w:rsid w:val="00061855"/>
    <w:rsid w:val="000618AF"/>
    <w:rsid w:val="00061A53"/>
    <w:rsid w:val="00061BF3"/>
    <w:rsid w:val="00061D4D"/>
    <w:rsid w:val="000625AA"/>
    <w:rsid w:val="000627E9"/>
    <w:rsid w:val="00062D30"/>
    <w:rsid w:val="00062E0F"/>
    <w:rsid w:val="00062E5D"/>
    <w:rsid w:val="000636B0"/>
    <w:rsid w:val="000639CF"/>
    <w:rsid w:val="00063E69"/>
    <w:rsid w:val="00064554"/>
    <w:rsid w:val="000647EE"/>
    <w:rsid w:val="000648EF"/>
    <w:rsid w:val="00065220"/>
    <w:rsid w:val="000654B8"/>
    <w:rsid w:val="000655A3"/>
    <w:rsid w:val="00065AF4"/>
    <w:rsid w:val="00065F8F"/>
    <w:rsid w:val="000660F0"/>
    <w:rsid w:val="000660FF"/>
    <w:rsid w:val="0006613C"/>
    <w:rsid w:val="000662D9"/>
    <w:rsid w:val="000662E5"/>
    <w:rsid w:val="00066352"/>
    <w:rsid w:val="00066453"/>
    <w:rsid w:val="000664AA"/>
    <w:rsid w:val="00066558"/>
    <w:rsid w:val="0006661B"/>
    <w:rsid w:val="000666BD"/>
    <w:rsid w:val="00066787"/>
    <w:rsid w:val="000667D5"/>
    <w:rsid w:val="00066849"/>
    <w:rsid w:val="000668BF"/>
    <w:rsid w:val="000669A7"/>
    <w:rsid w:val="00066AEF"/>
    <w:rsid w:val="00066C22"/>
    <w:rsid w:val="000673A8"/>
    <w:rsid w:val="00067814"/>
    <w:rsid w:val="00070280"/>
    <w:rsid w:val="000707EB"/>
    <w:rsid w:val="0007089B"/>
    <w:rsid w:val="00070B07"/>
    <w:rsid w:val="00070D06"/>
    <w:rsid w:val="00070D3E"/>
    <w:rsid w:val="00070DCC"/>
    <w:rsid w:val="0007141D"/>
    <w:rsid w:val="00071735"/>
    <w:rsid w:val="00071794"/>
    <w:rsid w:val="0007243B"/>
    <w:rsid w:val="0007273D"/>
    <w:rsid w:val="00072902"/>
    <w:rsid w:val="000729DF"/>
    <w:rsid w:val="00072A0F"/>
    <w:rsid w:val="00072A32"/>
    <w:rsid w:val="00072C7F"/>
    <w:rsid w:val="00072EB4"/>
    <w:rsid w:val="00072F33"/>
    <w:rsid w:val="000733C4"/>
    <w:rsid w:val="00073B00"/>
    <w:rsid w:val="00073E2C"/>
    <w:rsid w:val="00073F5F"/>
    <w:rsid w:val="00074028"/>
    <w:rsid w:val="00074132"/>
    <w:rsid w:val="00074A80"/>
    <w:rsid w:val="00074EE8"/>
    <w:rsid w:val="00074FF8"/>
    <w:rsid w:val="000753A8"/>
    <w:rsid w:val="00075784"/>
    <w:rsid w:val="0007593C"/>
    <w:rsid w:val="0007599C"/>
    <w:rsid w:val="00075A11"/>
    <w:rsid w:val="00075CAF"/>
    <w:rsid w:val="00075D57"/>
    <w:rsid w:val="000761ED"/>
    <w:rsid w:val="000762EC"/>
    <w:rsid w:val="000762EF"/>
    <w:rsid w:val="000763BF"/>
    <w:rsid w:val="00076459"/>
    <w:rsid w:val="00076A11"/>
    <w:rsid w:val="00076A7D"/>
    <w:rsid w:val="00076D75"/>
    <w:rsid w:val="00076F02"/>
    <w:rsid w:val="00076FB8"/>
    <w:rsid w:val="00076FCA"/>
    <w:rsid w:val="000770AE"/>
    <w:rsid w:val="000771C2"/>
    <w:rsid w:val="00077343"/>
    <w:rsid w:val="0007753A"/>
    <w:rsid w:val="00077953"/>
    <w:rsid w:val="00077C68"/>
    <w:rsid w:val="00077DB0"/>
    <w:rsid w:val="00077E3B"/>
    <w:rsid w:val="0008012E"/>
    <w:rsid w:val="00080229"/>
    <w:rsid w:val="000805B5"/>
    <w:rsid w:val="000806E4"/>
    <w:rsid w:val="00080849"/>
    <w:rsid w:val="000808F2"/>
    <w:rsid w:val="00080902"/>
    <w:rsid w:val="00080953"/>
    <w:rsid w:val="00080AA8"/>
    <w:rsid w:val="00080FC4"/>
    <w:rsid w:val="0008145A"/>
    <w:rsid w:val="0008166D"/>
    <w:rsid w:val="000816CC"/>
    <w:rsid w:val="0008171D"/>
    <w:rsid w:val="00081743"/>
    <w:rsid w:val="0008184F"/>
    <w:rsid w:val="00081B25"/>
    <w:rsid w:val="00081CC0"/>
    <w:rsid w:val="00081F63"/>
    <w:rsid w:val="000820E1"/>
    <w:rsid w:val="000827AD"/>
    <w:rsid w:val="00082C4E"/>
    <w:rsid w:val="00082D34"/>
    <w:rsid w:val="00082F75"/>
    <w:rsid w:val="00082FBF"/>
    <w:rsid w:val="0008355C"/>
    <w:rsid w:val="000837C1"/>
    <w:rsid w:val="0008393B"/>
    <w:rsid w:val="00083A6E"/>
    <w:rsid w:val="00083A6F"/>
    <w:rsid w:val="0008421B"/>
    <w:rsid w:val="00084D31"/>
    <w:rsid w:val="00084DF8"/>
    <w:rsid w:val="000850CA"/>
    <w:rsid w:val="00085290"/>
    <w:rsid w:val="00085498"/>
    <w:rsid w:val="00085853"/>
    <w:rsid w:val="0008592E"/>
    <w:rsid w:val="00085BFD"/>
    <w:rsid w:val="00085C33"/>
    <w:rsid w:val="00086219"/>
    <w:rsid w:val="00086524"/>
    <w:rsid w:val="000866F6"/>
    <w:rsid w:val="00086705"/>
    <w:rsid w:val="00086A64"/>
    <w:rsid w:val="00086FD8"/>
    <w:rsid w:val="000872AC"/>
    <w:rsid w:val="0008735F"/>
    <w:rsid w:val="000873DA"/>
    <w:rsid w:val="00087B2A"/>
    <w:rsid w:val="00087DFD"/>
    <w:rsid w:val="00087FDE"/>
    <w:rsid w:val="0009008A"/>
    <w:rsid w:val="00090194"/>
    <w:rsid w:val="00090434"/>
    <w:rsid w:val="0009062D"/>
    <w:rsid w:val="0009064F"/>
    <w:rsid w:val="000906A7"/>
    <w:rsid w:val="0009084E"/>
    <w:rsid w:val="00090D22"/>
    <w:rsid w:val="00090F2D"/>
    <w:rsid w:val="00091399"/>
    <w:rsid w:val="0009142F"/>
    <w:rsid w:val="00091700"/>
    <w:rsid w:val="0009211C"/>
    <w:rsid w:val="000921C3"/>
    <w:rsid w:val="0009237A"/>
    <w:rsid w:val="000923B7"/>
    <w:rsid w:val="0009256F"/>
    <w:rsid w:val="000925EB"/>
    <w:rsid w:val="00092646"/>
    <w:rsid w:val="00092931"/>
    <w:rsid w:val="00092C51"/>
    <w:rsid w:val="000930EA"/>
    <w:rsid w:val="00093162"/>
    <w:rsid w:val="000932F4"/>
    <w:rsid w:val="00093300"/>
    <w:rsid w:val="00093A67"/>
    <w:rsid w:val="00093B85"/>
    <w:rsid w:val="00093CEE"/>
    <w:rsid w:val="000941C1"/>
    <w:rsid w:val="0009479A"/>
    <w:rsid w:val="00094B11"/>
    <w:rsid w:val="00094B59"/>
    <w:rsid w:val="00094C84"/>
    <w:rsid w:val="00094FCC"/>
    <w:rsid w:val="00095223"/>
    <w:rsid w:val="000955F0"/>
    <w:rsid w:val="00095653"/>
    <w:rsid w:val="00095CAC"/>
    <w:rsid w:val="00096089"/>
    <w:rsid w:val="000961CF"/>
    <w:rsid w:val="00096408"/>
    <w:rsid w:val="000964CE"/>
    <w:rsid w:val="0009659F"/>
    <w:rsid w:val="00096611"/>
    <w:rsid w:val="00096ACE"/>
    <w:rsid w:val="00096B83"/>
    <w:rsid w:val="00096C2F"/>
    <w:rsid w:val="00096D59"/>
    <w:rsid w:val="00097376"/>
    <w:rsid w:val="000979B9"/>
    <w:rsid w:val="000979DD"/>
    <w:rsid w:val="00097A60"/>
    <w:rsid w:val="00097A8B"/>
    <w:rsid w:val="00097BA0"/>
    <w:rsid w:val="00097E8C"/>
    <w:rsid w:val="000A01E2"/>
    <w:rsid w:val="000A0263"/>
    <w:rsid w:val="000A03DE"/>
    <w:rsid w:val="000A0BB5"/>
    <w:rsid w:val="000A0E39"/>
    <w:rsid w:val="000A1401"/>
    <w:rsid w:val="000A14E3"/>
    <w:rsid w:val="000A16B4"/>
    <w:rsid w:val="000A19BF"/>
    <w:rsid w:val="000A1FC9"/>
    <w:rsid w:val="000A210E"/>
    <w:rsid w:val="000A21C4"/>
    <w:rsid w:val="000A2510"/>
    <w:rsid w:val="000A2923"/>
    <w:rsid w:val="000A2A7C"/>
    <w:rsid w:val="000A2F21"/>
    <w:rsid w:val="000A2F43"/>
    <w:rsid w:val="000A30F8"/>
    <w:rsid w:val="000A333D"/>
    <w:rsid w:val="000A3668"/>
    <w:rsid w:val="000A37DF"/>
    <w:rsid w:val="000A396D"/>
    <w:rsid w:val="000A3A85"/>
    <w:rsid w:val="000A3DFD"/>
    <w:rsid w:val="000A3E74"/>
    <w:rsid w:val="000A3EE6"/>
    <w:rsid w:val="000A3FBD"/>
    <w:rsid w:val="000A4013"/>
    <w:rsid w:val="000A41C8"/>
    <w:rsid w:val="000A4299"/>
    <w:rsid w:val="000A4444"/>
    <w:rsid w:val="000A4539"/>
    <w:rsid w:val="000A4BB4"/>
    <w:rsid w:val="000A4DB3"/>
    <w:rsid w:val="000A4DF0"/>
    <w:rsid w:val="000A4FBF"/>
    <w:rsid w:val="000A52BE"/>
    <w:rsid w:val="000A5524"/>
    <w:rsid w:val="000A5779"/>
    <w:rsid w:val="000A57BD"/>
    <w:rsid w:val="000A5948"/>
    <w:rsid w:val="000A5E98"/>
    <w:rsid w:val="000A6005"/>
    <w:rsid w:val="000A6045"/>
    <w:rsid w:val="000A6294"/>
    <w:rsid w:val="000A63C6"/>
    <w:rsid w:val="000A6526"/>
    <w:rsid w:val="000A67D3"/>
    <w:rsid w:val="000A6B39"/>
    <w:rsid w:val="000A7433"/>
    <w:rsid w:val="000A7625"/>
    <w:rsid w:val="000A7848"/>
    <w:rsid w:val="000A7938"/>
    <w:rsid w:val="000A7FEC"/>
    <w:rsid w:val="000B0EE7"/>
    <w:rsid w:val="000B0F0F"/>
    <w:rsid w:val="000B0FEF"/>
    <w:rsid w:val="000B162A"/>
    <w:rsid w:val="000B19F7"/>
    <w:rsid w:val="000B1BE4"/>
    <w:rsid w:val="000B1F9D"/>
    <w:rsid w:val="000B22A7"/>
    <w:rsid w:val="000B23F1"/>
    <w:rsid w:val="000B2743"/>
    <w:rsid w:val="000B298B"/>
    <w:rsid w:val="000B2AB1"/>
    <w:rsid w:val="000B2BBB"/>
    <w:rsid w:val="000B2F3C"/>
    <w:rsid w:val="000B3404"/>
    <w:rsid w:val="000B38B7"/>
    <w:rsid w:val="000B38D2"/>
    <w:rsid w:val="000B3CC9"/>
    <w:rsid w:val="000B3DF2"/>
    <w:rsid w:val="000B4095"/>
    <w:rsid w:val="000B4141"/>
    <w:rsid w:val="000B44A9"/>
    <w:rsid w:val="000B4547"/>
    <w:rsid w:val="000B454D"/>
    <w:rsid w:val="000B5407"/>
    <w:rsid w:val="000B552C"/>
    <w:rsid w:val="000B5621"/>
    <w:rsid w:val="000B5761"/>
    <w:rsid w:val="000B5832"/>
    <w:rsid w:val="000B5906"/>
    <w:rsid w:val="000B5F8C"/>
    <w:rsid w:val="000B5FAC"/>
    <w:rsid w:val="000B605D"/>
    <w:rsid w:val="000B6404"/>
    <w:rsid w:val="000B64B5"/>
    <w:rsid w:val="000B6960"/>
    <w:rsid w:val="000B6F32"/>
    <w:rsid w:val="000B70F0"/>
    <w:rsid w:val="000B7495"/>
    <w:rsid w:val="000B7508"/>
    <w:rsid w:val="000B7BE7"/>
    <w:rsid w:val="000B7C70"/>
    <w:rsid w:val="000B7C83"/>
    <w:rsid w:val="000B7CB9"/>
    <w:rsid w:val="000B7F17"/>
    <w:rsid w:val="000C015C"/>
    <w:rsid w:val="000C02F7"/>
    <w:rsid w:val="000C04AC"/>
    <w:rsid w:val="000C0693"/>
    <w:rsid w:val="000C1013"/>
    <w:rsid w:val="000C124D"/>
    <w:rsid w:val="000C1866"/>
    <w:rsid w:val="000C1ABB"/>
    <w:rsid w:val="000C1EE5"/>
    <w:rsid w:val="000C1F2E"/>
    <w:rsid w:val="000C20C4"/>
    <w:rsid w:val="000C21DC"/>
    <w:rsid w:val="000C2888"/>
    <w:rsid w:val="000C294D"/>
    <w:rsid w:val="000C2A63"/>
    <w:rsid w:val="000C2F9A"/>
    <w:rsid w:val="000C30BC"/>
    <w:rsid w:val="000C3158"/>
    <w:rsid w:val="000C3294"/>
    <w:rsid w:val="000C3311"/>
    <w:rsid w:val="000C3345"/>
    <w:rsid w:val="000C33CC"/>
    <w:rsid w:val="000C3493"/>
    <w:rsid w:val="000C3522"/>
    <w:rsid w:val="000C37E0"/>
    <w:rsid w:val="000C390A"/>
    <w:rsid w:val="000C3B41"/>
    <w:rsid w:val="000C3F67"/>
    <w:rsid w:val="000C3FD4"/>
    <w:rsid w:val="000C46F1"/>
    <w:rsid w:val="000C48ED"/>
    <w:rsid w:val="000C4B71"/>
    <w:rsid w:val="000C4BB6"/>
    <w:rsid w:val="000C4D7F"/>
    <w:rsid w:val="000C4DE4"/>
    <w:rsid w:val="000C4E85"/>
    <w:rsid w:val="000C5264"/>
    <w:rsid w:val="000C5858"/>
    <w:rsid w:val="000C58AF"/>
    <w:rsid w:val="000C5AB1"/>
    <w:rsid w:val="000C5F29"/>
    <w:rsid w:val="000C61C5"/>
    <w:rsid w:val="000C6510"/>
    <w:rsid w:val="000C676D"/>
    <w:rsid w:val="000C6C71"/>
    <w:rsid w:val="000C7443"/>
    <w:rsid w:val="000C7638"/>
    <w:rsid w:val="000C7A4A"/>
    <w:rsid w:val="000C7C15"/>
    <w:rsid w:val="000C7C50"/>
    <w:rsid w:val="000C7F6D"/>
    <w:rsid w:val="000D00B3"/>
    <w:rsid w:val="000D0145"/>
    <w:rsid w:val="000D07A5"/>
    <w:rsid w:val="000D0B0A"/>
    <w:rsid w:val="000D0D50"/>
    <w:rsid w:val="000D0EC5"/>
    <w:rsid w:val="000D0ED1"/>
    <w:rsid w:val="000D120D"/>
    <w:rsid w:val="000D1593"/>
    <w:rsid w:val="000D15C4"/>
    <w:rsid w:val="000D191D"/>
    <w:rsid w:val="000D19CA"/>
    <w:rsid w:val="000D1B02"/>
    <w:rsid w:val="000D1D67"/>
    <w:rsid w:val="000D1DFF"/>
    <w:rsid w:val="000D1FE1"/>
    <w:rsid w:val="000D214C"/>
    <w:rsid w:val="000D2324"/>
    <w:rsid w:val="000D233C"/>
    <w:rsid w:val="000D2458"/>
    <w:rsid w:val="000D2786"/>
    <w:rsid w:val="000D27C8"/>
    <w:rsid w:val="000D2C6E"/>
    <w:rsid w:val="000D2CDB"/>
    <w:rsid w:val="000D2E3F"/>
    <w:rsid w:val="000D3002"/>
    <w:rsid w:val="000D3C42"/>
    <w:rsid w:val="000D406B"/>
    <w:rsid w:val="000D40DE"/>
    <w:rsid w:val="000D50F3"/>
    <w:rsid w:val="000D529C"/>
    <w:rsid w:val="000D52B0"/>
    <w:rsid w:val="000D551D"/>
    <w:rsid w:val="000D5A99"/>
    <w:rsid w:val="000D5AD2"/>
    <w:rsid w:val="000D61AD"/>
    <w:rsid w:val="000D63C9"/>
    <w:rsid w:val="000D681C"/>
    <w:rsid w:val="000D6C37"/>
    <w:rsid w:val="000D6D91"/>
    <w:rsid w:val="000D7319"/>
    <w:rsid w:val="000D74C8"/>
    <w:rsid w:val="000D758D"/>
    <w:rsid w:val="000D75CA"/>
    <w:rsid w:val="000D7EA3"/>
    <w:rsid w:val="000E000A"/>
    <w:rsid w:val="000E001C"/>
    <w:rsid w:val="000E0758"/>
    <w:rsid w:val="000E07BA"/>
    <w:rsid w:val="000E0A68"/>
    <w:rsid w:val="000E0F77"/>
    <w:rsid w:val="000E10C3"/>
    <w:rsid w:val="000E1251"/>
    <w:rsid w:val="000E13F5"/>
    <w:rsid w:val="000E1560"/>
    <w:rsid w:val="000E16F4"/>
    <w:rsid w:val="000E1A17"/>
    <w:rsid w:val="000E1F0E"/>
    <w:rsid w:val="000E1F1E"/>
    <w:rsid w:val="000E20C6"/>
    <w:rsid w:val="000E28F8"/>
    <w:rsid w:val="000E2BB5"/>
    <w:rsid w:val="000E2CF7"/>
    <w:rsid w:val="000E2D3F"/>
    <w:rsid w:val="000E2FF6"/>
    <w:rsid w:val="000E3393"/>
    <w:rsid w:val="000E363B"/>
    <w:rsid w:val="000E3B8A"/>
    <w:rsid w:val="000E3E97"/>
    <w:rsid w:val="000E4445"/>
    <w:rsid w:val="000E4670"/>
    <w:rsid w:val="000E46CA"/>
    <w:rsid w:val="000E4B3E"/>
    <w:rsid w:val="000E4BE9"/>
    <w:rsid w:val="000E4D3F"/>
    <w:rsid w:val="000E4DB4"/>
    <w:rsid w:val="000E4E73"/>
    <w:rsid w:val="000E4F84"/>
    <w:rsid w:val="000E506F"/>
    <w:rsid w:val="000E51D3"/>
    <w:rsid w:val="000E51D9"/>
    <w:rsid w:val="000E5445"/>
    <w:rsid w:val="000E578F"/>
    <w:rsid w:val="000E57AE"/>
    <w:rsid w:val="000E5947"/>
    <w:rsid w:val="000E5A90"/>
    <w:rsid w:val="000E5B58"/>
    <w:rsid w:val="000E5CD8"/>
    <w:rsid w:val="000E5E7E"/>
    <w:rsid w:val="000E6236"/>
    <w:rsid w:val="000E6346"/>
    <w:rsid w:val="000E6351"/>
    <w:rsid w:val="000E645C"/>
    <w:rsid w:val="000E6547"/>
    <w:rsid w:val="000E657A"/>
    <w:rsid w:val="000E6736"/>
    <w:rsid w:val="000E68CE"/>
    <w:rsid w:val="000E6F03"/>
    <w:rsid w:val="000E6F3B"/>
    <w:rsid w:val="000E6F49"/>
    <w:rsid w:val="000E7157"/>
    <w:rsid w:val="000E7174"/>
    <w:rsid w:val="000E71A9"/>
    <w:rsid w:val="000E71D0"/>
    <w:rsid w:val="000E757C"/>
    <w:rsid w:val="000E786C"/>
    <w:rsid w:val="000E7902"/>
    <w:rsid w:val="000F02EC"/>
    <w:rsid w:val="000F0681"/>
    <w:rsid w:val="000F0BDC"/>
    <w:rsid w:val="000F17B6"/>
    <w:rsid w:val="000F1AB0"/>
    <w:rsid w:val="000F1D96"/>
    <w:rsid w:val="000F1FFA"/>
    <w:rsid w:val="000F255C"/>
    <w:rsid w:val="000F271C"/>
    <w:rsid w:val="000F3281"/>
    <w:rsid w:val="000F345E"/>
    <w:rsid w:val="000F34B9"/>
    <w:rsid w:val="000F34D3"/>
    <w:rsid w:val="000F3975"/>
    <w:rsid w:val="000F3A41"/>
    <w:rsid w:val="000F3DCB"/>
    <w:rsid w:val="000F3DDA"/>
    <w:rsid w:val="000F3E54"/>
    <w:rsid w:val="000F4880"/>
    <w:rsid w:val="000F4AD0"/>
    <w:rsid w:val="000F4E2D"/>
    <w:rsid w:val="000F52C3"/>
    <w:rsid w:val="000F5752"/>
    <w:rsid w:val="000F57F5"/>
    <w:rsid w:val="000F5853"/>
    <w:rsid w:val="000F5D03"/>
    <w:rsid w:val="000F5D36"/>
    <w:rsid w:val="000F5DDA"/>
    <w:rsid w:val="000F600D"/>
    <w:rsid w:val="000F604F"/>
    <w:rsid w:val="000F612E"/>
    <w:rsid w:val="000F63A5"/>
    <w:rsid w:val="000F690E"/>
    <w:rsid w:val="000F6915"/>
    <w:rsid w:val="000F6DFF"/>
    <w:rsid w:val="000F6E1A"/>
    <w:rsid w:val="000F6E8B"/>
    <w:rsid w:val="000F703A"/>
    <w:rsid w:val="000F70C3"/>
    <w:rsid w:val="000F7119"/>
    <w:rsid w:val="000F75F6"/>
    <w:rsid w:val="000F774C"/>
    <w:rsid w:val="000F7AD0"/>
    <w:rsid w:val="000F7DCA"/>
    <w:rsid w:val="00100179"/>
    <w:rsid w:val="001005C3"/>
    <w:rsid w:val="001006D0"/>
    <w:rsid w:val="0010084B"/>
    <w:rsid w:val="00100B22"/>
    <w:rsid w:val="00100E6E"/>
    <w:rsid w:val="00100F56"/>
    <w:rsid w:val="0010103E"/>
    <w:rsid w:val="0010114E"/>
    <w:rsid w:val="00101414"/>
    <w:rsid w:val="001015D7"/>
    <w:rsid w:val="0010179B"/>
    <w:rsid w:val="00101CA3"/>
    <w:rsid w:val="00101DA3"/>
    <w:rsid w:val="00102031"/>
    <w:rsid w:val="001020B8"/>
    <w:rsid w:val="001023CD"/>
    <w:rsid w:val="001029DA"/>
    <w:rsid w:val="00102AFE"/>
    <w:rsid w:val="00102C44"/>
    <w:rsid w:val="00102C83"/>
    <w:rsid w:val="00102F9F"/>
    <w:rsid w:val="00103038"/>
    <w:rsid w:val="00103308"/>
    <w:rsid w:val="001036E7"/>
    <w:rsid w:val="00103886"/>
    <w:rsid w:val="00103B33"/>
    <w:rsid w:val="00103E37"/>
    <w:rsid w:val="001041BB"/>
    <w:rsid w:val="0010458A"/>
    <w:rsid w:val="001045A5"/>
    <w:rsid w:val="001045C5"/>
    <w:rsid w:val="0010497A"/>
    <w:rsid w:val="00104A41"/>
    <w:rsid w:val="00104C2F"/>
    <w:rsid w:val="001051BE"/>
    <w:rsid w:val="0010530C"/>
    <w:rsid w:val="00105683"/>
    <w:rsid w:val="001059A7"/>
    <w:rsid w:val="00105A7D"/>
    <w:rsid w:val="00105C9B"/>
    <w:rsid w:val="00105FBD"/>
    <w:rsid w:val="001060B8"/>
    <w:rsid w:val="001064B8"/>
    <w:rsid w:val="00106FA1"/>
    <w:rsid w:val="001070A9"/>
    <w:rsid w:val="001078A3"/>
    <w:rsid w:val="00107996"/>
    <w:rsid w:val="00107C14"/>
    <w:rsid w:val="00107C91"/>
    <w:rsid w:val="00107D5F"/>
    <w:rsid w:val="00107EE4"/>
    <w:rsid w:val="001104C3"/>
    <w:rsid w:val="0011068A"/>
    <w:rsid w:val="001106D7"/>
    <w:rsid w:val="001113C7"/>
    <w:rsid w:val="00111E6C"/>
    <w:rsid w:val="001123F8"/>
    <w:rsid w:val="0011241F"/>
    <w:rsid w:val="00112559"/>
    <w:rsid w:val="001127BD"/>
    <w:rsid w:val="00112D17"/>
    <w:rsid w:val="00112E5F"/>
    <w:rsid w:val="00113635"/>
    <w:rsid w:val="00113764"/>
    <w:rsid w:val="00113C31"/>
    <w:rsid w:val="00113CBB"/>
    <w:rsid w:val="00113D96"/>
    <w:rsid w:val="00113F3A"/>
    <w:rsid w:val="00113F79"/>
    <w:rsid w:val="001140EB"/>
    <w:rsid w:val="001141C3"/>
    <w:rsid w:val="0011497F"/>
    <w:rsid w:val="001149F4"/>
    <w:rsid w:val="00114A50"/>
    <w:rsid w:val="00114C29"/>
    <w:rsid w:val="00114C79"/>
    <w:rsid w:val="00114CF9"/>
    <w:rsid w:val="00114F02"/>
    <w:rsid w:val="00114F96"/>
    <w:rsid w:val="00114F9E"/>
    <w:rsid w:val="001154D5"/>
    <w:rsid w:val="00115646"/>
    <w:rsid w:val="0011565A"/>
    <w:rsid w:val="001159A7"/>
    <w:rsid w:val="00115F65"/>
    <w:rsid w:val="001162C1"/>
    <w:rsid w:val="00116505"/>
    <w:rsid w:val="00116D56"/>
    <w:rsid w:val="00116FCC"/>
    <w:rsid w:val="00117786"/>
    <w:rsid w:val="001177B6"/>
    <w:rsid w:val="00117E3F"/>
    <w:rsid w:val="00117E6D"/>
    <w:rsid w:val="0012032E"/>
    <w:rsid w:val="00120387"/>
    <w:rsid w:val="001207A9"/>
    <w:rsid w:val="001208CF"/>
    <w:rsid w:val="00120C01"/>
    <w:rsid w:val="00120DB8"/>
    <w:rsid w:val="00121132"/>
    <w:rsid w:val="001221AC"/>
    <w:rsid w:val="00122279"/>
    <w:rsid w:val="0012229F"/>
    <w:rsid w:val="001224F9"/>
    <w:rsid w:val="001226A4"/>
    <w:rsid w:val="00122C80"/>
    <w:rsid w:val="00122D1F"/>
    <w:rsid w:val="00122E90"/>
    <w:rsid w:val="001231CF"/>
    <w:rsid w:val="001233CC"/>
    <w:rsid w:val="001234D6"/>
    <w:rsid w:val="00123918"/>
    <w:rsid w:val="00123A4B"/>
    <w:rsid w:val="00123BB3"/>
    <w:rsid w:val="00123D31"/>
    <w:rsid w:val="00123DD1"/>
    <w:rsid w:val="00123DF1"/>
    <w:rsid w:val="00123DFF"/>
    <w:rsid w:val="001241D4"/>
    <w:rsid w:val="00124566"/>
    <w:rsid w:val="00124995"/>
    <w:rsid w:val="00124C0E"/>
    <w:rsid w:val="00124EEA"/>
    <w:rsid w:val="00124F9C"/>
    <w:rsid w:val="001252B5"/>
    <w:rsid w:val="00125469"/>
    <w:rsid w:val="001255D1"/>
    <w:rsid w:val="0012628C"/>
    <w:rsid w:val="0012652C"/>
    <w:rsid w:val="001265D3"/>
    <w:rsid w:val="001268C7"/>
    <w:rsid w:val="001269AB"/>
    <w:rsid w:val="00126AC3"/>
    <w:rsid w:val="00126B47"/>
    <w:rsid w:val="00126E9B"/>
    <w:rsid w:val="001271BD"/>
    <w:rsid w:val="00127480"/>
    <w:rsid w:val="001277C3"/>
    <w:rsid w:val="001277C8"/>
    <w:rsid w:val="001278F0"/>
    <w:rsid w:val="00127B6E"/>
    <w:rsid w:val="00127BF2"/>
    <w:rsid w:val="00127D5D"/>
    <w:rsid w:val="00130502"/>
    <w:rsid w:val="001306EB"/>
    <w:rsid w:val="00130846"/>
    <w:rsid w:val="001314D9"/>
    <w:rsid w:val="001314EB"/>
    <w:rsid w:val="001317F0"/>
    <w:rsid w:val="001319A0"/>
    <w:rsid w:val="00131BE6"/>
    <w:rsid w:val="00131CCD"/>
    <w:rsid w:val="00131CDF"/>
    <w:rsid w:val="00132268"/>
    <w:rsid w:val="001324A5"/>
    <w:rsid w:val="001326F4"/>
    <w:rsid w:val="001327DC"/>
    <w:rsid w:val="001329B0"/>
    <w:rsid w:val="001329C3"/>
    <w:rsid w:val="00132A59"/>
    <w:rsid w:val="00132B6F"/>
    <w:rsid w:val="00132C6A"/>
    <w:rsid w:val="00132CC5"/>
    <w:rsid w:val="00132DEC"/>
    <w:rsid w:val="00132DEF"/>
    <w:rsid w:val="00132ECD"/>
    <w:rsid w:val="00132F77"/>
    <w:rsid w:val="001333ED"/>
    <w:rsid w:val="00133AD2"/>
    <w:rsid w:val="00133AF6"/>
    <w:rsid w:val="00133EDE"/>
    <w:rsid w:val="00133EFF"/>
    <w:rsid w:val="00133FAF"/>
    <w:rsid w:val="0013404D"/>
    <w:rsid w:val="00134168"/>
    <w:rsid w:val="001341F8"/>
    <w:rsid w:val="001342DA"/>
    <w:rsid w:val="001342F1"/>
    <w:rsid w:val="00134382"/>
    <w:rsid w:val="0013446E"/>
    <w:rsid w:val="001344FA"/>
    <w:rsid w:val="0013471B"/>
    <w:rsid w:val="0013485C"/>
    <w:rsid w:val="00134A8E"/>
    <w:rsid w:val="00134AC7"/>
    <w:rsid w:val="00134CA6"/>
    <w:rsid w:val="00134ECE"/>
    <w:rsid w:val="00135007"/>
    <w:rsid w:val="00135380"/>
    <w:rsid w:val="001354AC"/>
    <w:rsid w:val="00135DA1"/>
    <w:rsid w:val="00135E51"/>
    <w:rsid w:val="00135FDA"/>
    <w:rsid w:val="00136092"/>
    <w:rsid w:val="0013624E"/>
    <w:rsid w:val="00136410"/>
    <w:rsid w:val="0013658E"/>
    <w:rsid w:val="001365D4"/>
    <w:rsid w:val="0013664E"/>
    <w:rsid w:val="00136699"/>
    <w:rsid w:val="00136879"/>
    <w:rsid w:val="00136ECF"/>
    <w:rsid w:val="00136F88"/>
    <w:rsid w:val="001373FD"/>
    <w:rsid w:val="0013755A"/>
    <w:rsid w:val="001375B1"/>
    <w:rsid w:val="001376AA"/>
    <w:rsid w:val="00137B07"/>
    <w:rsid w:val="00137E64"/>
    <w:rsid w:val="00137F26"/>
    <w:rsid w:val="0014051E"/>
    <w:rsid w:val="00140C64"/>
    <w:rsid w:val="00141133"/>
    <w:rsid w:val="00141665"/>
    <w:rsid w:val="00141CFE"/>
    <w:rsid w:val="001424F9"/>
    <w:rsid w:val="00142661"/>
    <w:rsid w:val="001428B2"/>
    <w:rsid w:val="00142C8D"/>
    <w:rsid w:val="00143927"/>
    <w:rsid w:val="00143B40"/>
    <w:rsid w:val="001445A0"/>
    <w:rsid w:val="00144748"/>
    <w:rsid w:val="001448B4"/>
    <w:rsid w:val="00144C04"/>
    <w:rsid w:val="00144CB8"/>
    <w:rsid w:val="00145070"/>
    <w:rsid w:val="001450DA"/>
    <w:rsid w:val="00145156"/>
    <w:rsid w:val="001458A8"/>
    <w:rsid w:val="00145A70"/>
    <w:rsid w:val="00145AC3"/>
    <w:rsid w:val="00145BE7"/>
    <w:rsid w:val="00145C4D"/>
    <w:rsid w:val="00145D85"/>
    <w:rsid w:val="001460CD"/>
    <w:rsid w:val="001466F1"/>
    <w:rsid w:val="00146ADF"/>
    <w:rsid w:val="00146E4B"/>
    <w:rsid w:val="0014712B"/>
    <w:rsid w:val="0014785B"/>
    <w:rsid w:val="00147AFF"/>
    <w:rsid w:val="00147D10"/>
    <w:rsid w:val="00147D8D"/>
    <w:rsid w:val="0015002F"/>
    <w:rsid w:val="001500B4"/>
    <w:rsid w:val="00150200"/>
    <w:rsid w:val="001503FD"/>
    <w:rsid w:val="001505B6"/>
    <w:rsid w:val="00150868"/>
    <w:rsid w:val="001509E0"/>
    <w:rsid w:val="00151588"/>
    <w:rsid w:val="00151607"/>
    <w:rsid w:val="001517D9"/>
    <w:rsid w:val="001517E7"/>
    <w:rsid w:val="001518E2"/>
    <w:rsid w:val="00151962"/>
    <w:rsid w:val="00151980"/>
    <w:rsid w:val="00151C13"/>
    <w:rsid w:val="001520E9"/>
    <w:rsid w:val="001522BC"/>
    <w:rsid w:val="001523A2"/>
    <w:rsid w:val="001528A2"/>
    <w:rsid w:val="00152BD4"/>
    <w:rsid w:val="00152BE7"/>
    <w:rsid w:val="00152C08"/>
    <w:rsid w:val="00152C51"/>
    <w:rsid w:val="00152CCA"/>
    <w:rsid w:val="00152CE7"/>
    <w:rsid w:val="00152D26"/>
    <w:rsid w:val="00152E71"/>
    <w:rsid w:val="00152F1F"/>
    <w:rsid w:val="00153013"/>
    <w:rsid w:val="001531AF"/>
    <w:rsid w:val="00153482"/>
    <w:rsid w:val="001535C4"/>
    <w:rsid w:val="001536CA"/>
    <w:rsid w:val="00153AE7"/>
    <w:rsid w:val="00153DED"/>
    <w:rsid w:val="00153EE1"/>
    <w:rsid w:val="00153FE1"/>
    <w:rsid w:val="0015405E"/>
    <w:rsid w:val="001540FF"/>
    <w:rsid w:val="0015411B"/>
    <w:rsid w:val="00154624"/>
    <w:rsid w:val="00154A4A"/>
    <w:rsid w:val="00154A7D"/>
    <w:rsid w:val="00154F1C"/>
    <w:rsid w:val="001552F8"/>
    <w:rsid w:val="001554AE"/>
    <w:rsid w:val="001559A3"/>
    <w:rsid w:val="00155A7B"/>
    <w:rsid w:val="00155D97"/>
    <w:rsid w:val="00155DFF"/>
    <w:rsid w:val="0015617F"/>
    <w:rsid w:val="0015620D"/>
    <w:rsid w:val="001562A4"/>
    <w:rsid w:val="00156650"/>
    <w:rsid w:val="001567DA"/>
    <w:rsid w:val="00156824"/>
    <w:rsid w:val="0015682B"/>
    <w:rsid w:val="00156AE3"/>
    <w:rsid w:val="00156F3B"/>
    <w:rsid w:val="0015701C"/>
    <w:rsid w:val="00157178"/>
    <w:rsid w:val="001573F2"/>
    <w:rsid w:val="00157889"/>
    <w:rsid w:val="001578CC"/>
    <w:rsid w:val="00157A9D"/>
    <w:rsid w:val="00157A9F"/>
    <w:rsid w:val="00157AEA"/>
    <w:rsid w:val="0016044B"/>
    <w:rsid w:val="0016049C"/>
    <w:rsid w:val="00160ADD"/>
    <w:rsid w:val="00160BFA"/>
    <w:rsid w:val="0016123D"/>
    <w:rsid w:val="001616FD"/>
    <w:rsid w:val="0016184E"/>
    <w:rsid w:val="00161C5A"/>
    <w:rsid w:val="001620FC"/>
    <w:rsid w:val="0016226F"/>
    <w:rsid w:val="0016231E"/>
    <w:rsid w:val="00162628"/>
    <w:rsid w:val="00162634"/>
    <w:rsid w:val="001626F2"/>
    <w:rsid w:val="001633CF"/>
    <w:rsid w:val="0016342F"/>
    <w:rsid w:val="00163673"/>
    <w:rsid w:val="001636B9"/>
    <w:rsid w:val="00163BC2"/>
    <w:rsid w:val="00163C93"/>
    <w:rsid w:val="001640DF"/>
    <w:rsid w:val="00164364"/>
    <w:rsid w:val="00164710"/>
    <w:rsid w:val="001648A9"/>
    <w:rsid w:val="00164A62"/>
    <w:rsid w:val="00164BCE"/>
    <w:rsid w:val="00164D53"/>
    <w:rsid w:val="00164EE9"/>
    <w:rsid w:val="0016516B"/>
    <w:rsid w:val="001652E9"/>
    <w:rsid w:val="0016534E"/>
    <w:rsid w:val="001653FB"/>
    <w:rsid w:val="0016554F"/>
    <w:rsid w:val="00165A08"/>
    <w:rsid w:val="00165A0C"/>
    <w:rsid w:val="00166460"/>
    <w:rsid w:val="00166A71"/>
    <w:rsid w:val="00166B70"/>
    <w:rsid w:val="00166CA3"/>
    <w:rsid w:val="00167027"/>
    <w:rsid w:val="0016703D"/>
    <w:rsid w:val="001703E6"/>
    <w:rsid w:val="001703FB"/>
    <w:rsid w:val="00170578"/>
    <w:rsid w:val="00170858"/>
    <w:rsid w:val="001710FF"/>
    <w:rsid w:val="001712A9"/>
    <w:rsid w:val="00172249"/>
    <w:rsid w:val="001722E0"/>
    <w:rsid w:val="00172677"/>
    <w:rsid w:val="00172C65"/>
    <w:rsid w:val="001731FE"/>
    <w:rsid w:val="001733B8"/>
    <w:rsid w:val="00173793"/>
    <w:rsid w:val="0017380E"/>
    <w:rsid w:val="00173A24"/>
    <w:rsid w:val="00173D86"/>
    <w:rsid w:val="0017419B"/>
    <w:rsid w:val="001742B7"/>
    <w:rsid w:val="0017457B"/>
    <w:rsid w:val="001745C0"/>
    <w:rsid w:val="0017493B"/>
    <w:rsid w:val="0017495C"/>
    <w:rsid w:val="00174B26"/>
    <w:rsid w:val="00174B2D"/>
    <w:rsid w:val="00174DEA"/>
    <w:rsid w:val="00174E14"/>
    <w:rsid w:val="00174F31"/>
    <w:rsid w:val="001750A0"/>
    <w:rsid w:val="0017513D"/>
    <w:rsid w:val="001754AF"/>
    <w:rsid w:val="00175666"/>
    <w:rsid w:val="001756A3"/>
    <w:rsid w:val="001756FF"/>
    <w:rsid w:val="00175D11"/>
    <w:rsid w:val="001761A0"/>
    <w:rsid w:val="00176508"/>
    <w:rsid w:val="001768CB"/>
    <w:rsid w:val="001768E5"/>
    <w:rsid w:val="00176F3A"/>
    <w:rsid w:val="0017709E"/>
    <w:rsid w:val="001777C5"/>
    <w:rsid w:val="0017783D"/>
    <w:rsid w:val="001779AC"/>
    <w:rsid w:val="00177B89"/>
    <w:rsid w:val="00177C49"/>
    <w:rsid w:val="00177E20"/>
    <w:rsid w:val="0017F3DD"/>
    <w:rsid w:val="001801DD"/>
    <w:rsid w:val="001801E4"/>
    <w:rsid w:val="0018041E"/>
    <w:rsid w:val="001804F0"/>
    <w:rsid w:val="001809B5"/>
    <w:rsid w:val="00180E79"/>
    <w:rsid w:val="001810C7"/>
    <w:rsid w:val="001810DB"/>
    <w:rsid w:val="00181756"/>
    <w:rsid w:val="0018179B"/>
    <w:rsid w:val="0018180C"/>
    <w:rsid w:val="001818CB"/>
    <w:rsid w:val="00181A41"/>
    <w:rsid w:val="00181C90"/>
    <w:rsid w:val="00181DFB"/>
    <w:rsid w:val="00181F57"/>
    <w:rsid w:val="00182010"/>
    <w:rsid w:val="0018249E"/>
    <w:rsid w:val="00182B15"/>
    <w:rsid w:val="00182B23"/>
    <w:rsid w:val="00182C5A"/>
    <w:rsid w:val="00182C72"/>
    <w:rsid w:val="00182CB5"/>
    <w:rsid w:val="00182DA9"/>
    <w:rsid w:val="00183129"/>
    <w:rsid w:val="00183132"/>
    <w:rsid w:val="00183303"/>
    <w:rsid w:val="00183476"/>
    <w:rsid w:val="00183AF4"/>
    <w:rsid w:val="00183E02"/>
    <w:rsid w:val="00183E0C"/>
    <w:rsid w:val="00184193"/>
    <w:rsid w:val="00184757"/>
    <w:rsid w:val="001852B8"/>
    <w:rsid w:val="001852BB"/>
    <w:rsid w:val="001854B5"/>
    <w:rsid w:val="00185588"/>
    <w:rsid w:val="001857C2"/>
    <w:rsid w:val="001859A9"/>
    <w:rsid w:val="00185BBA"/>
    <w:rsid w:val="00185D22"/>
    <w:rsid w:val="00185F29"/>
    <w:rsid w:val="00186318"/>
    <w:rsid w:val="00186392"/>
    <w:rsid w:val="001863B5"/>
    <w:rsid w:val="001866D5"/>
    <w:rsid w:val="0018698F"/>
    <w:rsid w:val="00186D40"/>
    <w:rsid w:val="00186FFC"/>
    <w:rsid w:val="00187150"/>
    <w:rsid w:val="00187292"/>
    <w:rsid w:val="00187834"/>
    <w:rsid w:val="00187E52"/>
    <w:rsid w:val="001900AC"/>
    <w:rsid w:val="001906C0"/>
    <w:rsid w:val="00190898"/>
    <w:rsid w:val="00190982"/>
    <w:rsid w:val="00190CA7"/>
    <w:rsid w:val="001917A6"/>
    <w:rsid w:val="00191F0A"/>
    <w:rsid w:val="0019245C"/>
    <w:rsid w:val="00192608"/>
    <w:rsid w:val="00192845"/>
    <w:rsid w:val="00192913"/>
    <w:rsid w:val="00192B63"/>
    <w:rsid w:val="00192F17"/>
    <w:rsid w:val="00193080"/>
    <w:rsid w:val="0019308E"/>
    <w:rsid w:val="001930D9"/>
    <w:rsid w:val="001933BE"/>
    <w:rsid w:val="001936F0"/>
    <w:rsid w:val="00194299"/>
    <w:rsid w:val="001942FB"/>
    <w:rsid w:val="001943C4"/>
    <w:rsid w:val="001943FC"/>
    <w:rsid w:val="001947AD"/>
    <w:rsid w:val="00194B79"/>
    <w:rsid w:val="00194BC9"/>
    <w:rsid w:val="00194F3F"/>
    <w:rsid w:val="00195118"/>
    <w:rsid w:val="001955C8"/>
    <w:rsid w:val="00195D54"/>
    <w:rsid w:val="00195EE7"/>
    <w:rsid w:val="001961B6"/>
    <w:rsid w:val="001962EA"/>
    <w:rsid w:val="00196397"/>
    <w:rsid w:val="001968F1"/>
    <w:rsid w:val="001969FC"/>
    <w:rsid w:val="00196A9E"/>
    <w:rsid w:val="00196BD3"/>
    <w:rsid w:val="00196D70"/>
    <w:rsid w:val="00196DCD"/>
    <w:rsid w:val="0019710E"/>
    <w:rsid w:val="00197302"/>
    <w:rsid w:val="00197346"/>
    <w:rsid w:val="0019738D"/>
    <w:rsid w:val="00197A0C"/>
    <w:rsid w:val="001A05AD"/>
    <w:rsid w:val="001A077F"/>
    <w:rsid w:val="001A0D6C"/>
    <w:rsid w:val="001A1048"/>
    <w:rsid w:val="001A10C0"/>
    <w:rsid w:val="001A18BA"/>
    <w:rsid w:val="001A18C1"/>
    <w:rsid w:val="001A1954"/>
    <w:rsid w:val="001A1DC8"/>
    <w:rsid w:val="001A1FDF"/>
    <w:rsid w:val="001A20B2"/>
    <w:rsid w:val="001A228F"/>
    <w:rsid w:val="001A2316"/>
    <w:rsid w:val="001A24B6"/>
    <w:rsid w:val="001A2948"/>
    <w:rsid w:val="001A3996"/>
    <w:rsid w:val="001A3A63"/>
    <w:rsid w:val="001A3BDE"/>
    <w:rsid w:val="001A3C4D"/>
    <w:rsid w:val="001A3ED4"/>
    <w:rsid w:val="001A3F5A"/>
    <w:rsid w:val="001A3FF8"/>
    <w:rsid w:val="001A40FA"/>
    <w:rsid w:val="001A423B"/>
    <w:rsid w:val="001A43B8"/>
    <w:rsid w:val="001A4495"/>
    <w:rsid w:val="001A472B"/>
    <w:rsid w:val="001A4BDE"/>
    <w:rsid w:val="001A51AB"/>
    <w:rsid w:val="001A5D2D"/>
    <w:rsid w:val="001A5D69"/>
    <w:rsid w:val="001A5DF0"/>
    <w:rsid w:val="001A5E95"/>
    <w:rsid w:val="001A605E"/>
    <w:rsid w:val="001A61B7"/>
    <w:rsid w:val="001A6551"/>
    <w:rsid w:val="001A6842"/>
    <w:rsid w:val="001A69FA"/>
    <w:rsid w:val="001A6BBE"/>
    <w:rsid w:val="001A7108"/>
    <w:rsid w:val="001A710F"/>
    <w:rsid w:val="001A7174"/>
    <w:rsid w:val="001A7745"/>
    <w:rsid w:val="001A7BE0"/>
    <w:rsid w:val="001A7E27"/>
    <w:rsid w:val="001B0081"/>
    <w:rsid w:val="001B0358"/>
    <w:rsid w:val="001B043A"/>
    <w:rsid w:val="001B0576"/>
    <w:rsid w:val="001B071E"/>
    <w:rsid w:val="001B07EF"/>
    <w:rsid w:val="001B0B41"/>
    <w:rsid w:val="001B0B8B"/>
    <w:rsid w:val="001B0BCF"/>
    <w:rsid w:val="001B122F"/>
    <w:rsid w:val="001B13AC"/>
    <w:rsid w:val="001B1758"/>
    <w:rsid w:val="001B1777"/>
    <w:rsid w:val="001B1926"/>
    <w:rsid w:val="001B1D30"/>
    <w:rsid w:val="001B1DBD"/>
    <w:rsid w:val="001B1E87"/>
    <w:rsid w:val="001B1ED3"/>
    <w:rsid w:val="001B1FD5"/>
    <w:rsid w:val="001B242C"/>
    <w:rsid w:val="001B25B9"/>
    <w:rsid w:val="001B2613"/>
    <w:rsid w:val="001B2670"/>
    <w:rsid w:val="001B2771"/>
    <w:rsid w:val="001B2A74"/>
    <w:rsid w:val="001B2AEA"/>
    <w:rsid w:val="001B2BB5"/>
    <w:rsid w:val="001B31CC"/>
    <w:rsid w:val="001B3551"/>
    <w:rsid w:val="001B35C0"/>
    <w:rsid w:val="001B3651"/>
    <w:rsid w:val="001B3F3B"/>
    <w:rsid w:val="001B47E8"/>
    <w:rsid w:val="001B47FE"/>
    <w:rsid w:val="001B48E3"/>
    <w:rsid w:val="001B48EC"/>
    <w:rsid w:val="001B4A29"/>
    <w:rsid w:val="001B50A2"/>
    <w:rsid w:val="001B552E"/>
    <w:rsid w:val="001B55DE"/>
    <w:rsid w:val="001B59C9"/>
    <w:rsid w:val="001B5A36"/>
    <w:rsid w:val="001B5B00"/>
    <w:rsid w:val="001B5B4C"/>
    <w:rsid w:val="001B5BBA"/>
    <w:rsid w:val="001B5BE8"/>
    <w:rsid w:val="001B5D54"/>
    <w:rsid w:val="001B61E7"/>
    <w:rsid w:val="001B6958"/>
    <w:rsid w:val="001B6CFE"/>
    <w:rsid w:val="001B6D8F"/>
    <w:rsid w:val="001B74D4"/>
    <w:rsid w:val="001B7617"/>
    <w:rsid w:val="001B7C42"/>
    <w:rsid w:val="001C0012"/>
    <w:rsid w:val="001C01C1"/>
    <w:rsid w:val="001C0325"/>
    <w:rsid w:val="001C03BE"/>
    <w:rsid w:val="001C0484"/>
    <w:rsid w:val="001C0DA3"/>
    <w:rsid w:val="001C0DCD"/>
    <w:rsid w:val="001C0E4D"/>
    <w:rsid w:val="001C128C"/>
    <w:rsid w:val="001C1979"/>
    <w:rsid w:val="001C1B92"/>
    <w:rsid w:val="001C2189"/>
    <w:rsid w:val="001C2271"/>
    <w:rsid w:val="001C22D7"/>
    <w:rsid w:val="001C266D"/>
    <w:rsid w:val="001C26F7"/>
    <w:rsid w:val="001C27B2"/>
    <w:rsid w:val="001C2CBC"/>
    <w:rsid w:val="001C2EB0"/>
    <w:rsid w:val="001C30B1"/>
    <w:rsid w:val="001C3124"/>
    <w:rsid w:val="001C3303"/>
    <w:rsid w:val="001C33BC"/>
    <w:rsid w:val="001C3E22"/>
    <w:rsid w:val="001C41FB"/>
    <w:rsid w:val="001C4341"/>
    <w:rsid w:val="001C4DB2"/>
    <w:rsid w:val="001C4F8D"/>
    <w:rsid w:val="001C51B8"/>
    <w:rsid w:val="001C5327"/>
    <w:rsid w:val="001C557B"/>
    <w:rsid w:val="001C55CB"/>
    <w:rsid w:val="001C5608"/>
    <w:rsid w:val="001C5625"/>
    <w:rsid w:val="001C5F1F"/>
    <w:rsid w:val="001C6268"/>
    <w:rsid w:val="001C66A3"/>
    <w:rsid w:val="001C67D0"/>
    <w:rsid w:val="001C6D1F"/>
    <w:rsid w:val="001C71A1"/>
    <w:rsid w:val="001C7296"/>
    <w:rsid w:val="001C72C6"/>
    <w:rsid w:val="001C74FE"/>
    <w:rsid w:val="001C7579"/>
    <w:rsid w:val="001C77C9"/>
    <w:rsid w:val="001C7CFF"/>
    <w:rsid w:val="001C7DA7"/>
    <w:rsid w:val="001C7E54"/>
    <w:rsid w:val="001C7F7C"/>
    <w:rsid w:val="001C7FF8"/>
    <w:rsid w:val="001D04CF"/>
    <w:rsid w:val="001D0A51"/>
    <w:rsid w:val="001D0ADD"/>
    <w:rsid w:val="001D0B2F"/>
    <w:rsid w:val="001D0D83"/>
    <w:rsid w:val="001D0EFB"/>
    <w:rsid w:val="001D172B"/>
    <w:rsid w:val="001D19AE"/>
    <w:rsid w:val="001D1BEF"/>
    <w:rsid w:val="001D1C83"/>
    <w:rsid w:val="001D1CC3"/>
    <w:rsid w:val="001D1F8D"/>
    <w:rsid w:val="001D2173"/>
    <w:rsid w:val="001D235C"/>
    <w:rsid w:val="001D241F"/>
    <w:rsid w:val="001D26A3"/>
    <w:rsid w:val="001D2969"/>
    <w:rsid w:val="001D2A1D"/>
    <w:rsid w:val="001D2C2F"/>
    <w:rsid w:val="001D2CF9"/>
    <w:rsid w:val="001D30F7"/>
    <w:rsid w:val="001D3338"/>
    <w:rsid w:val="001D348D"/>
    <w:rsid w:val="001D394B"/>
    <w:rsid w:val="001D39EB"/>
    <w:rsid w:val="001D3CB2"/>
    <w:rsid w:val="001D3D8E"/>
    <w:rsid w:val="001D3F49"/>
    <w:rsid w:val="001D4067"/>
    <w:rsid w:val="001D4205"/>
    <w:rsid w:val="001D448E"/>
    <w:rsid w:val="001D46F0"/>
    <w:rsid w:val="001D4790"/>
    <w:rsid w:val="001D4836"/>
    <w:rsid w:val="001D49E9"/>
    <w:rsid w:val="001D4BDF"/>
    <w:rsid w:val="001D4BE9"/>
    <w:rsid w:val="001D4C85"/>
    <w:rsid w:val="001D4CA6"/>
    <w:rsid w:val="001D4E3C"/>
    <w:rsid w:val="001D5006"/>
    <w:rsid w:val="001D535E"/>
    <w:rsid w:val="001D56E0"/>
    <w:rsid w:val="001D57BA"/>
    <w:rsid w:val="001D589B"/>
    <w:rsid w:val="001D5BD9"/>
    <w:rsid w:val="001D5E4C"/>
    <w:rsid w:val="001D61B7"/>
    <w:rsid w:val="001D621D"/>
    <w:rsid w:val="001D6273"/>
    <w:rsid w:val="001D65D7"/>
    <w:rsid w:val="001D6AF9"/>
    <w:rsid w:val="001D6E30"/>
    <w:rsid w:val="001D6F27"/>
    <w:rsid w:val="001D7074"/>
    <w:rsid w:val="001D7216"/>
    <w:rsid w:val="001D730B"/>
    <w:rsid w:val="001D791C"/>
    <w:rsid w:val="001D79DB"/>
    <w:rsid w:val="001D7BCF"/>
    <w:rsid w:val="001E00F8"/>
    <w:rsid w:val="001E05F1"/>
    <w:rsid w:val="001E06EC"/>
    <w:rsid w:val="001E077C"/>
    <w:rsid w:val="001E09B5"/>
    <w:rsid w:val="001E0B55"/>
    <w:rsid w:val="001E0D1D"/>
    <w:rsid w:val="001E0E25"/>
    <w:rsid w:val="001E0EB4"/>
    <w:rsid w:val="001E0EFB"/>
    <w:rsid w:val="001E0FF3"/>
    <w:rsid w:val="001E1094"/>
    <w:rsid w:val="001E11B0"/>
    <w:rsid w:val="001E1219"/>
    <w:rsid w:val="001E1610"/>
    <w:rsid w:val="001E1668"/>
    <w:rsid w:val="001E1B34"/>
    <w:rsid w:val="001E1C2D"/>
    <w:rsid w:val="001E1DF4"/>
    <w:rsid w:val="001E23F3"/>
    <w:rsid w:val="001E252B"/>
    <w:rsid w:val="001E271C"/>
    <w:rsid w:val="001E29EE"/>
    <w:rsid w:val="001E2DA0"/>
    <w:rsid w:val="001E2DD0"/>
    <w:rsid w:val="001E2FD0"/>
    <w:rsid w:val="001E323C"/>
    <w:rsid w:val="001E3435"/>
    <w:rsid w:val="001E3520"/>
    <w:rsid w:val="001E37A8"/>
    <w:rsid w:val="001E3A81"/>
    <w:rsid w:val="001E3B4F"/>
    <w:rsid w:val="001E3D69"/>
    <w:rsid w:val="001E411D"/>
    <w:rsid w:val="001E44FC"/>
    <w:rsid w:val="001E4692"/>
    <w:rsid w:val="001E476E"/>
    <w:rsid w:val="001E4B50"/>
    <w:rsid w:val="001E4B63"/>
    <w:rsid w:val="001E4D56"/>
    <w:rsid w:val="001E4ED5"/>
    <w:rsid w:val="001E4F33"/>
    <w:rsid w:val="001E5AE9"/>
    <w:rsid w:val="001E6009"/>
    <w:rsid w:val="001E6247"/>
    <w:rsid w:val="001E6351"/>
    <w:rsid w:val="001E6432"/>
    <w:rsid w:val="001E653B"/>
    <w:rsid w:val="001E6CDB"/>
    <w:rsid w:val="001E724A"/>
    <w:rsid w:val="001E728B"/>
    <w:rsid w:val="001E78E7"/>
    <w:rsid w:val="001E7FD3"/>
    <w:rsid w:val="001F01E2"/>
    <w:rsid w:val="001F024C"/>
    <w:rsid w:val="001F0415"/>
    <w:rsid w:val="001F0442"/>
    <w:rsid w:val="001F070F"/>
    <w:rsid w:val="001F084C"/>
    <w:rsid w:val="001F08AB"/>
    <w:rsid w:val="001F090F"/>
    <w:rsid w:val="001F098D"/>
    <w:rsid w:val="001F0F3B"/>
    <w:rsid w:val="001F10E4"/>
    <w:rsid w:val="001F1170"/>
    <w:rsid w:val="001F11BD"/>
    <w:rsid w:val="001F15E5"/>
    <w:rsid w:val="001F289F"/>
    <w:rsid w:val="001F2BDA"/>
    <w:rsid w:val="001F3D44"/>
    <w:rsid w:val="001F4062"/>
    <w:rsid w:val="001F4633"/>
    <w:rsid w:val="001F46BD"/>
    <w:rsid w:val="001F4BBB"/>
    <w:rsid w:val="001F4E73"/>
    <w:rsid w:val="001F5199"/>
    <w:rsid w:val="001F53EC"/>
    <w:rsid w:val="001F5806"/>
    <w:rsid w:val="001F5923"/>
    <w:rsid w:val="001F59FC"/>
    <w:rsid w:val="001F5D4A"/>
    <w:rsid w:val="001F5D81"/>
    <w:rsid w:val="001F5E62"/>
    <w:rsid w:val="001F5EE6"/>
    <w:rsid w:val="001F5FE7"/>
    <w:rsid w:val="001F622C"/>
    <w:rsid w:val="001F64CD"/>
    <w:rsid w:val="001F670D"/>
    <w:rsid w:val="001F680F"/>
    <w:rsid w:val="001F6818"/>
    <w:rsid w:val="001F6A38"/>
    <w:rsid w:val="001F6A76"/>
    <w:rsid w:val="001F6E66"/>
    <w:rsid w:val="001F76C5"/>
    <w:rsid w:val="001F78BC"/>
    <w:rsid w:val="001F7C50"/>
    <w:rsid w:val="001F7CCF"/>
    <w:rsid w:val="001F7D50"/>
    <w:rsid w:val="001F7F92"/>
    <w:rsid w:val="00200351"/>
    <w:rsid w:val="0020058A"/>
    <w:rsid w:val="00200591"/>
    <w:rsid w:val="002006FB"/>
    <w:rsid w:val="0020080E"/>
    <w:rsid w:val="00200B19"/>
    <w:rsid w:val="00200B45"/>
    <w:rsid w:val="00200F19"/>
    <w:rsid w:val="00201274"/>
    <w:rsid w:val="0020127D"/>
    <w:rsid w:val="00202533"/>
    <w:rsid w:val="00202660"/>
    <w:rsid w:val="00202B21"/>
    <w:rsid w:val="00203867"/>
    <w:rsid w:val="00203A1A"/>
    <w:rsid w:val="00203D9C"/>
    <w:rsid w:val="00203F28"/>
    <w:rsid w:val="00204499"/>
    <w:rsid w:val="00204796"/>
    <w:rsid w:val="00204BDD"/>
    <w:rsid w:val="00204C66"/>
    <w:rsid w:val="002050F9"/>
    <w:rsid w:val="002051BB"/>
    <w:rsid w:val="002053D2"/>
    <w:rsid w:val="0020553D"/>
    <w:rsid w:val="00205B45"/>
    <w:rsid w:val="00205C0D"/>
    <w:rsid w:val="00205E96"/>
    <w:rsid w:val="0020660C"/>
    <w:rsid w:val="00206A6B"/>
    <w:rsid w:val="00206BAE"/>
    <w:rsid w:val="00206FB2"/>
    <w:rsid w:val="002076B9"/>
    <w:rsid w:val="00207889"/>
    <w:rsid w:val="00207AF3"/>
    <w:rsid w:val="00207C19"/>
    <w:rsid w:val="0021011A"/>
    <w:rsid w:val="0021014E"/>
    <w:rsid w:val="002109F3"/>
    <w:rsid w:val="00210BA3"/>
    <w:rsid w:val="00210C46"/>
    <w:rsid w:val="00210D7F"/>
    <w:rsid w:val="00210F8B"/>
    <w:rsid w:val="0021127C"/>
    <w:rsid w:val="002112C2"/>
    <w:rsid w:val="0021138B"/>
    <w:rsid w:val="00211A39"/>
    <w:rsid w:val="00211F3F"/>
    <w:rsid w:val="0021215C"/>
    <w:rsid w:val="002124E5"/>
    <w:rsid w:val="002126E8"/>
    <w:rsid w:val="00212702"/>
    <w:rsid w:val="00212D6A"/>
    <w:rsid w:val="00213104"/>
    <w:rsid w:val="0021310B"/>
    <w:rsid w:val="00213433"/>
    <w:rsid w:val="0021349A"/>
    <w:rsid w:val="002135B1"/>
    <w:rsid w:val="00213C82"/>
    <w:rsid w:val="00213EB4"/>
    <w:rsid w:val="00214058"/>
    <w:rsid w:val="002141E3"/>
    <w:rsid w:val="002144C4"/>
    <w:rsid w:val="00214677"/>
    <w:rsid w:val="00214B92"/>
    <w:rsid w:val="00214C9C"/>
    <w:rsid w:val="00214D33"/>
    <w:rsid w:val="0021515B"/>
    <w:rsid w:val="002157ED"/>
    <w:rsid w:val="00215FA7"/>
    <w:rsid w:val="002161C6"/>
    <w:rsid w:val="00216270"/>
    <w:rsid w:val="00216969"/>
    <w:rsid w:val="00216A57"/>
    <w:rsid w:val="00216DB5"/>
    <w:rsid w:val="00216F25"/>
    <w:rsid w:val="00217101"/>
    <w:rsid w:val="002172FA"/>
    <w:rsid w:val="002177BB"/>
    <w:rsid w:val="00217834"/>
    <w:rsid w:val="00217C4D"/>
    <w:rsid w:val="00217D13"/>
    <w:rsid w:val="00217D97"/>
    <w:rsid w:val="00217EF1"/>
    <w:rsid w:val="00220597"/>
    <w:rsid w:val="00220698"/>
    <w:rsid w:val="00220D0F"/>
    <w:rsid w:val="00220D90"/>
    <w:rsid w:val="00220DE4"/>
    <w:rsid w:val="002212B9"/>
    <w:rsid w:val="00221573"/>
    <w:rsid w:val="00221632"/>
    <w:rsid w:val="00221876"/>
    <w:rsid w:val="0022196E"/>
    <w:rsid w:val="00221E2B"/>
    <w:rsid w:val="00221E32"/>
    <w:rsid w:val="00221E96"/>
    <w:rsid w:val="00222344"/>
    <w:rsid w:val="0022278B"/>
    <w:rsid w:val="00222963"/>
    <w:rsid w:val="002229C3"/>
    <w:rsid w:val="002229DE"/>
    <w:rsid w:val="00222C22"/>
    <w:rsid w:val="00222C78"/>
    <w:rsid w:val="00222D1B"/>
    <w:rsid w:val="00222D9B"/>
    <w:rsid w:val="00222E49"/>
    <w:rsid w:val="00222EE6"/>
    <w:rsid w:val="00223160"/>
    <w:rsid w:val="00223553"/>
    <w:rsid w:val="002239CC"/>
    <w:rsid w:val="00223B50"/>
    <w:rsid w:val="00223DC6"/>
    <w:rsid w:val="00223E81"/>
    <w:rsid w:val="002240EC"/>
    <w:rsid w:val="00224183"/>
    <w:rsid w:val="002245D3"/>
    <w:rsid w:val="002247E4"/>
    <w:rsid w:val="002248C8"/>
    <w:rsid w:val="0022490B"/>
    <w:rsid w:val="0022494D"/>
    <w:rsid w:val="00224A8B"/>
    <w:rsid w:val="0022533F"/>
    <w:rsid w:val="0022539D"/>
    <w:rsid w:val="002253C4"/>
    <w:rsid w:val="002257C8"/>
    <w:rsid w:val="00225B63"/>
    <w:rsid w:val="00225BFB"/>
    <w:rsid w:val="00225EF9"/>
    <w:rsid w:val="00226115"/>
    <w:rsid w:val="00226285"/>
    <w:rsid w:val="0022680B"/>
    <w:rsid w:val="002268FB"/>
    <w:rsid w:val="00226B54"/>
    <w:rsid w:val="00226BC5"/>
    <w:rsid w:val="00226C3D"/>
    <w:rsid w:val="00226D77"/>
    <w:rsid w:val="00227257"/>
    <w:rsid w:val="0022728F"/>
    <w:rsid w:val="0022759A"/>
    <w:rsid w:val="002276F7"/>
    <w:rsid w:val="00227B91"/>
    <w:rsid w:val="00227E63"/>
    <w:rsid w:val="00227F34"/>
    <w:rsid w:val="00227FDB"/>
    <w:rsid w:val="0023004B"/>
    <w:rsid w:val="002301D6"/>
    <w:rsid w:val="002306D2"/>
    <w:rsid w:val="002308F7"/>
    <w:rsid w:val="00230BC5"/>
    <w:rsid w:val="00230C61"/>
    <w:rsid w:val="00230CB7"/>
    <w:rsid w:val="00230E6E"/>
    <w:rsid w:val="00230F1C"/>
    <w:rsid w:val="002311E9"/>
    <w:rsid w:val="00231EBC"/>
    <w:rsid w:val="00232249"/>
    <w:rsid w:val="0023230D"/>
    <w:rsid w:val="00232696"/>
    <w:rsid w:val="00232779"/>
    <w:rsid w:val="00232E5E"/>
    <w:rsid w:val="00232F19"/>
    <w:rsid w:val="00233256"/>
    <w:rsid w:val="00233990"/>
    <w:rsid w:val="002339B7"/>
    <w:rsid w:val="00233C68"/>
    <w:rsid w:val="00233ECE"/>
    <w:rsid w:val="00233FB9"/>
    <w:rsid w:val="00234012"/>
    <w:rsid w:val="002343DB"/>
    <w:rsid w:val="002344BA"/>
    <w:rsid w:val="002345DC"/>
    <w:rsid w:val="0023465B"/>
    <w:rsid w:val="002346A6"/>
    <w:rsid w:val="00234C5B"/>
    <w:rsid w:val="00235051"/>
    <w:rsid w:val="0023507D"/>
    <w:rsid w:val="002358BB"/>
    <w:rsid w:val="00235B6E"/>
    <w:rsid w:val="00235BDE"/>
    <w:rsid w:val="00236150"/>
    <w:rsid w:val="002364E2"/>
    <w:rsid w:val="002365D3"/>
    <w:rsid w:val="002368DA"/>
    <w:rsid w:val="00236A3E"/>
    <w:rsid w:val="00236BDA"/>
    <w:rsid w:val="00236C1E"/>
    <w:rsid w:val="00236C99"/>
    <w:rsid w:val="00236DA6"/>
    <w:rsid w:val="00236DAB"/>
    <w:rsid w:val="00236E6D"/>
    <w:rsid w:val="00236EDD"/>
    <w:rsid w:val="00236EF6"/>
    <w:rsid w:val="00236EFF"/>
    <w:rsid w:val="00236F3E"/>
    <w:rsid w:val="002372E9"/>
    <w:rsid w:val="0023741B"/>
    <w:rsid w:val="0023745E"/>
    <w:rsid w:val="002378CA"/>
    <w:rsid w:val="00237D49"/>
    <w:rsid w:val="00237DB7"/>
    <w:rsid w:val="00240245"/>
    <w:rsid w:val="00240384"/>
    <w:rsid w:val="002404B4"/>
    <w:rsid w:val="002405D9"/>
    <w:rsid w:val="00240647"/>
    <w:rsid w:val="00240AB1"/>
    <w:rsid w:val="00241037"/>
    <w:rsid w:val="00241405"/>
    <w:rsid w:val="002416C3"/>
    <w:rsid w:val="00241A23"/>
    <w:rsid w:val="00241B72"/>
    <w:rsid w:val="00241D43"/>
    <w:rsid w:val="00241F88"/>
    <w:rsid w:val="00242415"/>
    <w:rsid w:val="002427EC"/>
    <w:rsid w:val="00242853"/>
    <w:rsid w:val="0024288A"/>
    <w:rsid w:val="00242904"/>
    <w:rsid w:val="00242A0B"/>
    <w:rsid w:val="00242AB7"/>
    <w:rsid w:val="00243531"/>
    <w:rsid w:val="00243655"/>
    <w:rsid w:val="002436EC"/>
    <w:rsid w:val="00243D14"/>
    <w:rsid w:val="00243E5C"/>
    <w:rsid w:val="0024406D"/>
    <w:rsid w:val="002441AE"/>
    <w:rsid w:val="002444E2"/>
    <w:rsid w:val="00244508"/>
    <w:rsid w:val="00244698"/>
    <w:rsid w:val="002446BD"/>
    <w:rsid w:val="00245004"/>
    <w:rsid w:val="002452E5"/>
    <w:rsid w:val="002453F5"/>
    <w:rsid w:val="00245672"/>
    <w:rsid w:val="00245AA3"/>
    <w:rsid w:val="00245DD0"/>
    <w:rsid w:val="00245E63"/>
    <w:rsid w:val="00245FB2"/>
    <w:rsid w:val="0024608F"/>
    <w:rsid w:val="00246131"/>
    <w:rsid w:val="002461EB"/>
    <w:rsid w:val="00246797"/>
    <w:rsid w:val="00246875"/>
    <w:rsid w:val="00246EE6"/>
    <w:rsid w:val="00246FC6"/>
    <w:rsid w:val="00247068"/>
    <w:rsid w:val="0024781C"/>
    <w:rsid w:val="00247A98"/>
    <w:rsid w:val="00247CED"/>
    <w:rsid w:val="00247E83"/>
    <w:rsid w:val="0025005B"/>
    <w:rsid w:val="002502A5"/>
    <w:rsid w:val="002507A5"/>
    <w:rsid w:val="002508E9"/>
    <w:rsid w:val="00250D2B"/>
    <w:rsid w:val="00250DC1"/>
    <w:rsid w:val="00250E20"/>
    <w:rsid w:val="00251665"/>
    <w:rsid w:val="002517FB"/>
    <w:rsid w:val="00251A44"/>
    <w:rsid w:val="00251AEC"/>
    <w:rsid w:val="00251F96"/>
    <w:rsid w:val="00252473"/>
    <w:rsid w:val="00252627"/>
    <w:rsid w:val="002527FF"/>
    <w:rsid w:val="00252C72"/>
    <w:rsid w:val="00252C8A"/>
    <w:rsid w:val="00252D09"/>
    <w:rsid w:val="002536BB"/>
    <w:rsid w:val="00253954"/>
    <w:rsid w:val="002539A0"/>
    <w:rsid w:val="00253D26"/>
    <w:rsid w:val="00253E1C"/>
    <w:rsid w:val="00253F5F"/>
    <w:rsid w:val="00254277"/>
    <w:rsid w:val="002544A5"/>
    <w:rsid w:val="00254502"/>
    <w:rsid w:val="0025462E"/>
    <w:rsid w:val="00254B81"/>
    <w:rsid w:val="00255027"/>
    <w:rsid w:val="0025503D"/>
    <w:rsid w:val="00255264"/>
    <w:rsid w:val="0025547A"/>
    <w:rsid w:val="00255494"/>
    <w:rsid w:val="00255671"/>
    <w:rsid w:val="002557FE"/>
    <w:rsid w:val="0025581C"/>
    <w:rsid w:val="00255B15"/>
    <w:rsid w:val="00255B92"/>
    <w:rsid w:val="00255DB0"/>
    <w:rsid w:val="00255DEB"/>
    <w:rsid w:val="00255F5E"/>
    <w:rsid w:val="002562DB"/>
    <w:rsid w:val="00256932"/>
    <w:rsid w:val="002569C6"/>
    <w:rsid w:val="00256A49"/>
    <w:rsid w:val="00256DC1"/>
    <w:rsid w:val="00256EDC"/>
    <w:rsid w:val="00256FA7"/>
    <w:rsid w:val="0025759D"/>
    <w:rsid w:val="00257653"/>
    <w:rsid w:val="00257C0B"/>
    <w:rsid w:val="00257C45"/>
    <w:rsid w:val="00257DDF"/>
    <w:rsid w:val="00257E99"/>
    <w:rsid w:val="00257FF1"/>
    <w:rsid w:val="002606DA"/>
    <w:rsid w:val="0026081A"/>
    <w:rsid w:val="00260836"/>
    <w:rsid w:val="002609B0"/>
    <w:rsid w:val="00260A12"/>
    <w:rsid w:val="002610E6"/>
    <w:rsid w:val="00261128"/>
    <w:rsid w:val="00261265"/>
    <w:rsid w:val="0026143F"/>
    <w:rsid w:val="0026176E"/>
    <w:rsid w:val="0026184E"/>
    <w:rsid w:val="00261907"/>
    <w:rsid w:val="00261BD7"/>
    <w:rsid w:val="00261DC1"/>
    <w:rsid w:val="00261F17"/>
    <w:rsid w:val="00261FDB"/>
    <w:rsid w:val="002622FA"/>
    <w:rsid w:val="00262BE4"/>
    <w:rsid w:val="00262EC6"/>
    <w:rsid w:val="002634BB"/>
    <w:rsid w:val="002636D6"/>
    <w:rsid w:val="00264068"/>
    <w:rsid w:val="00264279"/>
    <w:rsid w:val="0026429F"/>
    <w:rsid w:val="002646AD"/>
    <w:rsid w:val="002646B0"/>
    <w:rsid w:val="002647B8"/>
    <w:rsid w:val="002648CE"/>
    <w:rsid w:val="00264A0E"/>
    <w:rsid w:val="00264F97"/>
    <w:rsid w:val="00265134"/>
    <w:rsid w:val="002652F6"/>
    <w:rsid w:val="00265F09"/>
    <w:rsid w:val="002665CB"/>
    <w:rsid w:val="00266895"/>
    <w:rsid w:val="00266C68"/>
    <w:rsid w:val="00266D02"/>
    <w:rsid w:val="00266DEF"/>
    <w:rsid w:val="002671F4"/>
    <w:rsid w:val="00267CA6"/>
    <w:rsid w:val="00267F19"/>
    <w:rsid w:val="00270113"/>
    <w:rsid w:val="0027056A"/>
    <w:rsid w:val="00270661"/>
    <w:rsid w:val="00270791"/>
    <w:rsid w:val="0027126C"/>
    <w:rsid w:val="002713B7"/>
    <w:rsid w:val="00271608"/>
    <w:rsid w:val="00271991"/>
    <w:rsid w:val="00271D70"/>
    <w:rsid w:val="0027203B"/>
    <w:rsid w:val="00272195"/>
    <w:rsid w:val="002721EA"/>
    <w:rsid w:val="002722D0"/>
    <w:rsid w:val="002726A6"/>
    <w:rsid w:val="00272739"/>
    <w:rsid w:val="0027290F"/>
    <w:rsid w:val="00273237"/>
    <w:rsid w:val="00273721"/>
    <w:rsid w:val="00273A11"/>
    <w:rsid w:val="00273C64"/>
    <w:rsid w:val="002741C3"/>
    <w:rsid w:val="0027481F"/>
    <w:rsid w:val="002748F8"/>
    <w:rsid w:val="00274B66"/>
    <w:rsid w:val="00275106"/>
    <w:rsid w:val="00275323"/>
    <w:rsid w:val="0027545A"/>
    <w:rsid w:val="00275598"/>
    <w:rsid w:val="0027567F"/>
    <w:rsid w:val="002756B1"/>
    <w:rsid w:val="00275A23"/>
    <w:rsid w:val="00275D73"/>
    <w:rsid w:val="00275D7B"/>
    <w:rsid w:val="00276016"/>
    <w:rsid w:val="002765AA"/>
    <w:rsid w:val="00276AB3"/>
    <w:rsid w:val="00276B79"/>
    <w:rsid w:val="00276D59"/>
    <w:rsid w:val="00276E13"/>
    <w:rsid w:val="00276F80"/>
    <w:rsid w:val="00276F94"/>
    <w:rsid w:val="002770CB"/>
    <w:rsid w:val="002772B3"/>
    <w:rsid w:val="00277448"/>
    <w:rsid w:val="0027757F"/>
    <w:rsid w:val="002779D4"/>
    <w:rsid w:val="00277FA6"/>
    <w:rsid w:val="002801E4"/>
    <w:rsid w:val="002804D4"/>
    <w:rsid w:val="0028056F"/>
    <w:rsid w:val="0028084A"/>
    <w:rsid w:val="00280C0D"/>
    <w:rsid w:val="00280F6F"/>
    <w:rsid w:val="0028115B"/>
    <w:rsid w:val="00281179"/>
    <w:rsid w:val="002811AF"/>
    <w:rsid w:val="0028171C"/>
    <w:rsid w:val="00281885"/>
    <w:rsid w:val="00281B34"/>
    <w:rsid w:val="00281C96"/>
    <w:rsid w:val="00281EFF"/>
    <w:rsid w:val="00281F8C"/>
    <w:rsid w:val="002820AB"/>
    <w:rsid w:val="0028214B"/>
    <w:rsid w:val="002823D7"/>
    <w:rsid w:val="00282494"/>
    <w:rsid w:val="002827E3"/>
    <w:rsid w:val="00282806"/>
    <w:rsid w:val="00282D7B"/>
    <w:rsid w:val="00282F43"/>
    <w:rsid w:val="00282FCF"/>
    <w:rsid w:val="002830CE"/>
    <w:rsid w:val="00283566"/>
    <w:rsid w:val="002835D2"/>
    <w:rsid w:val="00283E94"/>
    <w:rsid w:val="0028403E"/>
    <w:rsid w:val="00284100"/>
    <w:rsid w:val="002843CD"/>
    <w:rsid w:val="002846CA"/>
    <w:rsid w:val="00284835"/>
    <w:rsid w:val="00284AF2"/>
    <w:rsid w:val="00284F79"/>
    <w:rsid w:val="002850CB"/>
    <w:rsid w:val="002850FD"/>
    <w:rsid w:val="0028514F"/>
    <w:rsid w:val="00285208"/>
    <w:rsid w:val="002853A6"/>
    <w:rsid w:val="002855CC"/>
    <w:rsid w:val="002861BE"/>
    <w:rsid w:val="00286287"/>
    <w:rsid w:val="002863F0"/>
    <w:rsid w:val="002864BD"/>
    <w:rsid w:val="00286500"/>
    <w:rsid w:val="002865CE"/>
    <w:rsid w:val="00286984"/>
    <w:rsid w:val="00286ABD"/>
    <w:rsid w:val="00286AED"/>
    <w:rsid w:val="00287409"/>
    <w:rsid w:val="002877DA"/>
    <w:rsid w:val="00287D43"/>
    <w:rsid w:val="002901C3"/>
    <w:rsid w:val="002901CD"/>
    <w:rsid w:val="00290672"/>
    <w:rsid w:val="00290799"/>
    <w:rsid w:val="0029091F"/>
    <w:rsid w:val="00290B98"/>
    <w:rsid w:val="00290C42"/>
    <w:rsid w:val="00290CA6"/>
    <w:rsid w:val="002910F9"/>
    <w:rsid w:val="00291392"/>
    <w:rsid w:val="00291448"/>
    <w:rsid w:val="00291574"/>
    <w:rsid w:val="00291886"/>
    <w:rsid w:val="0029191C"/>
    <w:rsid w:val="00291B8D"/>
    <w:rsid w:val="0029269D"/>
    <w:rsid w:val="002927C2"/>
    <w:rsid w:val="00292E3A"/>
    <w:rsid w:val="00293165"/>
    <w:rsid w:val="00293374"/>
    <w:rsid w:val="00293747"/>
    <w:rsid w:val="00293920"/>
    <w:rsid w:val="00293988"/>
    <w:rsid w:val="002939C9"/>
    <w:rsid w:val="00293F07"/>
    <w:rsid w:val="0029404D"/>
    <w:rsid w:val="00294569"/>
    <w:rsid w:val="002945BD"/>
    <w:rsid w:val="0029465C"/>
    <w:rsid w:val="00294980"/>
    <w:rsid w:val="00294B0E"/>
    <w:rsid w:val="00294BA5"/>
    <w:rsid w:val="00294FD5"/>
    <w:rsid w:val="002950F2"/>
    <w:rsid w:val="00295468"/>
    <w:rsid w:val="0029547F"/>
    <w:rsid w:val="00295623"/>
    <w:rsid w:val="00295923"/>
    <w:rsid w:val="00295995"/>
    <w:rsid w:val="002959F2"/>
    <w:rsid w:val="00295AF8"/>
    <w:rsid w:val="00295EC1"/>
    <w:rsid w:val="00295FDF"/>
    <w:rsid w:val="002966C3"/>
    <w:rsid w:val="002967DF"/>
    <w:rsid w:val="0029698A"/>
    <w:rsid w:val="00296C8E"/>
    <w:rsid w:val="00296C94"/>
    <w:rsid w:val="00296D11"/>
    <w:rsid w:val="00296D76"/>
    <w:rsid w:val="00296E3B"/>
    <w:rsid w:val="00296E6C"/>
    <w:rsid w:val="00297354"/>
    <w:rsid w:val="00297579"/>
    <w:rsid w:val="002978EA"/>
    <w:rsid w:val="00297A57"/>
    <w:rsid w:val="002A0054"/>
    <w:rsid w:val="002A026A"/>
    <w:rsid w:val="002A0877"/>
    <w:rsid w:val="002A0A34"/>
    <w:rsid w:val="002A0A46"/>
    <w:rsid w:val="002A0C66"/>
    <w:rsid w:val="002A0CD4"/>
    <w:rsid w:val="002A0EDD"/>
    <w:rsid w:val="002A0FCD"/>
    <w:rsid w:val="002A16F4"/>
    <w:rsid w:val="002A1BE7"/>
    <w:rsid w:val="002A1E3A"/>
    <w:rsid w:val="002A2074"/>
    <w:rsid w:val="002A244C"/>
    <w:rsid w:val="002A247C"/>
    <w:rsid w:val="002A2489"/>
    <w:rsid w:val="002A24B3"/>
    <w:rsid w:val="002A2861"/>
    <w:rsid w:val="002A2A24"/>
    <w:rsid w:val="002A2C2A"/>
    <w:rsid w:val="002A3591"/>
    <w:rsid w:val="002A36A9"/>
    <w:rsid w:val="002A460C"/>
    <w:rsid w:val="002A46E2"/>
    <w:rsid w:val="002A4C87"/>
    <w:rsid w:val="002A502F"/>
    <w:rsid w:val="002A5061"/>
    <w:rsid w:val="002A5106"/>
    <w:rsid w:val="002A53EE"/>
    <w:rsid w:val="002A548E"/>
    <w:rsid w:val="002A54B4"/>
    <w:rsid w:val="002A5507"/>
    <w:rsid w:val="002A5569"/>
    <w:rsid w:val="002A56A0"/>
    <w:rsid w:val="002A5739"/>
    <w:rsid w:val="002A57C1"/>
    <w:rsid w:val="002A58E7"/>
    <w:rsid w:val="002A58FF"/>
    <w:rsid w:val="002A5B0B"/>
    <w:rsid w:val="002A5DBE"/>
    <w:rsid w:val="002A5E25"/>
    <w:rsid w:val="002A5F6E"/>
    <w:rsid w:val="002A6025"/>
    <w:rsid w:val="002A6267"/>
    <w:rsid w:val="002A637B"/>
    <w:rsid w:val="002A6492"/>
    <w:rsid w:val="002A66E4"/>
    <w:rsid w:val="002A6730"/>
    <w:rsid w:val="002A69FA"/>
    <w:rsid w:val="002A6C2A"/>
    <w:rsid w:val="002A6EBA"/>
    <w:rsid w:val="002A700B"/>
    <w:rsid w:val="002A787B"/>
    <w:rsid w:val="002A7885"/>
    <w:rsid w:val="002A7C2A"/>
    <w:rsid w:val="002A7C53"/>
    <w:rsid w:val="002B017B"/>
    <w:rsid w:val="002B07F4"/>
    <w:rsid w:val="002B0C09"/>
    <w:rsid w:val="002B0DEC"/>
    <w:rsid w:val="002B1014"/>
    <w:rsid w:val="002B137C"/>
    <w:rsid w:val="002B1803"/>
    <w:rsid w:val="002B1896"/>
    <w:rsid w:val="002B1AB4"/>
    <w:rsid w:val="002B2E4D"/>
    <w:rsid w:val="002B31B0"/>
    <w:rsid w:val="002B3D56"/>
    <w:rsid w:val="002B3E07"/>
    <w:rsid w:val="002B3F35"/>
    <w:rsid w:val="002B3F57"/>
    <w:rsid w:val="002B448D"/>
    <w:rsid w:val="002B47BD"/>
    <w:rsid w:val="002B4B8E"/>
    <w:rsid w:val="002B4D67"/>
    <w:rsid w:val="002B4E8F"/>
    <w:rsid w:val="002B4EEB"/>
    <w:rsid w:val="002B50CC"/>
    <w:rsid w:val="002B5116"/>
    <w:rsid w:val="002B5673"/>
    <w:rsid w:val="002B5970"/>
    <w:rsid w:val="002B5BA2"/>
    <w:rsid w:val="002B5C62"/>
    <w:rsid w:val="002B5D1E"/>
    <w:rsid w:val="002B5F7F"/>
    <w:rsid w:val="002B640E"/>
    <w:rsid w:val="002B649C"/>
    <w:rsid w:val="002B671B"/>
    <w:rsid w:val="002B67EC"/>
    <w:rsid w:val="002B68F1"/>
    <w:rsid w:val="002B69BA"/>
    <w:rsid w:val="002B6BB0"/>
    <w:rsid w:val="002B6C98"/>
    <w:rsid w:val="002B70DC"/>
    <w:rsid w:val="002B71E4"/>
    <w:rsid w:val="002B7405"/>
    <w:rsid w:val="002B77DF"/>
    <w:rsid w:val="002B7B8E"/>
    <w:rsid w:val="002B7E96"/>
    <w:rsid w:val="002C0552"/>
    <w:rsid w:val="002C09A1"/>
    <w:rsid w:val="002C0EF4"/>
    <w:rsid w:val="002C1049"/>
    <w:rsid w:val="002C12A1"/>
    <w:rsid w:val="002C154C"/>
    <w:rsid w:val="002C171C"/>
    <w:rsid w:val="002C2001"/>
    <w:rsid w:val="002C2576"/>
    <w:rsid w:val="002C26F2"/>
    <w:rsid w:val="002C283C"/>
    <w:rsid w:val="002C2C20"/>
    <w:rsid w:val="002C2C98"/>
    <w:rsid w:val="002C3015"/>
    <w:rsid w:val="002C3071"/>
    <w:rsid w:val="002C3134"/>
    <w:rsid w:val="002C3424"/>
    <w:rsid w:val="002C3518"/>
    <w:rsid w:val="002C3524"/>
    <w:rsid w:val="002C391A"/>
    <w:rsid w:val="002C3A5E"/>
    <w:rsid w:val="002C3AE0"/>
    <w:rsid w:val="002C3AE4"/>
    <w:rsid w:val="002C3AF8"/>
    <w:rsid w:val="002C3D92"/>
    <w:rsid w:val="002C3ED8"/>
    <w:rsid w:val="002C462E"/>
    <w:rsid w:val="002C472D"/>
    <w:rsid w:val="002C4987"/>
    <w:rsid w:val="002C49A1"/>
    <w:rsid w:val="002C4B79"/>
    <w:rsid w:val="002C4C61"/>
    <w:rsid w:val="002C54B1"/>
    <w:rsid w:val="002C5640"/>
    <w:rsid w:val="002C5691"/>
    <w:rsid w:val="002C5785"/>
    <w:rsid w:val="002C5D9B"/>
    <w:rsid w:val="002C5E20"/>
    <w:rsid w:val="002C636D"/>
    <w:rsid w:val="002C641D"/>
    <w:rsid w:val="002C67AD"/>
    <w:rsid w:val="002C685F"/>
    <w:rsid w:val="002C69A3"/>
    <w:rsid w:val="002C69A4"/>
    <w:rsid w:val="002C6DD0"/>
    <w:rsid w:val="002C711E"/>
    <w:rsid w:val="002C717B"/>
    <w:rsid w:val="002C71C7"/>
    <w:rsid w:val="002C7263"/>
    <w:rsid w:val="002C72CC"/>
    <w:rsid w:val="002C738A"/>
    <w:rsid w:val="002C74C2"/>
    <w:rsid w:val="002C7585"/>
    <w:rsid w:val="002C7684"/>
    <w:rsid w:val="002C7D2B"/>
    <w:rsid w:val="002C7DB6"/>
    <w:rsid w:val="002C7DF1"/>
    <w:rsid w:val="002D06ED"/>
    <w:rsid w:val="002D0A3F"/>
    <w:rsid w:val="002D0BB3"/>
    <w:rsid w:val="002D0D77"/>
    <w:rsid w:val="002D157B"/>
    <w:rsid w:val="002D163E"/>
    <w:rsid w:val="002D1888"/>
    <w:rsid w:val="002D18B1"/>
    <w:rsid w:val="002D19F8"/>
    <w:rsid w:val="002D1B95"/>
    <w:rsid w:val="002D20E0"/>
    <w:rsid w:val="002D2111"/>
    <w:rsid w:val="002D213A"/>
    <w:rsid w:val="002D2290"/>
    <w:rsid w:val="002D2303"/>
    <w:rsid w:val="002D24BA"/>
    <w:rsid w:val="002D25CC"/>
    <w:rsid w:val="002D2B38"/>
    <w:rsid w:val="002D2D56"/>
    <w:rsid w:val="002D2E6F"/>
    <w:rsid w:val="002D2E9D"/>
    <w:rsid w:val="002D3370"/>
    <w:rsid w:val="002D35CF"/>
    <w:rsid w:val="002D366F"/>
    <w:rsid w:val="002D36A0"/>
    <w:rsid w:val="002D3BD1"/>
    <w:rsid w:val="002D3C77"/>
    <w:rsid w:val="002D3CBB"/>
    <w:rsid w:val="002D3F3A"/>
    <w:rsid w:val="002D4228"/>
    <w:rsid w:val="002D457C"/>
    <w:rsid w:val="002D4776"/>
    <w:rsid w:val="002D4787"/>
    <w:rsid w:val="002D4BA8"/>
    <w:rsid w:val="002D4DC9"/>
    <w:rsid w:val="002D4E29"/>
    <w:rsid w:val="002D4E3A"/>
    <w:rsid w:val="002D551F"/>
    <w:rsid w:val="002D553E"/>
    <w:rsid w:val="002D597D"/>
    <w:rsid w:val="002D629C"/>
    <w:rsid w:val="002D6382"/>
    <w:rsid w:val="002D669A"/>
    <w:rsid w:val="002D66DE"/>
    <w:rsid w:val="002D679D"/>
    <w:rsid w:val="002D688A"/>
    <w:rsid w:val="002D6B4E"/>
    <w:rsid w:val="002D6D2C"/>
    <w:rsid w:val="002D721D"/>
    <w:rsid w:val="002D7681"/>
    <w:rsid w:val="002D7D52"/>
    <w:rsid w:val="002D7EFF"/>
    <w:rsid w:val="002D7FC5"/>
    <w:rsid w:val="002E02CF"/>
    <w:rsid w:val="002E03A9"/>
    <w:rsid w:val="002E0452"/>
    <w:rsid w:val="002E0EAD"/>
    <w:rsid w:val="002E0EEE"/>
    <w:rsid w:val="002E10B5"/>
    <w:rsid w:val="002E11C3"/>
    <w:rsid w:val="002E11CC"/>
    <w:rsid w:val="002E1329"/>
    <w:rsid w:val="002E14FC"/>
    <w:rsid w:val="002E1A74"/>
    <w:rsid w:val="002E1C17"/>
    <w:rsid w:val="002E1DC7"/>
    <w:rsid w:val="002E1F91"/>
    <w:rsid w:val="002E23E0"/>
    <w:rsid w:val="002E25B7"/>
    <w:rsid w:val="002E2BF7"/>
    <w:rsid w:val="002E2D4A"/>
    <w:rsid w:val="002E2D4D"/>
    <w:rsid w:val="002E3023"/>
    <w:rsid w:val="002E3093"/>
    <w:rsid w:val="002E3581"/>
    <w:rsid w:val="002E35F9"/>
    <w:rsid w:val="002E3957"/>
    <w:rsid w:val="002E446D"/>
    <w:rsid w:val="002E46B4"/>
    <w:rsid w:val="002E4BB1"/>
    <w:rsid w:val="002E4BFA"/>
    <w:rsid w:val="002E4C33"/>
    <w:rsid w:val="002E4FF4"/>
    <w:rsid w:val="002E5291"/>
    <w:rsid w:val="002E53A9"/>
    <w:rsid w:val="002E57A1"/>
    <w:rsid w:val="002E6815"/>
    <w:rsid w:val="002E6848"/>
    <w:rsid w:val="002E6DDC"/>
    <w:rsid w:val="002E6DE7"/>
    <w:rsid w:val="002E6FA7"/>
    <w:rsid w:val="002E6FC1"/>
    <w:rsid w:val="002E739E"/>
    <w:rsid w:val="002E783B"/>
    <w:rsid w:val="002E7CD7"/>
    <w:rsid w:val="002E7E91"/>
    <w:rsid w:val="002F0397"/>
    <w:rsid w:val="002F0430"/>
    <w:rsid w:val="002F0531"/>
    <w:rsid w:val="002F0A7B"/>
    <w:rsid w:val="002F0B08"/>
    <w:rsid w:val="002F0B53"/>
    <w:rsid w:val="002F1429"/>
    <w:rsid w:val="002F16D4"/>
    <w:rsid w:val="002F1823"/>
    <w:rsid w:val="002F1AE4"/>
    <w:rsid w:val="002F21C8"/>
    <w:rsid w:val="002F26DE"/>
    <w:rsid w:val="002F29A9"/>
    <w:rsid w:val="002F2BB0"/>
    <w:rsid w:val="002F3266"/>
    <w:rsid w:val="002F3298"/>
    <w:rsid w:val="002F32D6"/>
    <w:rsid w:val="002F32D8"/>
    <w:rsid w:val="002F3864"/>
    <w:rsid w:val="002F3CC9"/>
    <w:rsid w:val="002F3F0E"/>
    <w:rsid w:val="002F3F7A"/>
    <w:rsid w:val="002F46D7"/>
    <w:rsid w:val="002F4A68"/>
    <w:rsid w:val="002F4D67"/>
    <w:rsid w:val="002F4E47"/>
    <w:rsid w:val="002F50E4"/>
    <w:rsid w:val="002F5143"/>
    <w:rsid w:val="002F53C5"/>
    <w:rsid w:val="002F55A9"/>
    <w:rsid w:val="002F5C9D"/>
    <w:rsid w:val="002F5DEE"/>
    <w:rsid w:val="002F5E51"/>
    <w:rsid w:val="002F5E68"/>
    <w:rsid w:val="002F5FA4"/>
    <w:rsid w:val="002F5FAC"/>
    <w:rsid w:val="002F63D1"/>
    <w:rsid w:val="002F663F"/>
    <w:rsid w:val="002F6B97"/>
    <w:rsid w:val="002F6DEB"/>
    <w:rsid w:val="002F6E7B"/>
    <w:rsid w:val="002F7293"/>
    <w:rsid w:val="002F79C9"/>
    <w:rsid w:val="002F7C0A"/>
    <w:rsid w:val="002F7FC5"/>
    <w:rsid w:val="0030004B"/>
    <w:rsid w:val="00300297"/>
    <w:rsid w:val="003002E5"/>
    <w:rsid w:val="0030052F"/>
    <w:rsid w:val="0030054C"/>
    <w:rsid w:val="0030054E"/>
    <w:rsid w:val="00300576"/>
    <w:rsid w:val="00300BEB"/>
    <w:rsid w:val="0030146F"/>
    <w:rsid w:val="003015F5"/>
    <w:rsid w:val="00301726"/>
    <w:rsid w:val="00302102"/>
    <w:rsid w:val="0030270A"/>
    <w:rsid w:val="00302EBA"/>
    <w:rsid w:val="00302FC7"/>
    <w:rsid w:val="00303242"/>
    <w:rsid w:val="00303281"/>
    <w:rsid w:val="00303452"/>
    <w:rsid w:val="00303586"/>
    <w:rsid w:val="00303607"/>
    <w:rsid w:val="00303625"/>
    <w:rsid w:val="00303743"/>
    <w:rsid w:val="00303B21"/>
    <w:rsid w:val="00303CB9"/>
    <w:rsid w:val="00304266"/>
    <w:rsid w:val="003045AC"/>
    <w:rsid w:val="00304882"/>
    <w:rsid w:val="00304A7F"/>
    <w:rsid w:val="00304B36"/>
    <w:rsid w:val="00304CD3"/>
    <w:rsid w:val="00304E65"/>
    <w:rsid w:val="00304F2D"/>
    <w:rsid w:val="0030524B"/>
    <w:rsid w:val="0030554C"/>
    <w:rsid w:val="0030584B"/>
    <w:rsid w:val="00305D19"/>
    <w:rsid w:val="00305D6F"/>
    <w:rsid w:val="0030652C"/>
    <w:rsid w:val="003068BB"/>
    <w:rsid w:val="00306C9B"/>
    <w:rsid w:val="00306CA3"/>
    <w:rsid w:val="003071FF"/>
    <w:rsid w:val="0030773E"/>
    <w:rsid w:val="00307D0A"/>
    <w:rsid w:val="00307FF8"/>
    <w:rsid w:val="00310368"/>
    <w:rsid w:val="003106F8"/>
    <w:rsid w:val="003107FC"/>
    <w:rsid w:val="00310832"/>
    <w:rsid w:val="0031084E"/>
    <w:rsid w:val="003108B5"/>
    <w:rsid w:val="00310A6B"/>
    <w:rsid w:val="00310D1B"/>
    <w:rsid w:val="003113CE"/>
    <w:rsid w:val="00311756"/>
    <w:rsid w:val="00311A42"/>
    <w:rsid w:val="00311AFC"/>
    <w:rsid w:val="00311C4B"/>
    <w:rsid w:val="00311E79"/>
    <w:rsid w:val="00311FB9"/>
    <w:rsid w:val="0031223C"/>
    <w:rsid w:val="0031288D"/>
    <w:rsid w:val="003128E6"/>
    <w:rsid w:val="00312D4B"/>
    <w:rsid w:val="00313069"/>
    <w:rsid w:val="003131EF"/>
    <w:rsid w:val="003131F2"/>
    <w:rsid w:val="00313294"/>
    <w:rsid w:val="00313647"/>
    <w:rsid w:val="00313F50"/>
    <w:rsid w:val="0031443F"/>
    <w:rsid w:val="0031446D"/>
    <w:rsid w:val="0031481C"/>
    <w:rsid w:val="003148A7"/>
    <w:rsid w:val="003148CB"/>
    <w:rsid w:val="00314EB2"/>
    <w:rsid w:val="00314F83"/>
    <w:rsid w:val="00314FBA"/>
    <w:rsid w:val="00315628"/>
    <w:rsid w:val="0031587D"/>
    <w:rsid w:val="003164B5"/>
    <w:rsid w:val="0031655F"/>
    <w:rsid w:val="00316594"/>
    <w:rsid w:val="00316C23"/>
    <w:rsid w:val="003171C1"/>
    <w:rsid w:val="00317258"/>
    <w:rsid w:val="0031736C"/>
    <w:rsid w:val="003173C0"/>
    <w:rsid w:val="00317494"/>
    <w:rsid w:val="003176AA"/>
    <w:rsid w:val="0031773D"/>
    <w:rsid w:val="00317FE6"/>
    <w:rsid w:val="003200E1"/>
    <w:rsid w:val="003204B6"/>
    <w:rsid w:val="003205C1"/>
    <w:rsid w:val="003207F8"/>
    <w:rsid w:val="00320E1B"/>
    <w:rsid w:val="00320E31"/>
    <w:rsid w:val="00320E67"/>
    <w:rsid w:val="00320F28"/>
    <w:rsid w:val="003216A9"/>
    <w:rsid w:val="00321A47"/>
    <w:rsid w:val="00321BC6"/>
    <w:rsid w:val="00321C36"/>
    <w:rsid w:val="00321CFC"/>
    <w:rsid w:val="00321D8B"/>
    <w:rsid w:val="00321E55"/>
    <w:rsid w:val="003220C7"/>
    <w:rsid w:val="003220F6"/>
    <w:rsid w:val="00322379"/>
    <w:rsid w:val="003223C9"/>
    <w:rsid w:val="00322412"/>
    <w:rsid w:val="0032253F"/>
    <w:rsid w:val="00322635"/>
    <w:rsid w:val="00322888"/>
    <w:rsid w:val="0032292C"/>
    <w:rsid w:val="00322D29"/>
    <w:rsid w:val="00322D31"/>
    <w:rsid w:val="00322E87"/>
    <w:rsid w:val="00322E8F"/>
    <w:rsid w:val="00323412"/>
    <w:rsid w:val="003236F0"/>
    <w:rsid w:val="00323B53"/>
    <w:rsid w:val="003245CB"/>
    <w:rsid w:val="00324BC3"/>
    <w:rsid w:val="0032505F"/>
    <w:rsid w:val="0032515B"/>
    <w:rsid w:val="0032550E"/>
    <w:rsid w:val="0032551C"/>
    <w:rsid w:val="0032591C"/>
    <w:rsid w:val="00325A83"/>
    <w:rsid w:val="00326118"/>
    <w:rsid w:val="00326132"/>
    <w:rsid w:val="00326850"/>
    <w:rsid w:val="003268E2"/>
    <w:rsid w:val="00326A29"/>
    <w:rsid w:val="00326D00"/>
    <w:rsid w:val="0032749A"/>
    <w:rsid w:val="00327883"/>
    <w:rsid w:val="003278F9"/>
    <w:rsid w:val="00327EBA"/>
    <w:rsid w:val="003302D1"/>
    <w:rsid w:val="0033056F"/>
    <w:rsid w:val="00330570"/>
    <w:rsid w:val="003309A9"/>
    <w:rsid w:val="00330AEB"/>
    <w:rsid w:val="00330DE2"/>
    <w:rsid w:val="00330F7A"/>
    <w:rsid w:val="003310B3"/>
    <w:rsid w:val="003310E8"/>
    <w:rsid w:val="00331241"/>
    <w:rsid w:val="0033170A"/>
    <w:rsid w:val="00331C78"/>
    <w:rsid w:val="00331DBC"/>
    <w:rsid w:val="00331E23"/>
    <w:rsid w:val="0033200E"/>
    <w:rsid w:val="00332088"/>
    <w:rsid w:val="003327B1"/>
    <w:rsid w:val="00332BCB"/>
    <w:rsid w:val="00332E5F"/>
    <w:rsid w:val="00333531"/>
    <w:rsid w:val="00333CC6"/>
    <w:rsid w:val="00333ED0"/>
    <w:rsid w:val="00333FB4"/>
    <w:rsid w:val="003342B6"/>
    <w:rsid w:val="003345CC"/>
    <w:rsid w:val="00334A3E"/>
    <w:rsid w:val="00335021"/>
    <w:rsid w:val="00335152"/>
    <w:rsid w:val="003351CB"/>
    <w:rsid w:val="00335350"/>
    <w:rsid w:val="003353B3"/>
    <w:rsid w:val="00335C02"/>
    <w:rsid w:val="00335CAD"/>
    <w:rsid w:val="00335D64"/>
    <w:rsid w:val="003367B9"/>
    <w:rsid w:val="00337060"/>
    <w:rsid w:val="00337215"/>
    <w:rsid w:val="003379FB"/>
    <w:rsid w:val="0034005F"/>
    <w:rsid w:val="003407DF"/>
    <w:rsid w:val="00340801"/>
    <w:rsid w:val="00340A19"/>
    <w:rsid w:val="00340BE8"/>
    <w:rsid w:val="00340CFA"/>
    <w:rsid w:val="00340EDC"/>
    <w:rsid w:val="00340F49"/>
    <w:rsid w:val="003410E8"/>
    <w:rsid w:val="00341311"/>
    <w:rsid w:val="00341A59"/>
    <w:rsid w:val="00341AF8"/>
    <w:rsid w:val="00341C8F"/>
    <w:rsid w:val="00341F2F"/>
    <w:rsid w:val="003423BA"/>
    <w:rsid w:val="003426F8"/>
    <w:rsid w:val="003429B9"/>
    <w:rsid w:val="00342F8D"/>
    <w:rsid w:val="003430A7"/>
    <w:rsid w:val="0034363C"/>
    <w:rsid w:val="00343A30"/>
    <w:rsid w:val="00343CB3"/>
    <w:rsid w:val="00343E6C"/>
    <w:rsid w:val="00343E74"/>
    <w:rsid w:val="00344215"/>
    <w:rsid w:val="00344248"/>
    <w:rsid w:val="00344303"/>
    <w:rsid w:val="00344A99"/>
    <w:rsid w:val="00344B8F"/>
    <w:rsid w:val="00344BE4"/>
    <w:rsid w:val="00344F6A"/>
    <w:rsid w:val="0034500F"/>
    <w:rsid w:val="0034528D"/>
    <w:rsid w:val="003454EF"/>
    <w:rsid w:val="00345978"/>
    <w:rsid w:val="003459B8"/>
    <w:rsid w:val="00345A06"/>
    <w:rsid w:val="00345C15"/>
    <w:rsid w:val="00345C57"/>
    <w:rsid w:val="00345D4F"/>
    <w:rsid w:val="00345FA7"/>
    <w:rsid w:val="003461FB"/>
    <w:rsid w:val="003466DC"/>
    <w:rsid w:val="00346705"/>
    <w:rsid w:val="00346937"/>
    <w:rsid w:val="00346A36"/>
    <w:rsid w:val="00346C4D"/>
    <w:rsid w:val="00347172"/>
    <w:rsid w:val="0034718D"/>
    <w:rsid w:val="003471DC"/>
    <w:rsid w:val="00347B19"/>
    <w:rsid w:val="00347DCB"/>
    <w:rsid w:val="00347DD3"/>
    <w:rsid w:val="00347F19"/>
    <w:rsid w:val="003500AD"/>
    <w:rsid w:val="00350242"/>
    <w:rsid w:val="0035050F"/>
    <w:rsid w:val="0035081E"/>
    <w:rsid w:val="00350876"/>
    <w:rsid w:val="003508D3"/>
    <w:rsid w:val="00350BFB"/>
    <w:rsid w:val="00350C23"/>
    <w:rsid w:val="00351A6C"/>
    <w:rsid w:val="00351A74"/>
    <w:rsid w:val="00351B1A"/>
    <w:rsid w:val="00351E19"/>
    <w:rsid w:val="00351E78"/>
    <w:rsid w:val="00352240"/>
    <w:rsid w:val="0035242E"/>
    <w:rsid w:val="00352538"/>
    <w:rsid w:val="003525AA"/>
    <w:rsid w:val="003526D5"/>
    <w:rsid w:val="00352700"/>
    <w:rsid w:val="00352747"/>
    <w:rsid w:val="00352BA6"/>
    <w:rsid w:val="003530AF"/>
    <w:rsid w:val="003530C9"/>
    <w:rsid w:val="00353722"/>
    <w:rsid w:val="00353803"/>
    <w:rsid w:val="00353C55"/>
    <w:rsid w:val="00353CCF"/>
    <w:rsid w:val="00353F8A"/>
    <w:rsid w:val="003545B8"/>
    <w:rsid w:val="003547B2"/>
    <w:rsid w:val="0035495C"/>
    <w:rsid w:val="00354A06"/>
    <w:rsid w:val="00354B01"/>
    <w:rsid w:val="00354C2E"/>
    <w:rsid w:val="00354C3A"/>
    <w:rsid w:val="00354CF1"/>
    <w:rsid w:val="003554A0"/>
    <w:rsid w:val="00355504"/>
    <w:rsid w:val="003557CC"/>
    <w:rsid w:val="00355D6A"/>
    <w:rsid w:val="00355EFE"/>
    <w:rsid w:val="00355F5C"/>
    <w:rsid w:val="0035669B"/>
    <w:rsid w:val="003566A5"/>
    <w:rsid w:val="003569A5"/>
    <w:rsid w:val="00356E3A"/>
    <w:rsid w:val="00357183"/>
    <w:rsid w:val="003573C5"/>
    <w:rsid w:val="0035778F"/>
    <w:rsid w:val="003578D1"/>
    <w:rsid w:val="00357AA1"/>
    <w:rsid w:val="00357D59"/>
    <w:rsid w:val="00357D8F"/>
    <w:rsid w:val="00357EF8"/>
    <w:rsid w:val="00360082"/>
    <w:rsid w:val="003602D7"/>
    <w:rsid w:val="0036060E"/>
    <w:rsid w:val="00360B92"/>
    <w:rsid w:val="0036107E"/>
    <w:rsid w:val="003611B7"/>
    <w:rsid w:val="003622D3"/>
    <w:rsid w:val="0036246B"/>
    <w:rsid w:val="003632AA"/>
    <w:rsid w:val="00363664"/>
    <w:rsid w:val="00363A37"/>
    <w:rsid w:val="00363C23"/>
    <w:rsid w:val="00363C69"/>
    <w:rsid w:val="00363CBF"/>
    <w:rsid w:val="003644AE"/>
    <w:rsid w:val="00364A9A"/>
    <w:rsid w:val="00364B61"/>
    <w:rsid w:val="00364E48"/>
    <w:rsid w:val="00365017"/>
    <w:rsid w:val="003652BF"/>
    <w:rsid w:val="00365484"/>
    <w:rsid w:val="003655EF"/>
    <w:rsid w:val="00365602"/>
    <w:rsid w:val="003659B2"/>
    <w:rsid w:val="00365A87"/>
    <w:rsid w:val="00365D0A"/>
    <w:rsid w:val="00366396"/>
    <w:rsid w:val="0036649C"/>
    <w:rsid w:val="0036655C"/>
    <w:rsid w:val="00366D08"/>
    <w:rsid w:val="00366E6D"/>
    <w:rsid w:val="00366FF7"/>
    <w:rsid w:val="0036748F"/>
    <w:rsid w:val="003675CF"/>
    <w:rsid w:val="00367937"/>
    <w:rsid w:val="00367953"/>
    <w:rsid w:val="00367DC3"/>
    <w:rsid w:val="00367FDD"/>
    <w:rsid w:val="00370113"/>
    <w:rsid w:val="00370406"/>
    <w:rsid w:val="00370578"/>
    <w:rsid w:val="00370B8D"/>
    <w:rsid w:val="00370FB8"/>
    <w:rsid w:val="0037102B"/>
    <w:rsid w:val="003710B5"/>
    <w:rsid w:val="00371425"/>
    <w:rsid w:val="00371830"/>
    <w:rsid w:val="003718BF"/>
    <w:rsid w:val="00371B48"/>
    <w:rsid w:val="00371FE1"/>
    <w:rsid w:val="003724FA"/>
    <w:rsid w:val="003725EB"/>
    <w:rsid w:val="003727BD"/>
    <w:rsid w:val="00372AF4"/>
    <w:rsid w:val="00372C9D"/>
    <w:rsid w:val="003732ED"/>
    <w:rsid w:val="00373521"/>
    <w:rsid w:val="00373574"/>
    <w:rsid w:val="0037366F"/>
    <w:rsid w:val="00373B4B"/>
    <w:rsid w:val="00373E3E"/>
    <w:rsid w:val="003741C1"/>
    <w:rsid w:val="003744D8"/>
    <w:rsid w:val="003745A8"/>
    <w:rsid w:val="00374B62"/>
    <w:rsid w:val="00374DFE"/>
    <w:rsid w:val="003751CD"/>
    <w:rsid w:val="003755D7"/>
    <w:rsid w:val="00375611"/>
    <w:rsid w:val="00375841"/>
    <w:rsid w:val="00375980"/>
    <w:rsid w:val="0037637D"/>
    <w:rsid w:val="003769DF"/>
    <w:rsid w:val="00376C96"/>
    <w:rsid w:val="00376E40"/>
    <w:rsid w:val="00376E54"/>
    <w:rsid w:val="00376F07"/>
    <w:rsid w:val="003772CE"/>
    <w:rsid w:val="0037786A"/>
    <w:rsid w:val="00377996"/>
    <w:rsid w:val="00377A02"/>
    <w:rsid w:val="00377D3F"/>
    <w:rsid w:val="00377E92"/>
    <w:rsid w:val="00380061"/>
    <w:rsid w:val="0038012F"/>
    <w:rsid w:val="003803D4"/>
    <w:rsid w:val="00380B22"/>
    <w:rsid w:val="00380C17"/>
    <w:rsid w:val="00381414"/>
    <w:rsid w:val="003815BB"/>
    <w:rsid w:val="00381805"/>
    <w:rsid w:val="0038188B"/>
    <w:rsid w:val="003819BD"/>
    <w:rsid w:val="00381AB7"/>
    <w:rsid w:val="00381E7B"/>
    <w:rsid w:val="003821D6"/>
    <w:rsid w:val="003824E5"/>
    <w:rsid w:val="0038263C"/>
    <w:rsid w:val="0038298F"/>
    <w:rsid w:val="00382D64"/>
    <w:rsid w:val="00382D76"/>
    <w:rsid w:val="00382E74"/>
    <w:rsid w:val="003830A8"/>
    <w:rsid w:val="003830ED"/>
    <w:rsid w:val="003832D1"/>
    <w:rsid w:val="0038347A"/>
    <w:rsid w:val="003834A4"/>
    <w:rsid w:val="00383532"/>
    <w:rsid w:val="00383781"/>
    <w:rsid w:val="00383922"/>
    <w:rsid w:val="00383A3B"/>
    <w:rsid w:val="00383B29"/>
    <w:rsid w:val="00383C24"/>
    <w:rsid w:val="00383CF6"/>
    <w:rsid w:val="00384173"/>
    <w:rsid w:val="0038447B"/>
    <w:rsid w:val="00384602"/>
    <w:rsid w:val="00384695"/>
    <w:rsid w:val="00384C81"/>
    <w:rsid w:val="00385223"/>
    <w:rsid w:val="00385362"/>
    <w:rsid w:val="00385988"/>
    <w:rsid w:val="00385D1D"/>
    <w:rsid w:val="00385E0F"/>
    <w:rsid w:val="00385F42"/>
    <w:rsid w:val="00386114"/>
    <w:rsid w:val="003865CE"/>
    <w:rsid w:val="00386758"/>
    <w:rsid w:val="00386C42"/>
    <w:rsid w:val="00386F43"/>
    <w:rsid w:val="00387462"/>
    <w:rsid w:val="00387ABA"/>
    <w:rsid w:val="00387FE0"/>
    <w:rsid w:val="003900E7"/>
    <w:rsid w:val="00390152"/>
    <w:rsid w:val="0039024C"/>
    <w:rsid w:val="00390382"/>
    <w:rsid w:val="003903C9"/>
    <w:rsid w:val="00390506"/>
    <w:rsid w:val="00390984"/>
    <w:rsid w:val="00390A04"/>
    <w:rsid w:val="00390C51"/>
    <w:rsid w:val="00390F8F"/>
    <w:rsid w:val="00391191"/>
    <w:rsid w:val="00391853"/>
    <w:rsid w:val="003918C5"/>
    <w:rsid w:val="00391F00"/>
    <w:rsid w:val="00392146"/>
    <w:rsid w:val="00392269"/>
    <w:rsid w:val="00392640"/>
    <w:rsid w:val="003928D1"/>
    <w:rsid w:val="00392BC6"/>
    <w:rsid w:val="00393062"/>
    <w:rsid w:val="00393235"/>
    <w:rsid w:val="00393B8E"/>
    <w:rsid w:val="00393C93"/>
    <w:rsid w:val="003941FC"/>
    <w:rsid w:val="00394277"/>
    <w:rsid w:val="0039452A"/>
    <w:rsid w:val="00394565"/>
    <w:rsid w:val="00394619"/>
    <w:rsid w:val="00394912"/>
    <w:rsid w:val="00394937"/>
    <w:rsid w:val="00394EAE"/>
    <w:rsid w:val="00394F1A"/>
    <w:rsid w:val="00395270"/>
    <w:rsid w:val="003954A0"/>
    <w:rsid w:val="003954C7"/>
    <w:rsid w:val="0039556B"/>
    <w:rsid w:val="0039563F"/>
    <w:rsid w:val="0039591B"/>
    <w:rsid w:val="00395DFD"/>
    <w:rsid w:val="00396564"/>
    <w:rsid w:val="00396628"/>
    <w:rsid w:val="00396711"/>
    <w:rsid w:val="00396809"/>
    <w:rsid w:val="003968C3"/>
    <w:rsid w:val="0039698D"/>
    <w:rsid w:val="00396DE9"/>
    <w:rsid w:val="00397295"/>
    <w:rsid w:val="003974D6"/>
    <w:rsid w:val="00397575"/>
    <w:rsid w:val="003977AF"/>
    <w:rsid w:val="00397983"/>
    <w:rsid w:val="00397992"/>
    <w:rsid w:val="003979D2"/>
    <w:rsid w:val="00397DC7"/>
    <w:rsid w:val="003A00B7"/>
    <w:rsid w:val="003A012D"/>
    <w:rsid w:val="003A0148"/>
    <w:rsid w:val="003A01B8"/>
    <w:rsid w:val="003A01F7"/>
    <w:rsid w:val="003A0517"/>
    <w:rsid w:val="003A05CF"/>
    <w:rsid w:val="003A07F4"/>
    <w:rsid w:val="003A0923"/>
    <w:rsid w:val="003A09C3"/>
    <w:rsid w:val="003A0CDC"/>
    <w:rsid w:val="003A15FC"/>
    <w:rsid w:val="003A16C7"/>
    <w:rsid w:val="003A1745"/>
    <w:rsid w:val="003A1CB2"/>
    <w:rsid w:val="003A1D73"/>
    <w:rsid w:val="003A2047"/>
    <w:rsid w:val="003A218B"/>
    <w:rsid w:val="003A25CA"/>
    <w:rsid w:val="003A275F"/>
    <w:rsid w:val="003A29C7"/>
    <w:rsid w:val="003A2C3A"/>
    <w:rsid w:val="003A2C62"/>
    <w:rsid w:val="003A2D6F"/>
    <w:rsid w:val="003A2DAF"/>
    <w:rsid w:val="003A314C"/>
    <w:rsid w:val="003A3164"/>
    <w:rsid w:val="003A323F"/>
    <w:rsid w:val="003A32A3"/>
    <w:rsid w:val="003A3593"/>
    <w:rsid w:val="003A3721"/>
    <w:rsid w:val="003A37D2"/>
    <w:rsid w:val="003A389A"/>
    <w:rsid w:val="003A3949"/>
    <w:rsid w:val="003A3A78"/>
    <w:rsid w:val="003A3AAF"/>
    <w:rsid w:val="003A3D2C"/>
    <w:rsid w:val="003A4359"/>
    <w:rsid w:val="003A4566"/>
    <w:rsid w:val="003A460A"/>
    <w:rsid w:val="003A4B22"/>
    <w:rsid w:val="003A4E24"/>
    <w:rsid w:val="003A4E71"/>
    <w:rsid w:val="003A4F0A"/>
    <w:rsid w:val="003A5087"/>
    <w:rsid w:val="003A5102"/>
    <w:rsid w:val="003A58F0"/>
    <w:rsid w:val="003A5BE7"/>
    <w:rsid w:val="003A6082"/>
    <w:rsid w:val="003A6676"/>
    <w:rsid w:val="003A68B7"/>
    <w:rsid w:val="003A69F8"/>
    <w:rsid w:val="003A6A32"/>
    <w:rsid w:val="003A6C0F"/>
    <w:rsid w:val="003A7213"/>
    <w:rsid w:val="003A74EF"/>
    <w:rsid w:val="003A7957"/>
    <w:rsid w:val="003A79EF"/>
    <w:rsid w:val="003A7ABE"/>
    <w:rsid w:val="003A7C26"/>
    <w:rsid w:val="003A7D67"/>
    <w:rsid w:val="003A7F40"/>
    <w:rsid w:val="003A7F48"/>
    <w:rsid w:val="003A7FF7"/>
    <w:rsid w:val="003B00DC"/>
    <w:rsid w:val="003B025B"/>
    <w:rsid w:val="003B041E"/>
    <w:rsid w:val="003B05B9"/>
    <w:rsid w:val="003B06F0"/>
    <w:rsid w:val="003B0BF1"/>
    <w:rsid w:val="003B0DE7"/>
    <w:rsid w:val="003B102B"/>
    <w:rsid w:val="003B1353"/>
    <w:rsid w:val="003B1542"/>
    <w:rsid w:val="003B1608"/>
    <w:rsid w:val="003B1762"/>
    <w:rsid w:val="003B19B0"/>
    <w:rsid w:val="003B1C8D"/>
    <w:rsid w:val="003B2C7D"/>
    <w:rsid w:val="003B322E"/>
    <w:rsid w:val="003B32E9"/>
    <w:rsid w:val="003B355D"/>
    <w:rsid w:val="003B35E3"/>
    <w:rsid w:val="003B35E6"/>
    <w:rsid w:val="003B360D"/>
    <w:rsid w:val="003B3A4B"/>
    <w:rsid w:val="003B3B91"/>
    <w:rsid w:val="003B40A4"/>
    <w:rsid w:val="003B4296"/>
    <w:rsid w:val="003B42CC"/>
    <w:rsid w:val="003B43CE"/>
    <w:rsid w:val="003B4400"/>
    <w:rsid w:val="003B4481"/>
    <w:rsid w:val="003B44D5"/>
    <w:rsid w:val="003B49BC"/>
    <w:rsid w:val="003B4AA1"/>
    <w:rsid w:val="003B4BA9"/>
    <w:rsid w:val="003B4CCA"/>
    <w:rsid w:val="003B562B"/>
    <w:rsid w:val="003B5860"/>
    <w:rsid w:val="003B5A9E"/>
    <w:rsid w:val="003B630C"/>
    <w:rsid w:val="003B6469"/>
    <w:rsid w:val="003B69D6"/>
    <w:rsid w:val="003B6C04"/>
    <w:rsid w:val="003B6CD1"/>
    <w:rsid w:val="003B6D34"/>
    <w:rsid w:val="003B6DA4"/>
    <w:rsid w:val="003B6DE6"/>
    <w:rsid w:val="003B7482"/>
    <w:rsid w:val="003B7574"/>
    <w:rsid w:val="003B7C81"/>
    <w:rsid w:val="003B7D54"/>
    <w:rsid w:val="003B7E2A"/>
    <w:rsid w:val="003B7E5B"/>
    <w:rsid w:val="003B7E79"/>
    <w:rsid w:val="003B7EC8"/>
    <w:rsid w:val="003C01E3"/>
    <w:rsid w:val="003C0582"/>
    <w:rsid w:val="003C05E2"/>
    <w:rsid w:val="003C0C35"/>
    <w:rsid w:val="003C0D55"/>
    <w:rsid w:val="003C0E1A"/>
    <w:rsid w:val="003C118A"/>
    <w:rsid w:val="003C1562"/>
    <w:rsid w:val="003C1D1D"/>
    <w:rsid w:val="003C20DA"/>
    <w:rsid w:val="003C21DA"/>
    <w:rsid w:val="003C295A"/>
    <w:rsid w:val="003C2C64"/>
    <w:rsid w:val="003C31AA"/>
    <w:rsid w:val="003C381F"/>
    <w:rsid w:val="003C39AE"/>
    <w:rsid w:val="003C3A66"/>
    <w:rsid w:val="003C3A7D"/>
    <w:rsid w:val="003C3C02"/>
    <w:rsid w:val="003C3E9E"/>
    <w:rsid w:val="003C41E2"/>
    <w:rsid w:val="003C43F7"/>
    <w:rsid w:val="003C4B32"/>
    <w:rsid w:val="003C4F4D"/>
    <w:rsid w:val="003C5015"/>
    <w:rsid w:val="003C5724"/>
    <w:rsid w:val="003C5AAB"/>
    <w:rsid w:val="003C5CFC"/>
    <w:rsid w:val="003C5D0E"/>
    <w:rsid w:val="003C5F5D"/>
    <w:rsid w:val="003C6518"/>
    <w:rsid w:val="003C6668"/>
    <w:rsid w:val="003C678B"/>
    <w:rsid w:val="003C6B99"/>
    <w:rsid w:val="003C6D51"/>
    <w:rsid w:val="003C6FC9"/>
    <w:rsid w:val="003C71C1"/>
    <w:rsid w:val="003C73DF"/>
    <w:rsid w:val="003C789C"/>
    <w:rsid w:val="003C78AD"/>
    <w:rsid w:val="003C79E5"/>
    <w:rsid w:val="003C7A7F"/>
    <w:rsid w:val="003C7F38"/>
    <w:rsid w:val="003D04FF"/>
    <w:rsid w:val="003D05B8"/>
    <w:rsid w:val="003D08F2"/>
    <w:rsid w:val="003D1C36"/>
    <w:rsid w:val="003D1EAD"/>
    <w:rsid w:val="003D2521"/>
    <w:rsid w:val="003D2590"/>
    <w:rsid w:val="003D263C"/>
    <w:rsid w:val="003D2C74"/>
    <w:rsid w:val="003D3248"/>
    <w:rsid w:val="003D33FC"/>
    <w:rsid w:val="003D3585"/>
    <w:rsid w:val="003D3B1E"/>
    <w:rsid w:val="003D3D69"/>
    <w:rsid w:val="003D3DA1"/>
    <w:rsid w:val="003D3DAD"/>
    <w:rsid w:val="003D4007"/>
    <w:rsid w:val="003D41E1"/>
    <w:rsid w:val="003D43C2"/>
    <w:rsid w:val="003D459E"/>
    <w:rsid w:val="003D46F0"/>
    <w:rsid w:val="003D4792"/>
    <w:rsid w:val="003D5178"/>
    <w:rsid w:val="003D5644"/>
    <w:rsid w:val="003D5797"/>
    <w:rsid w:val="003D5A9C"/>
    <w:rsid w:val="003D5BC0"/>
    <w:rsid w:val="003D5DA8"/>
    <w:rsid w:val="003D601D"/>
    <w:rsid w:val="003D63AA"/>
    <w:rsid w:val="003D6478"/>
    <w:rsid w:val="003D6650"/>
    <w:rsid w:val="003D6711"/>
    <w:rsid w:val="003D67D0"/>
    <w:rsid w:val="003D6BA0"/>
    <w:rsid w:val="003D6DBF"/>
    <w:rsid w:val="003D74F0"/>
    <w:rsid w:val="003D76F7"/>
    <w:rsid w:val="003D7ACD"/>
    <w:rsid w:val="003D7C24"/>
    <w:rsid w:val="003D7CF0"/>
    <w:rsid w:val="003D7ED9"/>
    <w:rsid w:val="003D7F08"/>
    <w:rsid w:val="003E00F1"/>
    <w:rsid w:val="003E01BC"/>
    <w:rsid w:val="003E025F"/>
    <w:rsid w:val="003E04E6"/>
    <w:rsid w:val="003E07CE"/>
    <w:rsid w:val="003E0A6F"/>
    <w:rsid w:val="003E0D98"/>
    <w:rsid w:val="003E104E"/>
    <w:rsid w:val="003E1191"/>
    <w:rsid w:val="003E1305"/>
    <w:rsid w:val="003E138A"/>
    <w:rsid w:val="003E14D9"/>
    <w:rsid w:val="003E1713"/>
    <w:rsid w:val="003E18FC"/>
    <w:rsid w:val="003E1EFE"/>
    <w:rsid w:val="003E2000"/>
    <w:rsid w:val="003E2063"/>
    <w:rsid w:val="003E2572"/>
    <w:rsid w:val="003E2877"/>
    <w:rsid w:val="003E2B33"/>
    <w:rsid w:val="003E2C17"/>
    <w:rsid w:val="003E2F73"/>
    <w:rsid w:val="003E363B"/>
    <w:rsid w:val="003E3643"/>
    <w:rsid w:val="003E4052"/>
    <w:rsid w:val="003E4077"/>
    <w:rsid w:val="003E48CE"/>
    <w:rsid w:val="003E48F4"/>
    <w:rsid w:val="003E4D7B"/>
    <w:rsid w:val="003E505C"/>
    <w:rsid w:val="003E53AE"/>
    <w:rsid w:val="003E540D"/>
    <w:rsid w:val="003E5C3C"/>
    <w:rsid w:val="003E5C3F"/>
    <w:rsid w:val="003E5F4A"/>
    <w:rsid w:val="003E60A5"/>
    <w:rsid w:val="003E61E2"/>
    <w:rsid w:val="003E632F"/>
    <w:rsid w:val="003E6354"/>
    <w:rsid w:val="003E662B"/>
    <w:rsid w:val="003E6773"/>
    <w:rsid w:val="003E6BD8"/>
    <w:rsid w:val="003E6BEB"/>
    <w:rsid w:val="003E7000"/>
    <w:rsid w:val="003E7208"/>
    <w:rsid w:val="003E72BD"/>
    <w:rsid w:val="003E77D3"/>
    <w:rsid w:val="003E78BF"/>
    <w:rsid w:val="003E7C41"/>
    <w:rsid w:val="003E7EDD"/>
    <w:rsid w:val="003E7F51"/>
    <w:rsid w:val="003F02CF"/>
    <w:rsid w:val="003F06C2"/>
    <w:rsid w:val="003F082A"/>
    <w:rsid w:val="003F0A46"/>
    <w:rsid w:val="003F0C38"/>
    <w:rsid w:val="003F150B"/>
    <w:rsid w:val="003F16E2"/>
    <w:rsid w:val="003F1762"/>
    <w:rsid w:val="003F196D"/>
    <w:rsid w:val="003F19D6"/>
    <w:rsid w:val="003F1A65"/>
    <w:rsid w:val="003F1AD3"/>
    <w:rsid w:val="003F1B1D"/>
    <w:rsid w:val="003F1E2B"/>
    <w:rsid w:val="003F1EBA"/>
    <w:rsid w:val="003F20BD"/>
    <w:rsid w:val="003F2525"/>
    <w:rsid w:val="003F2826"/>
    <w:rsid w:val="003F2899"/>
    <w:rsid w:val="003F331D"/>
    <w:rsid w:val="003F351B"/>
    <w:rsid w:val="003F352A"/>
    <w:rsid w:val="003F3806"/>
    <w:rsid w:val="003F3A35"/>
    <w:rsid w:val="003F3C5C"/>
    <w:rsid w:val="003F3DCA"/>
    <w:rsid w:val="003F405C"/>
    <w:rsid w:val="003F40FC"/>
    <w:rsid w:val="003F41BD"/>
    <w:rsid w:val="003F41C2"/>
    <w:rsid w:val="003F440B"/>
    <w:rsid w:val="003F4567"/>
    <w:rsid w:val="003F49AB"/>
    <w:rsid w:val="003F4A48"/>
    <w:rsid w:val="003F4EDB"/>
    <w:rsid w:val="003F5702"/>
    <w:rsid w:val="003F57E5"/>
    <w:rsid w:val="003F5807"/>
    <w:rsid w:val="003F5B7E"/>
    <w:rsid w:val="003F5CB8"/>
    <w:rsid w:val="003F5CBC"/>
    <w:rsid w:val="003F5F37"/>
    <w:rsid w:val="003F6113"/>
    <w:rsid w:val="003F63AB"/>
    <w:rsid w:val="003F690C"/>
    <w:rsid w:val="003F6D2C"/>
    <w:rsid w:val="003F72E8"/>
    <w:rsid w:val="003F7A62"/>
    <w:rsid w:val="003F7EC3"/>
    <w:rsid w:val="003F7EF5"/>
    <w:rsid w:val="003F7F11"/>
    <w:rsid w:val="003F7F83"/>
    <w:rsid w:val="00400B79"/>
    <w:rsid w:val="00400E65"/>
    <w:rsid w:val="00400F17"/>
    <w:rsid w:val="00400F54"/>
    <w:rsid w:val="00401038"/>
    <w:rsid w:val="0040138F"/>
    <w:rsid w:val="00401592"/>
    <w:rsid w:val="00401A28"/>
    <w:rsid w:val="00401AF7"/>
    <w:rsid w:val="00401C29"/>
    <w:rsid w:val="00401C2A"/>
    <w:rsid w:val="00401E19"/>
    <w:rsid w:val="0040200C"/>
    <w:rsid w:val="004022B1"/>
    <w:rsid w:val="0040247B"/>
    <w:rsid w:val="0040254E"/>
    <w:rsid w:val="0040273F"/>
    <w:rsid w:val="00402ADC"/>
    <w:rsid w:val="00402AEE"/>
    <w:rsid w:val="0040335F"/>
    <w:rsid w:val="0040364B"/>
    <w:rsid w:val="004037FB"/>
    <w:rsid w:val="00403860"/>
    <w:rsid w:val="004038F3"/>
    <w:rsid w:val="00403DCA"/>
    <w:rsid w:val="0040445D"/>
    <w:rsid w:val="00404528"/>
    <w:rsid w:val="00404B16"/>
    <w:rsid w:val="00404C1E"/>
    <w:rsid w:val="00404D8B"/>
    <w:rsid w:val="00404E0C"/>
    <w:rsid w:val="0040510A"/>
    <w:rsid w:val="0040560E"/>
    <w:rsid w:val="00405629"/>
    <w:rsid w:val="00405669"/>
    <w:rsid w:val="00405868"/>
    <w:rsid w:val="00405914"/>
    <w:rsid w:val="0040595A"/>
    <w:rsid w:val="004059A5"/>
    <w:rsid w:val="00405BAF"/>
    <w:rsid w:val="00405C24"/>
    <w:rsid w:val="00405F73"/>
    <w:rsid w:val="0040605C"/>
    <w:rsid w:val="0040605F"/>
    <w:rsid w:val="00406168"/>
    <w:rsid w:val="0040629C"/>
    <w:rsid w:val="00406608"/>
    <w:rsid w:val="0040685F"/>
    <w:rsid w:val="00406A1B"/>
    <w:rsid w:val="00406A6A"/>
    <w:rsid w:val="00406B29"/>
    <w:rsid w:val="0040719E"/>
    <w:rsid w:val="0040725B"/>
    <w:rsid w:val="00407301"/>
    <w:rsid w:val="004074CF"/>
    <w:rsid w:val="00407625"/>
    <w:rsid w:val="0040797A"/>
    <w:rsid w:val="00407A27"/>
    <w:rsid w:val="0041001B"/>
    <w:rsid w:val="00410972"/>
    <w:rsid w:val="00410A02"/>
    <w:rsid w:val="00410D20"/>
    <w:rsid w:val="00410E6D"/>
    <w:rsid w:val="00411896"/>
    <w:rsid w:val="00411DA8"/>
    <w:rsid w:val="00411DDD"/>
    <w:rsid w:val="00412247"/>
    <w:rsid w:val="00412341"/>
    <w:rsid w:val="004123AD"/>
    <w:rsid w:val="00412597"/>
    <w:rsid w:val="004125C5"/>
    <w:rsid w:val="004128B5"/>
    <w:rsid w:val="004129CA"/>
    <w:rsid w:val="004129FA"/>
    <w:rsid w:val="00412ACF"/>
    <w:rsid w:val="00412C77"/>
    <w:rsid w:val="00412D28"/>
    <w:rsid w:val="00412D99"/>
    <w:rsid w:val="00412F86"/>
    <w:rsid w:val="0041349E"/>
    <w:rsid w:val="00413525"/>
    <w:rsid w:val="004136F9"/>
    <w:rsid w:val="004137F9"/>
    <w:rsid w:val="004139CB"/>
    <w:rsid w:val="00413D2B"/>
    <w:rsid w:val="00413FD6"/>
    <w:rsid w:val="004146A5"/>
    <w:rsid w:val="00414907"/>
    <w:rsid w:val="0041494A"/>
    <w:rsid w:val="00414C63"/>
    <w:rsid w:val="00414CFF"/>
    <w:rsid w:val="00414E11"/>
    <w:rsid w:val="00414F44"/>
    <w:rsid w:val="0041500E"/>
    <w:rsid w:val="00415029"/>
    <w:rsid w:val="004152C1"/>
    <w:rsid w:val="0041556C"/>
    <w:rsid w:val="00415A4C"/>
    <w:rsid w:val="00415A59"/>
    <w:rsid w:val="00415BC9"/>
    <w:rsid w:val="00415D99"/>
    <w:rsid w:val="00415E55"/>
    <w:rsid w:val="00415E70"/>
    <w:rsid w:val="00416012"/>
    <w:rsid w:val="004164EC"/>
    <w:rsid w:val="00416702"/>
    <w:rsid w:val="00416D50"/>
    <w:rsid w:val="00416FA6"/>
    <w:rsid w:val="00417188"/>
    <w:rsid w:val="00417309"/>
    <w:rsid w:val="0041748F"/>
    <w:rsid w:val="00417520"/>
    <w:rsid w:val="00417540"/>
    <w:rsid w:val="004177BB"/>
    <w:rsid w:val="0041782C"/>
    <w:rsid w:val="00417888"/>
    <w:rsid w:val="00420388"/>
    <w:rsid w:val="00420435"/>
    <w:rsid w:val="004204F7"/>
    <w:rsid w:val="00420A0C"/>
    <w:rsid w:val="00420B4D"/>
    <w:rsid w:val="00420CE8"/>
    <w:rsid w:val="00421104"/>
    <w:rsid w:val="00421253"/>
    <w:rsid w:val="0042136D"/>
    <w:rsid w:val="00421688"/>
    <w:rsid w:val="00421D09"/>
    <w:rsid w:val="0042210E"/>
    <w:rsid w:val="00422198"/>
    <w:rsid w:val="0042238C"/>
    <w:rsid w:val="004228C2"/>
    <w:rsid w:val="00422945"/>
    <w:rsid w:val="00422B4D"/>
    <w:rsid w:val="004232F3"/>
    <w:rsid w:val="0042331E"/>
    <w:rsid w:val="0042346C"/>
    <w:rsid w:val="00423822"/>
    <w:rsid w:val="00423871"/>
    <w:rsid w:val="004239A4"/>
    <w:rsid w:val="00423A42"/>
    <w:rsid w:val="00423A9D"/>
    <w:rsid w:val="00423ABD"/>
    <w:rsid w:val="00423CFC"/>
    <w:rsid w:val="00423D3C"/>
    <w:rsid w:val="00423E3E"/>
    <w:rsid w:val="00423EF0"/>
    <w:rsid w:val="00423EFB"/>
    <w:rsid w:val="004244D8"/>
    <w:rsid w:val="00425053"/>
    <w:rsid w:val="004250AD"/>
    <w:rsid w:val="004250B2"/>
    <w:rsid w:val="00425367"/>
    <w:rsid w:val="004254DD"/>
    <w:rsid w:val="004255AF"/>
    <w:rsid w:val="0042572F"/>
    <w:rsid w:val="00425741"/>
    <w:rsid w:val="0042587D"/>
    <w:rsid w:val="0042599C"/>
    <w:rsid w:val="00425AD3"/>
    <w:rsid w:val="00425B65"/>
    <w:rsid w:val="00425C97"/>
    <w:rsid w:val="0042656D"/>
    <w:rsid w:val="004267DC"/>
    <w:rsid w:val="00426A75"/>
    <w:rsid w:val="00426BA6"/>
    <w:rsid w:val="00426C76"/>
    <w:rsid w:val="004277BD"/>
    <w:rsid w:val="00427864"/>
    <w:rsid w:val="00427E04"/>
    <w:rsid w:val="004304CD"/>
    <w:rsid w:val="00430563"/>
    <w:rsid w:val="004308F0"/>
    <w:rsid w:val="00430A7A"/>
    <w:rsid w:val="00430A94"/>
    <w:rsid w:val="00430AA9"/>
    <w:rsid w:val="004313E7"/>
    <w:rsid w:val="00431755"/>
    <w:rsid w:val="00431807"/>
    <w:rsid w:val="00431A72"/>
    <w:rsid w:val="00431A88"/>
    <w:rsid w:val="004321A5"/>
    <w:rsid w:val="0043274A"/>
    <w:rsid w:val="004327A9"/>
    <w:rsid w:val="004327EE"/>
    <w:rsid w:val="0043290B"/>
    <w:rsid w:val="00432D22"/>
    <w:rsid w:val="00432E5C"/>
    <w:rsid w:val="00433068"/>
    <w:rsid w:val="004334BC"/>
    <w:rsid w:val="0043360F"/>
    <w:rsid w:val="00433C6F"/>
    <w:rsid w:val="00433FBF"/>
    <w:rsid w:val="00434183"/>
    <w:rsid w:val="004345AD"/>
    <w:rsid w:val="00434615"/>
    <w:rsid w:val="00434AB0"/>
    <w:rsid w:val="00434B3B"/>
    <w:rsid w:val="00434BCA"/>
    <w:rsid w:val="00434DC7"/>
    <w:rsid w:val="00434EDD"/>
    <w:rsid w:val="00435C5B"/>
    <w:rsid w:val="00435DE2"/>
    <w:rsid w:val="00435ECD"/>
    <w:rsid w:val="00436040"/>
    <w:rsid w:val="00436046"/>
    <w:rsid w:val="004362EE"/>
    <w:rsid w:val="00436664"/>
    <w:rsid w:val="0043687A"/>
    <w:rsid w:val="00436979"/>
    <w:rsid w:val="004369F5"/>
    <w:rsid w:val="00436BBC"/>
    <w:rsid w:val="00436FEA"/>
    <w:rsid w:val="00437129"/>
    <w:rsid w:val="00437151"/>
    <w:rsid w:val="004378FE"/>
    <w:rsid w:val="00437939"/>
    <w:rsid w:val="00437AF2"/>
    <w:rsid w:val="00437FC2"/>
    <w:rsid w:val="0044008F"/>
    <w:rsid w:val="0044021B"/>
    <w:rsid w:val="004402EC"/>
    <w:rsid w:val="004409DE"/>
    <w:rsid w:val="00440C2A"/>
    <w:rsid w:val="00440D9F"/>
    <w:rsid w:val="004411C5"/>
    <w:rsid w:val="0044122F"/>
    <w:rsid w:val="004412B3"/>
    <w:rsid w:val="004414FE"/>
    <w:rsid w:val="0044151A"/>
    <w:rsid w:val="00441580"/>
    <w:rsid w:val="00441A18"/>
    <w:rsid w:val="00441B62"/>
    <w:rsid w:val="00441C04"/>
    <w:rsid w:val="00441E5A"/>
    <w:rsid w:val="00441EF4"/>
    <w:rsid w:val="00442030"/>
    <w:rsid w:val="00442374"/>
    <w:rsid w:val="004423AB"/>
    <w:rsid w:val="004425D2"/>
    <w:rsid w:val="00442647"/>
    <w:rsid w:val="00442A77"/>
    <w:rsid w:val="00442F5A"/>
    <w:rsid w:val="00443097"/>
    <w:rsid w:val="00443795"/>
    <w:rsid w:val="00443844"/>
    <w:rsid w:val="00443A4A"/>
    <w:rsid w:val="00443E02"/>
    <w:rsid w:val="00443F91"/>
    <w:rsid w:val="0044443B"/>
    <w:rsid w:val="00444472"/>
    <w:rsid w:val="00444509"/>
    <w:rsid w:val="004445AE"/>
    <w:rsid w:val="004445BD"/>
    <w:rsid w:val="00444725"/>
    <w:rsid w:val="00444BA6"/>
    <w:rsid w:val="00444E3F"/>
    <w:rsid w:val="00445127"/>
    <w:rsid w:val="004451DE"/>
    <w:rsid w:val="00445210"/>
    <w:rsid w:val="0044552A"/>
    <w:rsid w:val="00445670"/>
    <w:rsid w:val="004458BC"/>
    <w:rsid w:val="00445C37"/>
    <w:rsid w:val="00445D0C"/>
    <w:rsid w:val="00445E89"/>
    <w:rsid w:val="00445EF6"/>
    <w:rsid w:val="0044645C"/>
    <w:rsid w:val="00446698"/>
    <w:rsid w:val="00446760"/>
    <w:rsid w:val="00446BC4"/>
    <w:rsid w:val="00446BDA"/>
    <w:rsid w:val="004472AD"/>
    <w:rsid w:val="0044734B"/>
    <w:rsid w:val="004478FF"/>
    <w:rsid w:val="00447EBD"/>
    <w:rsid w:val="004500B5"/>
    <w:rsid w:val="0045017C"/>
    <w:rsid w:val="0045018C"/>
    <w:rsid w:val="00450353"/>
    <w:rsid w:val="0045066F"/>
    <w:rsid w:val="00450875"/>
    <w:rsid w:val="0045134F"/>
    <w:rsid w:val="004513F7"/>
    <w:rsid w:val="00451534"/>
    <w:rsid w:val="00451825"/>
    <w:rsid w:val="00451CB9"/>
    <w:rsid w:val="00451DD2"/>
    <w:rsid w:val="00452A2D"/>
    <w:rsid w:val="00452A5D"/>
    <w:rsid w:val="00452B64"/>
    <w:rsid w:val="00452EFC"/>
    <w:rsid w:val="004536D9"/>
    <w:rsid w:val="0045397A"/>
    <w:rsid w:val="00453E64"/>
    <w:rsid w:val="004546BB"/>
    <w:rsid w:val="00454919"/>
    <w:rsid w:val="00454C87"/>
    <w:rsid w:val="00455297"/>
    <w:rsid w:val="00455729"/>
    <w:rsid w:val="00455CD0"/>
    <w:rsid w:val="004560D0"/>
    <w:rsid w:val="00456245"/>
    <w:rsid w:val="004562C4"/>
    <w:rsid w:val="004563C7"/>
    <w:rsid w:val="00456408"/>
    <w:rsid w:val="00456CB6"/>
    <w:rsid w:val="004577B8"/>
    <w:rsid w:val="00457ADA"/>
    <w:rsid w:val="00460224"/>
    <w:rsid w:val="00460378"/>
    <w:rsid w:val="004604EE"/>
    <w:rsid w:val="0046078C"/>
    <w:rsid w:val="0046096F"/>
    <w:rsid w:val="00460AE9"/>
    <w:rsid w:val="00460C80"/>
    <w:rsid w:val="00460CE5"/>
    <w:rsid w:val="00460D86"/>
    <w:rsid w:val="00460F5D"/>
    <w:rsid w:val="0046130E"/>
    <w:rsid w:val="00461358"/>
    <w:rsid w:val="00461438"/>
    <w:rsid w:val="00461FF8"/>
    <w:rsid w:val="004620E3"/>
    <w:rsid w:val="0046250A"/>
    <w:rsid w:val="00463031"/>
    <w:rsid w:val="0046344E"/>
    <w:rsid w:val="00463530"/>
    <w:rsid w:val="0046358E"/>
    <w:rsid w:val="004635F4"/>
    <w:rsid w:val="00463DA9"/>
    <w:rsid w:val="00463F24"/>
    <w:rsid w:val="00464E88"/>
    <w:rsid w:val="004651F7"/>
    <w:rsid w:val="00465750"/>
    <w:rsid w:val="00465994"/>
    <w:rsid w:val="00465F25"/>
    <w:rsid w:val="004660A9"/>
    <w:rsid w:val="00466228"/>
    <w:rsid w:val="00466855"/>
    <w:rsid w:val="0046693A"/>
    <w:rsid w:val="00466ED9"/>
    <w:rsid w:val="004670B9"/>
    <w:rsid w:val="004670FA"/>
    <w:rsid w:val="00467606"/>
    <w:rsid w:val="004677E2"/>
    <w:rsid w:val="004701E4"/>
    <w:rsid w:val="004701F2"/>
    <w:rsid w:val="004702A2"/>
    <w:rsid w:val="004703EA"/>
    <w:rsid w:val="0047046F"/>
    <w:rsid w:val="004704C0"/>
    <w:rsid w:val="0047054F"/>
    <w:rsid w:val="00470675"/>
    <w:rsid w:val="00470711"/>
    <w:rsid w:val="004709C3"/>
    <w:rsid w:val="004709E9"/>
    <w:rsid w:val="00470AD9"/>
    <w:rsid w:val="00470EC4"/>
    <w:rsid w:val="00470EE0"/>
    <w:rsid w:val="004710ED"/>
    <w:rsid w:val="00471780"/>
    <w:rsid w:val="004719F9"/>
    <w:rsid w:val="00471C88"/>
    <w:rsid w:val="00471F87"/>
    <w:rsid w:val="00472159"/>
    <w:rsid w:val="00472161"/>
    <w:rsid w:val="004723B4"/>
    <w:rsid w:val="004723E4"/>
    <w:rsid w:val="004723F8"/>
    <w:rsid w:val="00472559"/>
    <w:rsid w:val="00472613"/>
    <w:rsid w:val="00472754"/>
    <w:rsid w:val="0047279E"/>
    <w:rsid w:val="00472981"/>
    <w:rsid w:val="00472A10"/>
    <w:rsid w:val="00472B26"/>
    <w:rsid w:val="00472C2B"/>
    <w:rsid w:val="0047345D"/>
    <w:rsid w:val="0047364B"/>
    <w:rsid w:val="00473885"/>
    <w:rsid w:val="004739AF"/>
    <w:rsid w:val="00473CC0"/>
    <w:rsid w:val="004742AA"/>
    <w:rsid w:val="004747C4"/>
    <w:rsid w:val="00474AB7"/>
    <w:rsid w:val="00474D38"/>
    <w:rsid w:val="00474D4E"/>
    <w:rsid w:val="00474FDC"/>
    <w:rsid w:val="0047537C"/>
    <w:rsid w:val="00475672"/>
    <w:rsid w:val="0047572C"/>
    <w:rsid w:val="00475A0F"/>
    <w:rsid w:val="00475A1A"/>
    <w:rsid w:val="004760F0"/>
    <w:rsid w:val="0047610F"/>
    <w:rsid w:val="004762AC"/>
    <w:rsid w:val="004762FF"/>
    <w:rsid w:val="0047648E"/>
    <w:rsid w:val="0047651F"/>
    <w:rsid w:val="00476736"/>
    <w:rsid w:val="0047673A"/>
    <w:rsid w:val="0047686D"/>
    <w:rsid w:val="004768C1"/>
    <w:rsid w:val="0047695D"/>
    <w:rsid w:val="00476D2D"/>
    <w:rsid w:val="00476FCB"/>
    <w:rsid w:val="004770E3"/>
    <w:rsid w:val="0047727B"/>
    <w:rsid w:val="00477320"/>
    <w:rsid w:val="004774B3"/>
    <w:rsid w:val="00477884"/>
    <w:rsid w:val="00477F9F"/>
    <w:rsid w:val="00477FE9"/>
    <w:rsid w:val="0048004F"/>
    <w:rsid w:val="004800C2"/>
    <w:rsid w:val="0048035D"/>
    <w:rsid w:val="004805C3"/>
    <w:rsid w:val="00480639"/>
    <w:rsid w:val="00480E7C"/>
    <w:rsid w:val="00480FE5"/>
    <w:rsid w:val="00480FED"/>
    <w:rsid w:val="004810FF"/>
    <w:rsid w:val="00481217"/>
    <w:rsid w:val="0048124C"/>
    <w:rsid w:val="0048136C"/>
    <w:rsid w:val="004813DA"/>
    <w:rsid w:val="00481516"/>
    <w:rsid w:val="00481531"/>
    <w:rsid w:val="004818A0"/>
    <w:rsid w:val="00482131"/>
    <w:rsid w:val="0048218E"/>
    <w:rsid w:val="004821D6"/>
    <w:rsid w:val="004823CF"/>
    <w:rsid w:val="0048252D"/>
    <w:rsid w:val="00482E58"/>
    <w:rsid w:val="004831A5"/>
    <w:rsid w:val="0048346D"/>
    <w:rsid w:val="00483913"/>
    <w:rsid w:val="00483915"/>
    <w:rsid w:val="004839A9"/>
    <w:rsid w:val="00483ABE"/>
    <w:rsid w:val="00483AE4"/>
    <w:rsid w:val="00483E2E"/>
    <w:rsid w:val="00484286"/>
    <w:rsid w:val="00484308"/>
    <w:rsid w:val="0048484A"/>
    <w:rsid w:val="00484B4E"/>
    <w:rsid w:val="00484C2E"/>
    <w:rsid w:val="00484CB8"/>
    <w:rsid w:val="00484D46"/>
    <w:rsid w:val="00485029"/>
    <w:rsid w:val="004851D8"/>
    <w:rsid w:val="00485B77"/>
    <w:rsid w:val="00485D32"/>
    <w:rsid w:val="00485EF4"/>
    <w:rsid w:val="004862DA"/>
    <w:rsid w:val="004863ED"/>
    <w:rsid w:val="0048648B"/>
    <w:rsid w:val="00486760"/>
    <w:rsid w:val="00486A80"/>
    <w:rsid w:val="004870A3"/>
    <w:rsid w:val="004871BD"/>
    <w:rsid w:val="0048738F"/>
    <w:rsid w:val="004876F7"/>
    <w:rsid w:val="00487D0A"/>
    <w:rsid w:val="00487E17"/>
    <w:rsid w:val="00487EA6"/>
    <w:rsid w:val="00487F44"/>
    <w:rsid w:val="0049019F"/>
    <w:rsid w:val="00490688"/>
    <w:rsid w:val="0049069A"/>
    <w:rsid w:val="00490744"/>
    <w:rsid w:val="004907C3"/>
    <w:rsid w:val="00491428"/>
    <w:rsid w:val="0049162A"/>
    <w:rsid w:val="004919BC"/>
    <w:rsid w:val="00491AC1"/>
    <w:rsid w:val="00491D40"/>
    <w:rsid w:val="00491D7A"/>
    <w:rsid w:val="00491FDC"/>
    <w:rsid w:val="00492099"/>
    <w:rsid w:val="00492118"/>
    <w:rsid w:val="004923AC"/>
    <w:rsid w:val="00492648"/>
    <w:rsid w:val="0049268A"/>
    <w:rsid w:val="00492AFD"/>
    <w:rsid w:val="00492E84"/>
    <w:rsid w:val="00492EEC"/>
    <w:rsid w:val="00492F67"/>
    <w:rsid w:val="0049310E"/>
    <w:rsid w:val="004931EF"/>
    <w:rsid w:val="00493B43"/>
    <w:rsid w:val="00494C70"/>
    <w:rsid w:val="00494CBC"/>
    <w:rsid w:val="00494E10"/>
    <w:rsid w:val="00494F8D"/>
    <w:rsid w:val="00495143"/>
    <w:rsid w:val="00495AA6"/>
    <w:rsid w:val="00495B64"/>
    <w:rsid w:val="00495BF4"/>
    <w:rsid w:val="00495FCA"/>
    <w:rsid w:val="004965E7"/>
    <w:rsid w:val="0049670C"/>
    <w:rsid w:val="0049695A"/>
    <w:rsid w:val="00496A3E"/>
    <w:rsid w:val="00496A80"/>
    <w:rsid w:val="00496B26"/>
    <w:rsid w:val="0049735A"/>
    <w:rsid w:val="004974A6"/>
    <w:rsid w:val="00497915"/>
    <w:rsid w:val="00497BF5"/>
    <w:rsid w:val="00497CB9"/>
    <w:rsid w:val="00497D1C"/>
    <w:rsid w:val="004A016A"/>
    <w:rsid w:val="004A038F"/>
    <w:rsid w:val="004A05FF"/>
    <w:rsid w:val="004A06AE"/>
    <w:rsid w:val="004A09AB"/>
    <w:rsid w:val="004A0A61"/>
    <w:rsid w:val="004A0B55"/>
    <w:rsid w:val="004A0D8F"/>
    <w:rsid w:val="004A1006"/>
    <w:rsid w:val="004A10B9"/>
    <w:rsid w:val="004A1615"/>
    <w:rsid w:val="004A1ADA"/>
    <w:rsid w:val="004A1BBC"/>
    <w:rsid w:val="004A2133"/>
    <w:rsid w:val="004A23CB"/>
    <w:rsid w:val="004A2B4B"/>
    <w:rsid w:val="004A2BAF"/>
    <w:rsid w:val="004A3318"/>
    <w:rsid w:val="004A3356"/>
    <w:rsid w:val="004A3486"/>
    <w:rsid w:val="004A36EA"/>
    <w:rsid w:val="004A36F6"/>
    <w:rsid w:val="004A3991"/>
    <w:rsid w:val="004A3DCB"/>
    <w:rsid w:val="004A42B4"/>
    <w:rsid w:val="004A42C4"/>
    <w:rsid w:val="004A44C9"/>
    <w:rsid w:val="004A44CC"/>
    <w:rsid w:val="004A4672"/>
    <w:rsid w:val="004A475A"/>
    <w:rsid w:val="004A492C"/>
    <w:rsid w:val="004A4AD9"/>
    <w:rsid w:val="004A4B64"/>
    <w:rsid w:val="004A4B8D"/>
    <w:rsid w:val="004A5068"/>
    <w:rsid w:val="004A56D4"/>
    <w:rsid w:val="004A5B8B"/>
    <w:rsid w:val="004A5C2C"/>
    <w:rsid w:val="004A60A5"/>
    <w:rsid w:val="004A6310"/>
    <w:rsid w:val="004A635B"/>
    <w:rsid w:val="004A6584"/>
    <w:rsid w:val="004A65DE"/>
    <w:rsid w:val="004A670F"/>
    <w:rsid w:val="004A6A4E"/>
    <w:rsid w:val="004A6B00"/>
    <w:rsid w:val="004A6DF0"/>
    <w:rsid w:val="004A6F00"/>
    <w:rsid w:val="004A75F6"/>
    <w:rsid w:val="004A778E"/>
    <w:rsid w:val="004A7B95"/>
    <w:rsid w:val="004A7C39"/>
    <w:rsid w:val="004B0E62"/>
    <w:rsid w:val="004B1031"/>
    <w:rsid w:val="004B11D4"/>
    <w:rsid w:val="004B168B"/>
    <w:rsid w:val="004B168D"/>
    <w:rsid w:val="004B199A"/>
    <w:rsid w:val="004B1B10"/>
    <w:rsid w:val="004B20C5"/>
    <w:rsid w:val="004B2527"/>
    <w:rsid w:val="004B2E84"/>
    <w:rsid w:val="004B2F50"/>
    <w:rsid w:val="004B30C3"/>
    <w:rsid w:val="004B32C4"/>
    <w:rsid w:val="004B353C"/>
    <w:rsid w:val="004B36F9"/>
    <w:rsid w:val="004B3A62"/>
    <w:rsid w:val="004B3A85"/>
    <w:rsid w:val="004B3E37"/>
    <w:rsid w:val="004B3EA0"/>
    <w:rsid w:val="004B4287"/>
    <w:rsid w:val="004B473A"/>
    <w:rsid w:val="004B48DC"/>
    <w:rsid w:val="004B501C"/>
    <w:rsid w:val="004B531C"/>
    <w:rsid w:val="004B53C8"/>
    <w:rsid w:val="004B5503"/>
    <w:rsid w:val="004B5917"/>
    <w:rsid w:val="004B5A56"/>
    <w:rsid w:val="004B5ABC"/>
    <w:rsid w:val="004B5FAC"/>
    <w:rsid w:val="004B6494"/>
    <w:rsid w:val="004B6AB6"/>
    <w:rsid w:val="004B6CF5"/>
    <w:rsid w:val="004B732D"/>
    <w:rsid w:val="004B7D14"/>
    <w:rsid w:val="004B7D62"/>
    <w:rsid w:val="004B7F84"/>
    <w:rsid w:val="004B7FBB"/>
    <w:rsid w:val="004C0273"/>
    <w:rsid w:val="004C072E"/>
    <w:rsid w:val="004C081D"/>
    <w:rsid w:val="004C0A37"/>
    <w:rsid w:val="004C0A4B"/>
    <w:rsid w:val="004C0B5E"/>
    <w:rsid w:val="004C1461"/>
    <w:rsid w:val="004C151F"/>
    <w:rsid w:val="004C1535"/>
    <w:rsid w:val="004C16C3"/>
    <w:rsid w:val="004C1910"/>
    <w:rsid w:val="004C1A57"/>
    <w:rsid w:val="004C1D04"/>
    <w:rsid w:val="004C1D52"/>
    <w:rsid w:val="004C2D0F"/>
    <w:rsid w:val="004C2E31"/>
    <w:rsid w:val="004C309B"/>
    <w:rsid w:val="004C30BC"/>
    <w:rsid w:val="004C3329"/>
    <w:rsid w:val="004C3379"/>
    <w:rsid w:val="004C33D1"/>
    <w:rsid w:val="004C342D"/>
    <w:rsid w:val="004C35DA"/>
    <w:rsid w:val="004C3B64"/>
    <w:rsid w:val="004C410B"/>
    <w:rsid w:val="004C4202"/>
    <w:rsid w:val="004C4FEC"/>
    <w:rsid w:val="004C50DA"/>
    <w:rsid w:val="004C51D2"/>
    <w:rsid w:val="004C54B8"/>
    <w:rsid w:val="004C56F6"/>
    <w:rsid w:val="004C599F"/>
    <w:rsid w:val="004C5C86"/>
    <w:rsid w:val="004C5DC3"/>
    <w:rsid w:val="004C5F1E"/>
    <w:rsid w:val="004C6093"/>
    <w:rsid w:val="004C61A3"/>
    <w:rsid w:val="004C6240"/>
    <w:rsid w:val="004C62E3"/>
    <w:rsid w:val="004C635D"/>
    <w:rsid w:val="004C6425"/>
    <w:rsid w:val="004C670B"/>
    <w:rsid w:val="004C6954"/>
    <w:rsid w:val="004C6A71"/>
    <w:rsid w:val="004C6F34"/>
    <w:rsid w:val="004C701C"/>
    <w:rsid w:val="004C730B"/>
    <w:rsid w:val="004C7325"/>
    <w:rsid w:val="004C7332"/>
    <w:rsid w:val="004C73A1"/>
    <w:rsid w:val="004C7422"/>
    <w:rsid w:val="004C765D"/>
    <w:rsid w:val="004C7738"/>
    <w:rsid w:val="004C7A38"/>
    <w:rsid w:val="004C7B02"/>
    <w:rsid w:val="004C7E05"/>
    <w:rsid w:val="004D01F0"/>
    <w:rsid w:val="004D079E"/>
    <w:rsid w:val="004D0839"/>
    <w:rsid w:val="004D0A4E"/>
    <w:rsid w:val="004D0C85"/>
    <w:rsid w:val="004D0CC2"/>
    <w:rsid w:val="004D0F46"/>
    <w:rsid w:val="004D117F"/>
    <w:rsid w:val="004D11C4"/>
    <w:rsid w:val="004D11EE"/>
    <w:rsid w:val="004D1222"/>
    <w:rsid w:val="004D1B05"/>
    <w:rsid w:val="004D1C10"/>
    <w:rsid w:val="004D1CC0"/>
    <w:rsid w:val="004D1D4E"/>
    <w:rsid w:val="004D1D50"/>
    <w:rsid w:val="004D1D90"/>
    <w:rsid w:val="004D21B6"/>
    <w:rsid w:val="004D21C1"/>
    <w:rsid w:val="004D25E2"/>
    <w:rsid w:val="004D2781"/>
    <w:rsid w:val="004D28CD"/>
    <w:rsid w:val="004D2970"/>
    <w:rsid w:val="004D2BF5"/>
    <w:rsid w:val="004D2C9E"/>
    <w:rsid w:val="004D2DF0"/>
    <w:rsid w:val="004D3027"/>
    <w:rsid w:val="004D34E5"/>
    <w:rsid w:val="004D3601"/>
    <w:rsid w:val="004D372F"/>
    <w:rsid w:val="004D3805"/>
    <w:rsid w:val="004D3928"/>
    <w:rsid w:val="004D39A1"/>
    <w:rsid w:val="004D3A23"/>
    <w:rsid w:val="004D3A79"/>
    <w:rsid w:val="004D3CFD"/>
    <w:rsid w:val="004D3F43"/>
    <w:rsid w:val="004D45AF"/>
    <w:rsid w:val="004D46F2"/>
    <w:rsid w:val="004D48ED"/>
    <w:rsid w:val="004D4942"/>
    <w:rsid w:val="004D49F2"/>
    <w:rsid w:val="004D4C2A"/>
    <w:rsid w:val="004D4D27"/>
    <w:rsid w:val="004D4DCC"/>
    <w:rsid w:val="004D5142"/>
    <w:rsid w:val="004D5224"/>
    <w:rsid w:val="004D580C"/>
    <w:rsid w:val="004D5846"/>
    <w:rsid w:val="004D5959"/>
    <w:rsid w:val="004D5BC3"/>
    <w:rsid w:val="004D5EF4"/>
    <w:rsid w:val="004D6E03"/>
    <w:rsid w:val="004D70C6"/>
    <w:rsid w:val="004D7319"/>
    <w:rsid w:val="004D7404"/>
    <w:rsid w:val="004D7655"/>
    <w:rsid w:val="004D7738"/>
    <w:rsid w:val="004D7A08"/>
    <w:rsid w:val="004D7B4B"/>
    <w:rsid w:val="004D7E2C"/>
    <w:rsid w:val="004E0109"/>
    <w:rsid w:val="004E06A7"/>
    <w:rsid w:val="004E0AA5"/>
    <w:rsid w:val="004E0C88"/>
    <w:rsid w:val="004E0E3E"/>
    <w:rsid w:val="004E0E68"/>
    <w:rsid w:val="004E1172"/>
    <w:rsid w:val="004E13DF"/>
    <w:rsid w:val="004E16E0"/>
    <w:rsid w:val="004E1974"/>
    <w:rsid w:val="004E19E0"/>
    <w:rsid w:val="004E1FFA"/>
    <w:rsid w:val="004E2200"/>
    <w:rsid w:val="004E23E9"/>
    <w:rsid w:val="004E249C"/>
    <w:rsid w:val="004E25F6"/>
    <w:rsid w:val="004E26A8"/>
    <w:rsid w:val="004E27E9"/>
    <w:rsid w:val="004E284C"/>
    <w:rsid w:val="004E2AAE"/>
    <w:rsid w:val="004E2EAB"/>
    <w:rsid w:val="004E3249"/>
    <w:rsid w:val="004E3601"/>
    <w:rsid w:val="004E3C72"/>
    <w:rsid w:val="004E4359"/>
    <w:rsid w:val="004E451E"/>
    <w:rsid w:val="004E4ABF"/>
    <w:rsid w:val="004E4FFF"/>
    <w:rsid w:val="004E541F"/>
    <w:rsid w:val="004E5522"/>
    <w:rsid w:val="004E55D3"/>
    <w:rsid w:val="004E56D8"/>
    <w:rsid w:val="004E56DE"/>
    <w:rsid w:val="004E57C6"/>
    <w:rsid w:val="004E612B"/>
    <w:rsid w:val="004E6224"/>
    <w:rsid w:val="004E669B"/>
    <w:rsid w:val="004E6D26"/>
    <w:rsid w:val="004E6F1A"/>
    <w:rsid w:val="004E70E6"/>
    <w:rsid w:val="004E7171"/>
    <w:rsid w:val="004E72E2"/>
    <w:rsid w:val="004E7584"/>
    <w:rsid w:val="004F0017"/>
    <w:rsid w:val="004F0502"/>
    <w:rsid w:val="004F064C"/>
    <w:rsid w:val="004F09B5"/>
    <w:rsid w:val="004F09C3"/>
    <w:rsid w:val="004F0A43"/>
    <w:rsid w:val="004F0DD5"/>
    <w:rsid w:val="004F0F29"/>
    <w:rsid w:val="004F14DA"/>
    <w:rsid w:val="004F1637"/>
    <w:rsid w:val="004F1649"/>
    <w:rsid w:val="004F18C7"/>
    <w:rsid w:val="004F1A41"/>
    <w:rsid w:val="004F1C60"/>
    <w:rsid w:val="004F1E2F"/>
    <w:rsid w:val="004F2028"/>
    <w:rsid w:val="004F216B"/>
    <w:rsid w:val="004F2347"/>
    <w:rsid w:val="004F2434"/>
    <w:rsid w:val="004F269C"/>
    <w:rsid w:val="004F2814"/>
    <w:rsid w:val="004F28F2"/>
    <w:rsid w:val="004F2B25"/>
    <w:rsid w:val="004F32F7"/>
    <w:rsid w:val="004F39C5"/>
    <w:rsid w:val="004F3A45"/>
    <w:rsid w:val="004F3A84"/>
    <w:rsid w:val="004F3A96"/>
    <w:rsid w:val="004F3E51"/>
    <w:rsid w:val="004F3FE1"/>
    <w:rsid w:val="004F4085"/>
    <w:rsid w:val="004F40D3"/>
    <w:rsid w:val="004F4411"/>
    <w:rsid w:val="004F46BD"/>
    <w:rsid w:val="004F4854"/>
    <w:rsid w:val="004F48E7"/>
    <w:rsid w:val="004F48FD"/>
    <w:rsid w:val="004F4AA8"/>
    <w:rsid w:val="004F5171"/>
    <w:rsid w:val="004F5470"/>
    <w:rsid w:val="004F5597"/>
    <w:rsid w:val="004F5644"/>
    <w:rsid w:val="004F5741"/>
    <w:rsid w:val="004F57FF"/>
    <w:rsid w:val="004F5A90"/>
    <w:rsid w:val="004F5E6C"/>
    <w:rsid w:val="004F616F"/>
    <w:rsid w:val="004F6372"/>
    <w:rsid w:val="004F6B33"/>
    <w:rsid w:val="004F6C73"/>
    <w:rsid w:val="004F6D4F"/>
    <w:rsid w:val="004F6FE9"/>
    <w:rsid w:val="004F71A8"/>
    <w:rsid w:val="004F734E"/>
    <w:rsid w:val="004F7562"/>
    <w:rsid w:val="004F7923"/>
    <w:rsid w:val="004F7B7D"/>
    <w:rsid w:val="004F7B8B"/>
    <w:rsid w:val="0050037A"/>
    <w:rsid w:val="0050040F"/>
    <w:rsid w:val="005004D0"/>
    <w:rsid w:val="005006D1"/>
    <w:rsid w:val="00500761"/>
    <w:rsid w:val="00500C10"/>
    <w:rsid w:val="00500D32"/>
    <w:rsid w:val="00500E1B"/>
    <w:rsid w:val="0050104D"/>
    <w:rsid w:val="00501377"/>
    <w:rsid w:val="00501383"/>
    <w:rsid w:val="00501647"/>
    <w:rsid w:val="00501A47"/>
    <w:rsid w:val="00501CE8"/>
    <w:rsid w:val="00501E5F"/>
    <w:rsid w:val="00502202"/>
    <w:rsid w:val="00502330"/>
    <w:rsid w:val="00502499"/>
    <w:rsid w:val="0050288D"/>
    <w:rsid w:val="00502CC7"/>
    <w:rsid w:val="00502F13"/>
    <w:rsid w:val="0050312B"/>
    <w:rsid w:val="0050328D"/>
    <w:rsid w:val="00503B8F"/>
    <w:rsid w:val="00503F63"/>
    <w:rsid w:val="005045F5"/>
    <w:rsid w:val="005049D3"/>
    <w:rsid w:val="00504ADE"/>
    <w:rsid w:val="00504EB1"/>
    <w:rsid w:val="0050516F"/>
    <w:rsid w:val="005054BE"/>
    <w:rsid w:val="0050588C"/>
    <w:rsid w:val="00506691"/>
    <w:rsid w:val="00506A06"/>
    <w:rsid w:val="00506B32"/>
    <w:rsid w:val="00506F48"/>
    <w:rsid w:val="00506F80"/>
    <w:rsid w:val="0050705D"/>
    <w:rsid w:val="00507245"/>
    <w:rsid w:val="00507534"/>
    <w:rsid w:val="00507849"/>
    <w:rsid w:val="0050788D"/>
    <w:rsid w:val="00507C10"/>
    <w:rsid w:val="005100DE"/>
    <w:rsid w:val="005103E3"/>
    <w:rsid w:val="00510425"/>
    <w:rsid w:val="0051053E"/>
    <w:rsid w:val="005106E3"/>
    <w:rsid w:val="00510A57"/>
    <w:rsid w:val="0051108E"/>
    <w:rsid w:val="005111F8"/>
    <w:rsid w:val="0051146B"/>
    <w:rsid w:val="00511512"/>
    <w:rsid w:val="0051162E"/>
    <w:rsid w:val="005118E9"/>
    <w:rsid w:val="00511E5A"/>
    <w:rsid w:val="00511F16"/>
    <w:rsid w:val="005125B8"/>
    <w:rsid w:val="005126F1"/>
    <w:rsid w:val="005128E5"/>
    <w:rsid w:val="00512A22"/>
    <w:rsid w:val="00512B23"/>
    <w:rsid w:val="00512E83"/>
    <w:rsid w:val="0051378B"/>
    <w:rsid w:val="005137AD"/>
    <w:rsid w:val="00513919"/>
    <w:rsid w:val="00513A9B"/>
    <w:rsid w:val="00513B0B"/>
    <w:rsid w:val="00513E69"/>
    <w:rsid w:val="005143F7"/>
    <w:rsid w:val="00514854"/>
    <w:rsid w:val="005151C5"/>
    <w:rsid w:val="00515227"/>
    <w:rsid w:val="005152B1"/>
    <w:rsid w:val="005156C8"/>
    <w:rsid w:val="005156D7"/>
    <w:rsid w:val="00515979"/>
    <w:rsid w:val="00515B84"/>
    <w:rsid w:val="00515D0E"/>
    <w:rsid w:val="00515E7B"/>
    <w:rsid w:val="00516862"/>
    <w:rsid w:val="00516CBD"/>
    <w:rsid w:val="00516D15"/>
    <w:rsid w:val="0051708E"/>
    <w:rsid w:val="005171FD"/>
    <w:rsid w:val="005173B2"/>
    <w:rsid w:val="005175F1"/>
    <w:rsid w:val="0051760F"/>
    <w:rsid w:val="00517A09"/>
    <w:rsid w:val="00517CEB"/>
    <w:rsid w:val="00517FC7"/>
    <w:rsid w:val="00517FCA"/>
    <w:rsid w:val="0051BF40"/>
    <w:rsid w:val="005200EA"/>
    <w:rsid w:val="0052018A"/>
    <w:rsid w:val="00520566"/>
    <w:rsid w:val="00520E13"/>
    <w:rsid w:val="00521B57"/>
    <w:rsid w:val="00521DDC"/>
    <w:rsid w:val="00522140"/>
    <w:rsid w:val="00522327"/>
    <w:rsid w:val="005228A6"/>
    <w:rsid w:val="00522C67"/>
    <w:rsid w:val="005238E5"/>
    <w:rsid w:val="00523A54"/>
    <w:rsid w:val="00523A55"/>
    <w:rsid w:val="00523AE6"/>
    <w:rsid w:val="00523C8E"/>
    <w:rsid w:val="00524324"/>
    <w:rsid w:val="005245E8"/>
    <w:rsid w:val="00524735"/>
    <w:rsid w:val="00524C54"/>
    <w:rsid w:val="005253F5"/>
    <w:rsid w:val="00525415"/>
    <w:rsid w:val="0052546C"/>
    <w:rsid w:val="00525956"/>
    <w:rsid w:val="005259C9"/>
    <w:rsid w:val="005259F3"/>
    <w:rsid w:val="00525B5C"/>
    <w:rsid w:val="00525D60"/>
    <w:rsid w:val="00525DB6"/>
    <w:rsid w:val="00525F88"/>
    <w:rsid w:val="00526CA5"/>
    <w:rsid w:val="00526DED"/>
    <w:rsid w:val="00526E2B"/>
    <w:rsid w:val="005270EB"/>
    <w:rsid w:val="0052714B"/>
    <w:rsid w:val="00527230"/>
    <w:rsid w:val="005276A7"/>
    <w:rsid w:val="005276BC"/>
    <w:rsid w:val="00527BA5"/>
    <w:rsid w:val="005300F6"/>
    <w:rsid w:val="005302E8"/>
    <w:rsid w:val="005303EA"/>
    <w:rsid w:val="00530B7E"/>
    <w:rsid w:val="00530BC5"/>
    <w:rsid w:val="00530F1F"/>
    <w:rsid w:val="00531083"/>
    <w:rsid w:val="0053109E"/>
    <w:rsid w:val="00531162"/>
    <w:rsid w:val="00531685"/>
    <w:rsid w:val="00531AB0"/>
    <w:rsid w:val="00531DC0"/>
    <w:rsid w:val="00531EFF"/>
    <w:rsid w:val="00532349"/>
    <w:rsid w:val="0053259B"/>
    <w:rsid w:val="00532969"/>
    <w:rsid w:val="00532A4E"/>
    <w:rsid w:val="00532AE7"/>
    <w:rsid w:val="00532DAA"/>
    <w:rsid w:val="0053392B"/>
    <w:rsid w:val="00533B06"/>
    <w:rsid w:val="00533C92"/>
    <w:rsid w:val="00533DA3"/>
    <w:rsid w:val="005340E4"/>
    <w:rsid w:val="0053446A"/>
    <w:rsid w:val="005345A3"/>
    <w:rsid w:val="00534C58"/>
    <w:rsid w:val="00534D74"/>
    <w:rsid w:val="00534E8A"/>
    <w:rsid w:val="0053543E"/>
    <w:rsid w:val="00535B8F"/>
    <w:rsid w:val="00535D24"/>
    <w:rsid w:val="00535D9D"/>
    <w:rsid w:val="00535E07"/>
    <w:rsid w:val="00536206"/>
    <w:rsid w:val="005364D4"/>
    <w:rsid w:val="005368E4"/>
    <w:rsid w:val="00536942"/>
    <w:rsid w:val="00536AF8"/>
    <w:rsid w:val="00536DB8"/>
    <w:rsid w:val="005372CC"/>
    <w:rsid w:val="0053731B"/>
    <w:rsid w:val="0053779F"/>
    <w:rsid w:val="005377FF"/>
    <w:rsid w:val="00537B11"/>
    <w:rsid w:val="00537D2B"/>
    <w:rsid w:val="005403FE"/>
    <w:rsid w:val="00540914"/>
    <w:rsid w:val="0054095D"/>
    <w:rsid w:val="00540EEF"/>
    <w:rsid w:val="00541089"/>
    <w:rsid w:val="005415C3"/>
    <w:rsid w:val="005415C9"/>
    <w:rsid w:val="00541925"/>
    <w:rsid w:val="00541A2E"/>
    <w:rsid w:val="00541A42"/>
    <w:rsid w:val="00541A51"/>
    <w:rsid w:val="00541F0C"/>
    <w:rsid w:val="0054256B"/>
    <w:rsid w:val="00542A75"/>
    <w:rsid w:val="00542A9C"/>
    <w:rsid w:val="00542AE5"/>
    <w:rsid w:val="00542BA1"/>
    <w:rsid w:val="00542FE7"/>
    <w:rsid w:val="005431D8"/>
    <w:rsid w:val="005433F5"/>
    <w:rsid w:val="00543643"/>
    <w:rsid w:val="0054386F"/>
    <w:rsid w:val="00543905"/>
    <w:rsid w:val="00543D4C"/>
    <w:rsid w:val="00543F0F"/>
    <w:rsid w:val="00544465"/>
    <w:rsid w:val="0054463E"/>
    <w:rsid w:val="00544683"/>
    <w:rsid w:val="005446CE"/>
    <w:rsid w:val="00544AA7"/>
    <w:rsid w:val="00544AF1"/>
    <w:rsid w:val="00544CF1"/>
    <w:rsid w:val="00544E73"/>
    <w:rsid w:val="00545320"/>
    <w:rsid w:val="0054555C"/>
    <w:rsid w:val="005455A7"/>
    <w:rsid w:val="005455FB"/>
    <w:rsid w:val="00545681"/>
    <w:rsid w:val="005456E8"/>
    <w:rsid w:val="005459B9"/>
    <w:rsid w:val="00545EDF"/>
    <w:rsid w:val="00545F6F"/>
    <w:rsid w:val="005463DF"/>
    <w:rsid w:val="0054652D"/>
    <w:rsid w:val="00546554"/>
    <w:rsid w:val="00546E0C"/>
    <w:rsid w:val="00546F5D"/>
    <w:rsid w:val="00547348"/>
    <w:rsid w:val="005473C9"/>
    <w:rsid w:val="005474C1"/>
    <w:rsid w:val="005475AE"/>
    <w:rsid w:val="005478BC"/>
    <w:rsid w:val="00547B19"/>
    <w:rsid w:val="00547F64"/>
    <w:rsid w:val="00547F9E"/>
    <w:rsid w:val="0055007D"/>
    <w:rsid w:val="00550171"/>
    <w:rsid w:val="005507C5"/>
    <w:rsid w:val="00550868"/>
    <w:rsid w:val="00550BE2"/>
    <w:rsid w:val="00550CF5"/>
    <w:rsid w:val="00550F4B"/>
    <w:rsid w:val="005513EE"/>
    <w:rsid w:val="0055144C"/>
    <w:rsid w:val="005515E3"/>
    <w:rsid w:val="0055186B"/>
    <w:rsid w:val="00551C5E"/>
    <w:rsid w:val="00551DC0"/>
    <w:rsid w:val="00551FCC"/>
    <w:rsid w:val="00552041"/>
    <w:rsid w:val="00552201"/>
    <w:rsid w:val="00552306"/>
    <w:rsid w:val="0055247A"/>
    <w:rsid w:val="0055274F"/>
    <w:rsid w:val="00552A1B"/>
    <w:rsid w:val="00552AAB"/>
    <w:rsid w:val="00552B29"/>
    <w:rsid w:val="00552C28"/>
    <w:rsid w:val="00552DB9"/>
    <w:rsid w:val="00552DDD"/>
    <w:rsid w:val="00552F5B"/>
    <w:rsid w:val="0055307C"/>
    <w:rsid w:val="00553175"/>
    <w:rsid w:val="005537B8"/>
    <w:rsid w:val="00553BC5"/>
    <w:rsid w:val="00553D5A"/>
    <w:rsid w:val="00553DA4"/>
    <w:rsid w:val="00553EC9"/>
    <w:rsid w:val="00553FD2"/>
    <w:rsid w:val="00554144"/>
    <w:rsid w:val="005541E0"/>
    <w:rsid w:val="0055451D"/>
    <w:rsid w:val="0055474C"/>
    <w:rsid w:val="00554C01"/>
    <w:rsid w:val="00554CEC"/>
    <w:rsid w:val="00555084"/>
    <w:rsid w:val="005554BD"/>
    <w:rsid w:val="0055561A"/>
    <w:rsid w:val="00555A11"/>
    <w:rsid w:val="00555F72"/>
    <w:rsid w:val="00556061"/>
    <w:rsid w:val="00556192"/>
    <w:rsid w:val="0055681E"/>
    <w:rsid w:val="00556932"/>
    <w:rsid w:val="00556945"/>
    <w:rsid w:val="005569A9"/>
    <w:rsid w:val="00556AE8"/>
    <w:rsid w:val="00556B51"/>
    <w:rsid w:val="00556CB8"/>
    <w:rsid w:val="00556FB2"/>
    <w:rsid w:val="00556FD0"/>
    <w:rsid w:val="00556FE6"/>
    <w:rsid w:val="0055714C"/>
    <w:rsid w:val="00557324"/>
    <w:rsid w:val="0055753C"/>
    <w:rsid w:val="00557984"/>
    <w:rsid w:val="00557B21"/>
    <w:rsid w:val="00557D2A"/>
    <w:rsid w:val="005602AE"/>
    <w:rsid w:val="00560494"/>
    <w:rsid w:val="00560519"/>
    <w:rsid w:val="005605F7"/>
    <w:rsid w:val="00560735"/>
    <w:rsid w:val="005607F2"/>
    <w:rsid w:val="00560B1B"/>
    <w:rsid w:val="00560EBD"/>
    <w:rsid w:val="00561238"/>
    <w:rsid w:val="00561331"/>
    <w:rsid w:val="0056168F"/>
    <w:rsid w:val="0056183E"/>
    <w:rsid w:val="005619B0"/>
    <w:rsid w:val="005619C0"/>
    <w:rsid w:val="00561EF9"/>
    <w:rsid w:val="00562423"/>
    <w:rsid w:val="00562635"/>
    <w:rsid w:val="0056274F"/>
    <w:rsid w:val="00562CD7"/>
    <w:rsid w:val="00562E6D"/>
    <w:rsid w:val="005633FE"/>
    <w:rsid w:val="005634AB"/>
    <w:rsid w:val="00563512"/>
    <w:rsid w:val="005635E3"/>
    <w:rsid w:val="00563633"/>
    <w:rsid w:val="00563929"/>
    <w:rsid w:val="00563A2A"/>
    <w:rsid w:val="00563DB1"/>
    <w:rsid w:val="00563EB4"/>
    <w:rsid w:val="00564055"/>
    <w:rsid w:val="005643FF"/>
    <w:rsid w:val="0056456B"/>
    <w:rsid w:val="00564775"/>
    <w:rsid w:val="00564A62"/>
    <w:rsid w:val="00564E32"/>
    <w:rsid w:val="00565073"/>
    <w:rsid w:val="0056509D"/>
    <w:rsid w:val="005654C2"/>
    <w:rsid w:val="00565C04"/>
    <w:rsid w:val="00565F30"/>
    <w:rsid w:val="005661B3"/>
    <w:rsid w:val="00566440"/>
    <w:rsid w:val="00566558"/>
    <w:rsid w:val="005668FB"/>
    <w:rsid w:val="00566B64"/>
    <w:rsid w:val="00566B69"/>
    <w:rsid w:val="00566DDF"/>
    <w:rsid w:val="00566F90"/>
    <w:rsid w:val="00567254"/>
    <w:rsid w:val="005674F2"/>
    <w:rsid w:val="00567A4B"/>
    <w:rsid w:val="00567C5C"/>
    <w:rsid w:val="00567D41"/>
    <w:rsid w:val="00567D98"/>
    <w:rsid w:val="00567E93"/>
    <w:rsid w:val="00567F04"/>
    <w:rsid w:val="00567F84"/>
    <w:rsid w:val="00567FF3"/>
    <w:rsid w:val="0056F39E"/>
    <w:rsid w:val="005702F4"/>
    <w:rsid w:val="00570343"/>
    <w:rsid w:val="0057034F"/>
    <w:rsid w:val="005703DF"/>
    <w:rsid w:val="0057049F"/>
    <w:rsid w:val="00570648"/>
    <w:rsid w:val="00570970"/>
    <w:rsid w:val="005709A1"/>
    <w:rsid w:val="00570A96"/>
    <w:rsid w:val="00570B9E"/>
    <w:rsid w:val="00571116"/>
    <w:rsid w:val="00571126"/>
    <w:rsid w:val="005713AF"/>
    <w:rsid w:val="00571521"/>
    <w:rsid w:val="005719B3"/>
    <w:rsid w:val="00571AF2"/>
    <w:rsid w:val="0057213A"/>
    <w:rsid w:val="0057242D"/>
    <w:rsid w:val="00572684"/>
    <w:rsid w:val="00572966"/>
    <w:rsid w:val="005729BA"/>
    <w:rsid w:val="00572B74"/>
    <w:rsid w:val="00572E87"/>
    <w:rsid w:val="00572EB0"/>
    <w:rsid w:val="00572EB8"/>
    <w:rsid w:val="005731BA"/>
    <w:rsid w:val="00573341"/>
    <w:rsid w:val="00573507"/>
    <w:rsid w:val="005735D0"/>
    <w:rsid w:val="005738DC"/>
    <w:rsid w:val="00573C37"/>
    <w:rsid w:val="00573CDD"/>
    <w:rsid w:val="0057440E"/>
    <w:rsid w:val="005745FC"/>
    <w:rsid w:val="00574900"/>
    <w:rsid w:val="005750B3"/>
    <w:rsid w:val="0057512C"/>
    <w:rsid w:val="00575523"/>
    <w:rsid w:val="005756C8"/>
    <w:rsid w:val="00575AC2"/>
    <w:rsid w:val="00575B01"/>
    <w:rsid w:val="00575F04"/>
    <w:rsid w:val="0057624F"/>
    <w:rsid w:val="00576BAC"/>
    <w:rsid w:val="00576E1D"/>
    <w:rsid w:val="0057707C"/>
    <w:rsid w:val="00577531"/>
    <w:rsid w:val="00577CBC"/>
    <w:rsid w:val="00577EF1"/>
    <w:rsid w:val="00580B1A"/>
    <w:rsid w:val="00580FD3"/>
    <w:rsid w:val="005812B9"/>
    <w:rsid w:val="00581398"/>
    <w:rsid w:val="0058167B"/>
    <w:rsid w:val="0058185A"/>
    <w:rsid w:val="005818DB"/>
    <w:rsid w:val="00581952"/>
    <w:rsid w:val="00581AE2"/>
    <w:rsid w:val="00582146"/>
    <w:rsid w:val="00582540"/>
    <w:rsid w:val="005827E6"/>
    <w:rsid w:val="005828D7"/>
    <w:rsid w:val="00582A59"/>
    <w:rsid w:val="00582BBC"/>
    <w:rsid w:val="00582D06"/>
    <w:rsid w:val="005833CA"/>
    <w:rsid w:val="005833DC"/>
    <w:rsid w:val="005835CD"/>
    <w:rsid w:val="005837A2"/>
    <w:rsid w:val="00583963"/>
    <w:rsid w:val="00583B30"/>
    <w:rsid w:val="00583D11"/>
    <w:rsid w:val="00583D3B"/>
    <w:rsid w:val="00583E50"/>
    <w:rsid w:val="00583E9F"/>
    <w:rsid w:val="00583FAE"/>
    <w:rsid w:val="005840E0"/>
    <w:rsid w:val="00584303"/>
    <w:rsid w:val="00584332"/>
    <w:rsid w:val="0058451B"/>
    <w:rsid w:val="00584796"/>
    <w:rsid w:val="005848F5"/>
    <w:rsid w:val="00584B39"/>
    <w:rsid w:val="00584CC9"/>
    <w:rsid w:val="00584DAB"/>
    <w:rsid w:val="00584E2A"/>
    <w:rsid w:val="00584ED9"/>
    <w:rsid w:val="00584EDD"/>
    <w:rsid w:val="00585042"/>
    <w:rsid w:val="005850A0"/>
    <w:rsid w:val="00585495"/>
    <w:rsid w:val="0058549D"/>
    <w:rsid w:val="00585A52"/>
    <w:rsid w:val="00585AE4"/>
    <w:rsid w:val="00585ED0"/>
    <w:rsid w:val="00586761"/>
    <w:rsid w:val="00586902"/>
    <w:rsid w:val="00586920"/>
    <w:rsid w:val="00586986"/>
    <w:rsid w:val="00586A7B"/>
    <w:rsid w:val="00586A89"/>
    <w:rsid w:val="00586BDD"/>
    <w:rsid w:val="00586CE0"/>
    <w:rsid w:val="00586D8C"/>
    <w:rsid w:val="00587343"/>
    <w:rsid w:val="005876F8"/>
    <w:rsid w:val="00587818"/>
    <w:rsid w:val="00587971"/>
    <w:rsid w:val="00587A65"/>
    <w:rsid w:val="00587A70"/>
    <w:rsid w:val="00587F2D"/>
    <w:rsid w:val="00587FB3"/>
    <w:rsid w:val="0058ECD5"/>
    <w:rsid w:val="0059003A"/>
    <w:rsid w:val="005903B2"/>
    <w:rsid w:val="00590773"/>
    <w:rsid w:val="00591035"/>
    <w:rsid w:val="0059161B"/>
    <w:rsid w:val="00591624"/>
    <w:rsid w:val="005919D2"/>
    <w:rsid w:val="00591C19"/>
    <w:rsid w:val="00591CC6"/>
    <w:rsid w:val="00591EEB"/>
    <w:rsid w:val="005929D2"/>
    <w:rsid w:val="0059324E"/>
    <w:rsid w:val="00593C88"/>
    <w:rsid w:val="005940AB"/>
    <w:rsid w:val="0059463F"/>
    <w:rsid w:val="005949C1"/>
    <w:rsid w:val="00594A53"/>
    <w:rsid w:val="00594A82"/>
    <w:rsid w:val="00594BA7"/>
    <w:rsid w:val="005950E2"/>
    <w:rsid w:val="005951F7"/>
    <w:rsid w:val="005954BD"/>
    <w:rsid w:val="0059568F"/>
    <w:rsid w:val="005959EF"/>
    <w:rsid w:val="00595BC5"/>
    <w:rsid w:val="00595F37"/>
    <w:rsid w:val="00595FBF"/>
    <w:rsid w:val="005961B6"/>
    <w:rsid w:val="005963AF"/>
    <w:rsid w:val="005965AE"/>
    <w:rsid w:val="005969C0"/>
    <w:rsid w:val="00596AE2"/>
    <w:rsid w:val="00596C6C"/>
    <w:rsid w:val="00596DF0"/>
    <w:rsid w:val="00596FA1"/>
    <w:rsid w:val="0059733E"/>
    <w:rsid w:val="005974CE"/>
    <w:rsid w:val="00597BFC"/>
    <w:rsid w:val="00597F89"/>
    <w:rsid w:val="005A005A"/>
    <w:rsid w:val="005A016F"/>
    <w:rsid w:val="005A07FD"/>
    <w:rsid w:val="005A0D6D"/>
    <w:rsid w:val="005A0DA5"/>
    <w:rsid w:val="005A0FAC"/>
    <w:rsid w:val="005A110C"/>
    <w:rsid w:val="005A1973"/>
    <w:rsid w:val="005A1E73"/>
    <w:rsid w:val="005A20AF"/>
    <w:rsid w:val="005A236B"/>
    <w:rsid w:val="005A2535"/>
    <w:rsid w:val="005A25F3"/>
    <w:rsid w:val="005A2746"/>
    <w:rsid w:val="005A29DF"/>
    <w:rsid w:val="005A2BA5"/>
    <w:rsid w:val="005A2D58"/>
    <w:rsid w:val="005A3104"/>
    <w:rsid w:val="005A3283"/>
    <w:rsid w:val="005A3AFA"/>
    <w:rsid w:val="005A3B68"/>
    <w:rsid w:val="005A3CC1"/>
    <w:rsid w:val="005A3D90"/>
    <w:rsid w:val="005A3FD2"/>
    <w:rsid w:val="005A40B5"/>
    <w:rsid w:val="005A41FC"/>
    <w:rsid w:val="005A4265"/>
    <w:rsid w:val="005A4380"/>
    <w:rsid w:val="005A44AF"/>
    <w:rsid w:val="005A44CD"/>
    <w:rsid w:val="005A466B"/>
    <w:rsid w:val="005A478A"/>
    <w:rsid w:val="005A494E"/>
    <w:rsid w:val="005A5225"/>
    <w:rsid w:val="005A541B"/>
    <w:rsid w:val="005A5464"/>
    <w:rsid w:val="005A5A1C"/>
    <w:rsid w:val="005A5A44"/>
    <w:rsid w:val="005A5AF0"/>
    <w:rsid w:val="005A5BBC"/>
    <w:rsid w:val="005A5FC2"/>
    <w:rsid w:val="005A618C"/>
    <w:rsid w:val="005A649A"/>
    <w:rsid w:val="005A65B6"/>
    <w:rsid w:val="005A682B"/>
    <w:rsid w:val="005A6E27"/>
    <w:rsid w:val="005A73D6"/>
    <w:rsid w:val="005A788F"/>
    <w:rsid w:val="005A7AAE"/>
    <w:rsid w:val="005A7E36"/>
    <w:rsid w:val="005A7E9B"/>
    <w:rsid w:val="005A7FBE"/>
    <w:rsid w:val="005B00A9"/>
    <w:rsid w:val="005B013F"/>
    <w:rsid w:val="005B0357"/>
    <w:rsid w:val="005B0510"/>
    <w:rsid w:val="005B0608"/>
    <w:rsid w:val="005B0745"/>
    <w:rsid w:val="005B0B96"/>
    <w:rsid w:val="005B0E0B"/>
    <w:rsid w:val="005B0F3B"/>
    <w:rsid w:val="005B1120"/>
    <w:rsid w:val="005B11F8"/>
    <w:rsid w:val="005B14B8"/>
    <w:rsid w:val="005B14BD"/>
    <w:rsid w:val="005B186D"/>
    <w:rsid w:val="005B1880"/>
    <w:rsid w:val="005B1AD6"/>
    <w:rsid w:val="005B1ADE"/>
    <w:rsid w:val="005B213B"/>
    <w:rsid w:val="005B22B5"/>
    <w:rsid w:val="005B2420"/>
    <w:rsid w:val="005B26A1"/>
    <w:rsid w:val="005B2872"/>
    <w:rsid w:val="005B2944"/>
    <w:rsid w:val="005B2A64"/>
    <w:rsid w:val="005B32B5"/>
    <w:rsid w:val="005B32C6"/>
    <w:rsid w:val="005B3361"/>
    <w:rsid w:val="005B33A0"/>
    <w:rsid w:val="005B33A6"/>
    <w:rsid w:val="005B37DF"/>
    <w:rsid w:val="005B3885"/>
    <w:rsid w:val="005B3D6B"/>
    <w:rsid w:val="005B3E02"/>
    <w:rsid w:val="005B3E6C"/>
    <w:rsid w:val="005B3F3C"/>
    <w:rsid w:val="005B3FEB"/>
    <w:rsid w:val="005B41C0"/>
    <w:rsid w:val="005B41E1"/>
    <w:rsid w:val="005B426E"/>
    <w:rsid w:val="005B467D"/>
    <w:rsid w:val="005B4BD0"/>
    <w:rsid w:val="005B500B"/>
    <w:rsid w:val="005B52E8"/>
    <w:rsid w:val="005B53D9"/>
    <w:rsid w:val="005B5735"/>
    <w:rsid w:val="005B57EE"/>
    <w:rsid w:val="005B5B65"/>
    <w:rsid w:val="005B6415"/>
    <w:rsid w:val="005B67A8"/>
    <w:rsid w:val="005B68C0"/>
    <w:rsid w:val="005B6B7F"/>
    <w:rsid w:val="005B6BF4"/>
    <w:rsid w:val="005B6CEC"/>
    <w:rsid w:val="005B6D71"/>
    <w:rsid w:val="005B6E18"/>
    <w:rsid w:val="005B70CD"/>
    <w:rsid w:val="005B7324"/>
    <w:rsid w:val="005B7402"/>
    <w:rsid w:val="005B746D"/>
    <w:rsid w:val="005B748E"/>
    <w:rsid w:val="005B787F"/>
    <w:rsid w:val="005B7C36"/>
    <w:rsid w:val="005B7CFF"/>
    <w:rsid w:val="005B7F33"/>
    <w:rsid w:val="005C0007"/>
    <w:rsid w:val="005C048B"/>
    <w:rsid w:val="005C07A1"/>
    <w:rsid w:val="005C09AA"/>
    <w:rsid w:val="005C1117"/>
    <w:rsid w:val="005C11B8"/>
    <w:rsid w:val="005C122C"/>
    <w:rsid w:val="005C171B"/>
    <w:rsid w:val="005C1A36"/>
    <w:rsid w:val="005C1DAC"/>
    <w:rsid w:val="005C207F"/>
    <w:rsid w:val="005C2441"/>
    <w:rsid w:val="005C2D3D"/>
    <w:rsid w:val="005C3058"/>
    <w:rsid w:val="005C305F"/>
    <w:rsid w:val="005C3096"/>
    <w:rsid w:val="005C31AB"/>
    <w:rsid w:val="005C34CB"/>
    <w:rsid w:val="005C35E2"/>
    <w:rsid w:val="005C394D"/>
    <w:rsid w:val="005C3FB6"/>
    <w:rsid w:val="005C42AD"/>
    <w:rsid w:val="005C4409"/>
    <w:rsid w:val="005C440D"/>
    <w:rsid w:val="005C495C"/>
    <w:rsid w:val="005C4B69"/>
    <w:rsid w:val="005C4E96"/>
    <w:rsid w:val="005C4ED3"/>
    <w:rsid w:val="005C55D9"/>
    <w:rsid w:val="005C5674"/>
    <w:rsid w:val="005C5BB1"/>
    <w:rsid w:val="005C5E51"/>
    <w:rsid w:val="005C639D"/>
    <w:rsid w:val="005C67CF"/>
    <w:rsid w:val="005C69E6"/>
    <w:rsid w:val="005C6B86"/>
    <w:rsid w:val="005C6EA8"/>
    <w:rsid w:val="005C7045"/>
    <w:rsid w:val="005C706B"/>
    <w:rsid w:val="005C731D"/>
    <w:rsid w:val="005C7490"/>
    <w:rsid w:val="005C76B7"/>
    <w:rsid w:val="005C7747"/>
    <w:rsid w:val="005C775D"/>
    <w:rsid w:val="005C7A5C"/>
    <w:rsid w:val="005C7CDB"/>
    <w:rsid w:val="005C7EAE"/>
    <w:rsid w:val="005D080B"/>
    <w:rsid w:val="005D0BE5"/>
    <w:rsid w:val="005D0EA7"/>
    <w:rsid w:val="005D11C0"/>
    <w:rsid w:val="005D16E2"/>
    <w:rsid w:val="005D1801"/>
    <w:rsid w:val="005D1B7F"/>
    <w:rsid w:val="005D1D30"/>
    <w:rsid w:val="005D1EDB"/>
    <w:rsid w:val="005D1FC3"/>
    <w:rsid w:val="005D2256"/>
    <w:rsid w:val="005D23FE"/>
    <w:rsid w:val="005D2484"/>
    <w:rsid w:val="005D2568"/>
    <w:rsid w:val="005D2768"/>
    <w:rsid w:val="005D285B"/>
    <w:rsid w:val="005D2891"/>
    <w:rsid w:val="005D2A80"/>
    <w:rsid w:val="005D2CBE"/>
    <w:rsid w:val="005D2F51"/>
    <w:rsid w:val="005D3283"/>
    <w:rsid w:val="005D3936"/>
    <w:rsid w:val="005D3D41"/>
    <w:rsid w:val="005D428A"/>
    <w:rsid w:val="005D42CC"/>
    <w:rsid w:val="005D456E"/>
    <w:rsid w:val="005D45D8"/>
    <w:rsid w:val="005D48C3"/>
    <w:rsid w:val="005D5323"/>
    <w:rsid w:val="005D535C"/>
    <w:rsid w:val="005D553D"/>
    <w:rsid w:val="005D587A"/>
    <w:rsid w:val="005D5895"/>
    <w:rsid w:val="005D63C5"/>
    <w:rsid w:val="005D6928"/>
    <w:rsid w:val="005D6B79"/>
    <w:rsid w:val="005D7487"/>
    <w:rsid w:val="005D7562"/>
    <w:rsid w:val="005D7627"/>
    <w:rsid w:val="005D7A0E"/>
    <w:rsid w:val="005D7A6A"/>
    <w:rsid w:val="005D7C08"/>
    <w:rsid w:val="005D7E90"/>
    <w:rsid w:val="005E00E8"/>
    <w:rsid w:val="005E023D"/>
    <w:rsid w:val="005E025F"/>
    <w:rsid w:val="005E0744"/>
    <w:rsid w:val="005E0A81"/>
    <w:rsid w:val="005E0C30"/>
    <w:rsid w:val="005E122A"/>
    <w:rsid w:val="005E125B"/>
    <w:rsid w:val="005E133A"/>
    <w:rsid w:val="005E134F"/>
    <w:rsid w:val="005E14AE"/>
    <w:rsid w:val="005E159B"/>
    <w:rsid w:val="005E161B"/>
    <w:rsid w:val="005E165E"/>
    <w:rsid w:val="005E169D"/>
    <w:rsid w:val="005E1852"/>
    <w:rsid w:val="005E19DC"/>
    <w:rsid w:val="005E1DDE"/>
    <w:rsid w:val="005E2132"/>
    <w:rsid w:val="005E22F4"/>
    <w:rsid w:val="005E23FF"/>
    <w:rsid w:val="005E258C"/>
    <w:rsid w:val="005E274C"/>
    <w:rsid w:val="005E2772"/>
    <w:rsid w:val="005E27ED"/>
    <w:rsid w:val="005E2914"/>
    <w:rsid w:val="005E2BBD"/>
    <w:rsid w:val="005E3086"/>
    <w:rsid w:val="005E34DF"/>
    <w:rsid w:val="005E34E1"/>
    <w:rsid w:val="005E360C"/>
    <w:rsid w:val="005E3962"/>
    <w:rsid w:val="005E3BCA"/>
    <w:rsid w:val="005E3EFB"/>
    <w:rsid w:val="005E43CA"/>
    <w:rsid w:val="005E494E"/>
    <w:rsid w:val="005E496A"/>
    <w:rsid w:val="005E4C71"/>
    <w:rsid w:val="005E51F6"/>
    <w:rsid w:val="005E52A6"/>
    <w:rsid w:val="005E52BD"/>
    <w:rsid w:val="005E533F"/>
    <w:rsid w:val="005E593B"/>
    <w:rsid w:val="005E6210"/>
    <w:rsid w:val="005E648A"/>
    <w:rsid w:val="005E66AE"/>
    <w:rsid w:val="005E681C"/>
    <w:rsid w:val="005E69DD"/>
    <w:rsid w:val="005E6BCA"/>
    <w:rsid w:val="005E6C00"/>
    <w:rsid w:val="005E6E9F"/>
    <w:rsid w:val="005E6F85"/>
    <w:rsid w:val="005E7073"/>
    <w:rsid w:val="005E7247"/>
    <w:rsid w:val="005E7277"/>
    <w:rsid w:val="005E7832"/>
    <w:rsid w:val="005E79D0"/>
    <w:rsid w:val="005E79F7"/>
    <w:rsid w:val="005E7D8A"/>
    <w:rsid w:val="005E7E94"/>
    <w:rsid w:val="005E7FE8"/>
    <w:rsid w:val="005F0100"/>
    <w:rsid w:val="005F03C9"/>
    <w:rsid w:val="005F03CA"/>
    <w:rsid w:val="005F0CF5"/>
    <w:rsid w:val="005F0F1D"/>
    <w:rsid w:val="005F0F4A"/>
    <w:rsid w:val="005F0F8C"/>
    <w:rsid w:val="005F0FB0"/>
    <w:rsid w:val="005F148B"/>
    <w:rsid w:val="005F15E2"/>
    <w:rsid w:val="005F16DE"/>
    <w:rsid w:val="005F17DE"/>
    <w:rsid w:val="005F1E43"/>
    <w:rsid w:val="005F1E54"/>
    <w:rsid w:val="005F20A1"/>
    <w:rsid w:val="005F2188"/>
    <w:rsid w:val="005F2474"/>
    <w:rsid w:val="005F272A"/>
    <w:rsid w:val="005F2794"/>
    <w:rsid w:val="005F29AE"/>
    <w:rsid w:val="005F2A23"/>
    <w:rsid w:val="005F2AF1"/>
    <w:rsid w:val="005F32B9"/>
    <w:rsid w:val="005F3330"/>
    <w:rsid w:val="005F3FC8"/>
    <w:rsid w:val="005F3FDB"/>
    <w:rsid w:val="005F438D"/>
    <w:rsid w:val="005F441B"/>
    <w:rsid w:val="005F443D"/>
    <w:rsid w:val="005F4467"/>
    <w:rsid w:val="005F4682"/>
    <w:rsid w:val="005F487B"/>
    <w:rsid w:val="005F507E"/>
    <w:rsid w:val="005F50B1"/>
    <w:rsid w:val="005F5326"/>
    <w:rsid w:val="005F5764"/>
    <w:rsid w:val="005F5821"/>
    <w:rsid w:val="005F5E73"/>
    <w:rsid w:val="005F613B"/>
    <w:rsid w:val="005F61CA"/>
    <w:rsid w:val="005F648C"/>
    <w:rsid w:val="005F6515"/>
    <w:rsid w:val="005F6632"/>
    <w:rsid w:val="005F6633"/>
    <w:rsid w:val="005F6767"/>
    <w:rsid w:val="005F6860"/>
    <w:rsid w:val="005F6B80"/>
    <w:rsid w:val="005F70EE"/>
    <w:rsid w:val="005F7C2E"/>
    <w:rsid w:val="00600132"/>
    <w:rsid w:val="006004F0"/>
    <w:rsid w:val="00600538"/>
    <w:rsid w:val="00600AC2"/>
    <w:rsid w:val="00600ED0"/>
    <w:rsid w:val="00601261"/>
    <w:rsid w:val="006016E7"/>
    <w:rsid w:val="00601730"/>
    <w:rsid w:val="006017A3"/>
    <w:rsid w:val="00601A1D"/>
    <w:rsid w:val="00601E37"/>
    <w:rsid w:val="00601EAA"/>
    <w:rsid w:val="00602054"/>
    <w:rsid w:val="00602212"/>
    <w:rsid w:val="0060256A"/>
    <w:rsid w:val="0060271D"/>
    <w:rsid w:val="006027CE"/>
    <w:rsid w:val="006028E5"/>
    <w:rsid w:val="00602B26"/>
    <w:rsid w:val="00602BF4"/>
    <w:rsid w:val="00602C48"/>
    <w:rsid w:val="00602D5D"/>
    <w:rsid w:val="00603234"/>
    <w:rsid w:val="00603373"/>
    <w:rsid w:val="006033B3"/>
    <w:rsid w:val="006034E2"/>
    <w:rsid w:val="006035F9"/>
    <w:rsid w:val="006036C1"/>
    <w:rsid w:val="00603748"/>
    <w:rsid w:val="006038FB"/>
    <w:rsid w:val="00603B48"/>
    <w:rsid w:val="00603C12"/>
    <w:rsid w:val="00603FFC"/>
    <w:rsid w:val="00604032"/>
    <w:rsid w:val="006040CD"/>
    <w:rsid w:val="00604217"/>
    <w:rsid w:val="0060441D"/>
    <w:rsid w:val="0060444E"/>
    <w:rsid w:val="00604577"/>
    <w:rsid w:val="006049F9"/>
    <w:rsid w:val="00604A78"/>
    <w:rsid w:val="00604C1C"/>
    <w:rsid w:val="00604E50"/>
    <w:rsid w:val="00604E55"/>
    <w:rsid w:val="00605341"/>
    <w:rsid w:val="00605495"/>
    <w:rsid w:val="006060A3"/>
    <w:rsid w:val="00606193"/>
    <w:rsid w:val="00606AE2"/>
    <w:rsid w:val="00606BD8"/>
    <w:rsid w:val="00606FEC"/>
    <w:rsid w:val="0060706D"/>
    <w:rsid w:val="0060709C"/>
    <w:rsid w:val="00607A38"/>
    <w:rsid w:val="00607BC6"/>
    <w:rsid w:val="00610819"/>
    <w:rsid w:val="00610AC8"/>
    <w:rsid w:val="00610BD1"/>
    <w:rsid w:val="006110EA"/>
    <w:rsid w:val="00611177"/>
    <w:rsid w:val="00611472"/>
    <w:rsid w:val="00611473"/>
    <w:rsid w:val="0061160A"/>
    <w:rsid w:val="006118EA"/>
    <w:rsid w:val="00611AF8"/>
    <w:rsid w:val="00611E9B"/>
    <w:rsid w:val="00611FAE"/>
    <w:rsid w:val="006121C0"/>
    <w:rsid w:val="0061221A"/>
    <w:rsid w:val="0061284E"/>
    <w:rsid w:val="00612A0D"/>
    <w:rsid w:val="00612BD4"/>
    <w:rsid w:val="006135B4"/>
    <w:rsid w:val="00613738"/>
    <w:rsid w:val="00613822"/>
    <w:rsid w:val="00613BF3"/>
    <w:rsid w:val="00613CE8"/>
    <w:rsid w:val="00613E31"/>
    <w:rsid w:val="006143BE"/>
    <w:rsid w:val="00614C08"/>
    <w:rsid w:val="00615236"/>
    <w:rsid w:val="006156F9"/>
    <w:rsid w:val="00615A16"/>
    <w:rsid w:val="00615AC8"/>
    <w:rsid w:val="00615E33"/>
    <w:rsid w:val="00615F8A"/>
    <w:rsid w:val="006165A5"/>
    <w:rsid w:val="006166E2"/>
    <w:rsid w:val="00616773"/>
    <w:rsid w:val="006167B8"/>
    <w:rsid w:val="00616EF9"/>
    <w:rsid w:val="006170B2"/>
    <w:rsid w:val="006170C5"/>
    <w:rsid w:val="006170F2"/>
    <w:rsid w:val="00617452"/>
    <w:rsid w:val="0061792F"/>
    <w:rsid w:val="006179D4"/>
    <w:rsid w:val="00617B71"/>
    <w:rsid w:val="00617F90"/>
    <w:rsid w:val="00620487"/>
    <w:rsid w:val="0062072B"/>
    <w:rsid w:val="0062076E"/>
    <w:rsid w:val="00620828"/>
    <w:rsid w:val="006208E6"/>
    <w:rsid w:val="006208FF"/>
    <w:rsid w:val="00621072"/>
    <w:rsid w:val="006212A9"/>
    <w:rsid w:val="006212DD"/>
    <w:rsid w:val="00621372"/>
    <w:rsid w:val="00621591"/>
    <w:rsid w:val="006215A1"/>
    <w:rsid w:val="006215A3"/>
    <w:rsid w:val="00621BE4"/>
    <w:rsid w:val="00621E9F"/>
    <w:rsid w:val="0062207B"/>
    <w:rsid w:val="0062238B"/>
    <w:rsid w:val="00622507"/>
    <w:rsid w:val="00622946"/>
    <w:rsid w:val="006229B0"/>
    <w:rsid w:val="00622AE1"/>
    <w:rsid w:val="00622B20"/>
    <w:rsid w:val="00622C1F"/>
    <w:rsid w:val="00622CD5"/>
    <w:rsid w:val="00623AE9"/>
    <w:rsid w:val="00623B7B"/>
    <w:rsid w:val="006242A5"/>
    <w:rsid w:val="006246A9"/>
    <w:rsid w:val="006248C8"/>
    <w:rsid w:val="0062517A"/>
    <w:rsid w:val="0062527E"/>
    <w:rsid w:val="00625371"/>
    <w:rsid w:val="00625500"/>
    <w:rsid w:val="00625530"/>
    <w:rsid w:val="00625601"/>
    <w:rsid w:val="00625A37"/>
    <w:rsid w:val="00625AD3"/>
    <w:rsid w:val="00625B10"/>
    <w:rsid w:val="00625B45"/>
    <w:rsid w:val="00625BC4"/>
    <w:rsid w:val="006263C1"/>
    <w:rsid w:val="00626470"/>
    <w:rsid w:val="006267F6"/>
    <w:rsid w:val="00626985"/>
    <w:rsid w:val="006269C3"/>
    <w:rsid w:val="00626C31"/>
    <w:rsid w:val="00627010"/>
    <w:rsid w:val="00627335"/>
    <w:rsid w:val="00627387"/>
    <w:rsid w:val="0062753A"/>
    <w:rsid w:val="00627544"/>
    <w:rsid w:val="006276E2"/>
    <w:rsid w:val="006278CB"/>
    <w:rsid w:val="0062796D"/>
    <w:rsid w:val="00627CE0"/>
    <w:rsid w:val="00627CE6"/>
    <w:rsid w:val="006300B5"/>
    <w:rsid w:val="006300C2"/>
    <w:rsid w:val="006304BC"/>
    <w:rsid w:val="00630806"/>
    <w:rsid w:val="0063096A"/>
    <w:rsid w:val="00630A34"/>
    <w:rsid w:val="00630DC2"/>
    <w:rsid w:val="00630F33"/>
    <w:rsid w:val="0063116F"/>
    <w:rsid w:val="00631388"/>
    <w:rsid w:val="00631465"/>
    <w:rsid w:val="00631534"/>
    <w:rsid w:val="0063155B"/>
    <w:rsid w:val="0063173E"/>
    <w:rsid w:val="00631907"/>
    <w:rsid w:val="00631AF0"/>
    <w:rsid w:val="00632307"/>
    <w:rsid w:val="00632561"/>
    <w:rsid w:val="00632563"/>
    <w:rsid w:val="00632D85"/>
    <w:rsid w:val="00633071"/>
    <w:rsid w:val="006332E7"/>
    <w:rsid w:val="006335D6"/>
    <w:rsid w:val="006338D9"/>
    <w:rsid w:val="0063393D"/>
    <w:rsid w:val="00633FD1"/>
    <w:rsid w:val="00634053"/>
    <w:rsid w:val="00634513"/>
    <w:rsid w:val="006345C5"/>
    <w:rsid w:val="00634617"/>
    <w:rsid w:val="00634B08"/>
    <w:rsid w:val="00634B6A"/>
    <w:rsid w:val="00634C91"/>
    <w:rsid w:val="00634E23"/>
    <w:rsid w:val="00634FA8"/>
    <w:rsid w:val="006350D5"/>
    <w:rsid w:val="006351A5"/>
    <w:rsid w:val="00635451"/>
    <w:rsid w:val="0063565A"/>
    <w:rsid w:val="00635741"/>
    <w:rsid w:val="00635827"/>
    <w:rsid w:val="006359AB"/>
    <w:rsid w:val="00635AF3"/>
    <w:rsid w:val="00635D94"/>
    <w:rsid w:val="006363AF"/>
    <w:rsid w:val="006365D0"/>
    <w:rsid w:val="00636ADE"/>
    <w:rsid w:val="00636AF8"/>
    <w:rsid w:val="00636BA1"/>
    <w:rsid w:val="00636F40"/>
    <w:rsid w:val="00637598"/>
    <w:rsid w:val="006377D6"/>
    <w:rsid w:val="00637A8D"/>
    <w:rsid w:val="00637A98"/>
    <w:rsid w:val="006402C4"/>
    <w:rsid w:val="0064078D"/>
    <w:rsid w:val="00640CC6"/>
    <w:rsid w:val="00641160"/>
    <w:rsid w:val="006411DF"/>
    <w:rsid w:val="0064135C"/>
    <w:rsid w:val="006415B9"/>
    <w:rsid w:val="00641B34"/>
    <w:rsid w:val="00641D81"/>
    <w:rsid w:val="00641EC3"/>
    <w:rsid w:val="0064245F"/>
    <w:rsid w:val="006424C4"/>
    <w:rsid w:val="00642F0C"/>
    <w:rsid w:val="00642FE9"/>
    <w:rsid w:val="006430C8"/>
    <w:rsid w:val="006431C1"/>
    <w:rsid w:val="006431F1"/>
    <w:rsid w:val="0064338B"/>
    <w:rsid w:val="006434DE"/>
    <w:rsid w:val="006439B9"/>
    <w:rsid w:val="00643A2A"/>
    <w:rsid w:val="00643B2D"/>
    <w:rsid w:val="00643BDF"/>
    <w:rsid w:val="00643C4D"/>
    <w:rsid w:val="00643E0A"/>
    <w:rsid w:val="00643E7A"/>
    <w:rsid w:val="00644014"/>
    <w:rsid w:val="006441FF"/>
    <w:rsid w:val="0064457E"/>
    <w:rsid w:val="006445A1"/>
    <w:rsid w:val="00644748"/>
    <w:rsid w:val="00644CD9"/>
    <w:rsid w:val="00644D34"/>
    <w:rsid w:val="00644D90"/>
    <w:rsid w:val="0064502E"/>
    <w:rsid w:val="00645827"/>
    <w:rsid w:val="00645907"/>
    <w:rsid w:val="00645A2F"/>
    <w:rsid w:val="00645AE7"/>
    <w:rsid w:val="00645AF4"/>
    <w:rsid w:val="006469D9"/>
    <w:rsid w:val="00646EBC"/>
    <w:rsid w:val="006472F4"/>
    <w:rsid w:val="0064740B"/>
    <w:rsid w:val="00647593"/>
    <w:rsid w:val="00647A78"/>
    <w:rsid w:val="00647CF1"/>
    <w:rsid w:val="00647E4B"/>
    <w:rsid w:val="00647F62"/>
    <w:rsid w:val="006507BE"/>
    <w:rsid w:val="00650A81"/>
    <w:rsid w:val="00650CD6"/>
    <w:rsid w:val="00650F48"/>
    <w:rsid w:val="00650F75"/>
    <w:rsid w:val="0065118E"/>
    <w:rsid w:val="006514FB"/>
    <w:rsid w:val="00651582"/>
    <w:rsid w:val="006515D3"/>
    <w:rsid w:val="0065165E"/>
    <w:rsid w:val="00651835"/>
    <w:rsid w:val="00651967"/>
    <w:rsid w:val="00651A70"/>
    <w:rsid w:val="00651CF7"/>
    <w:rsid w:val="006520C7"/>
    <w:rsid w:val="006524B0"/>
    <w:rsid w:val="00652726"/>
    <w:rsid w:val="00652BA3"/>
    <w:rsid w:val="00652C1C"/>
    <w:rsid w:val="00652F57"/>
    <w:rsid w:val="006531EC"/>
    <w:rsid w:val="006532BC"/>
    <w:rsid w:val="0065341F"/>
    <w:rsid w:val="00653927"/>
    <w:rsid w:val="00653B25"/>
    <w:rsid w:val="00653C99"/>
    <w:rsid w:val="0065428D"/>
    <w:rsid w:val="006542CD"/>
    <w:rsid w:val="0065436D"/>
    <w:rsid w:val="006544E6"/>
    <w:rsid w:val="006548E0"/>
    <w:rsid w:val="00654B82"/>
    <w:rsid w:val="00654F3E"/>
    <w:rsid w:val="00654F9D"/>
    <w:rsid w:val="0065538F"/>
    <w:rsid w:val="00655435"/>
    <w:rsid w:val="00655498"/>
    <w:rsid w:val="00655624"/>
    <w:rsid w:val="00655D76"/>
    <w:rsid w:val="00655F4D"/>
    <w:rsid w:val="00656340"/>
    <w:rsid w:val="0065642C"/>
    <w:rsid w:val="00656459"/>
    <w:rsid w:val="00656670"/>
    <w:rsid w:val="0065692F"/>
    <w:rsid w:val="00656995"/>
    <w:rsid w:val="00656B11"/>
    <w:rsid w:val="00657151"/>
    <w:rsid w:val="006575AB"/>
    <w:rsid w:val="0065770B"/>
    <w:rsid w:val="00657BED"/>
    <w:rsid w:val="00657E1D"/>
    <w:rsid w:val="00657F30"/>
    <w:rsid w:val="006603B8"/>
    <w:rsid w:val="006603EE"/>
    <w:rsid w:val="00660772"/>
    <w:rsid w:val="006607A2"/>
    <w:rsid w:val="0066095B"/>
    <w:rsid w:val="006609E8"/>
    <w:rsid w:val="00660A25"/>
    <w:rsid w:val="00660C3D"/>
    <w:rsid w:val="0066106F"/>
    <w:rsid w:val="006610A7"/>
    <w:rsid w:val="00661194"/>
    <w:rsid w:val="0066134F"/>
    <w:rsid w:val="00661365"/>
    <w:rsid w:val="006614B7"/>
    <w:rsid w:val="00661A75"/>
    <w:rsid w:val="00661AF7"/>
    <w:rsid w:val="00661AF8"/>
    <w:rsid w:val="00661BC6"/>
    <w:rsid w:val="00661D16"/>
    <w:rsid w:val="00661DFD"/>
    <w:rsid w:val="00661EF8"/>
    <w:rsid w:val="00661F46"/>
    <w:rsid w:val="006630D3"/>
    <w:rsid w:val="00663213"/>
    <w:rsid w:val="0066368E"/>
    <w:rsid w:val="006638CA"/>
    <w:rsid w:val="00663D95"/>
    <w:rsid w:val="006643A8"/>
    <w:rsid w:val="006644D5"/>
    <w:rsid w:val="00664E87"/>
    <w:rsid w:val="00665115"/>
    <w:rsid w:val="00665122"/>
    <w:rsid w:val="00665205"/>
    <w:rsid w:val="00665391"/>
    <w:rsid w:val="00665780"/>
    <w:rsid w:val="00665942"/>
    <w:rsid w:val="00665B84"/>
    <w:rsid w:val="00666463"/>
    <w:rsid w:val="00666630"/>
    <w:rsid w:val="00666850"/>
    <w:rsid w:val="00666A2F"/>
    <w:rsid w:val="00666B2D"/>
    <w:rsid w:val="00666D38"/>
    <w:rsid w:val="006670B5"/>
    <w:rsid w:val="00667200"/>
    <w:rsid w:val="0066737B"/>
    <w:rsid w:val="006677DC"/>
    <w:rsid w:val="00667A5D"/>
    <w:rsid w:val="0067014A"/>
    <w:rsid w:val="006704E3"/>
    <w:rsid w:val="00670715"/>
    <w:rsid w:val="00670A13"/>
    <w:rsid w:val="00670D69"/>
    <w:rsid w:val="00670DCB"/>
    <w:rsid w:val="00670EEB"/>
    <w:rsid w:val="00670FC2"/>
    <w:rsid w:val="0067106F"/>
    <w:rsid w:val="006712EA"/>
    <w:rsid w:val="0067131C"/>
    <w:rsid w:val="006713CD"/>
    <w:rsid w:val="006714D7"/>
    <w:rsid w:val="006719E4"/>
    <w:rsid w:val="006722EC"/>
    <w:rsid w:val="006726CF"/>
    <w:rsid w:val="00673236"/>
    <w:rsid w:val="0067369D"/>
    <w:rsid w:val="00673803"/>
    <w:rsid w:val="00673A86"/>
    <w:rsid w:val="00673C55"/>
    <w:rsid w:val="00673D37"/>
    <w:rsid w:val="00673D70"/>
    <w:rsid w:val="00673E38"/>
    <w:rsid w:val="00673F72"/>
    <w:rsid w:val="0067409F"/>
    <w:rsid w:val="006743C7"/>
    <w:rsid w:val="0067455E"/>
    <w:rsid w:val="006749B7"/>
    <w:rsid w:val="00674B30"/>
    <w:rsid w:val="00674B5F"/>
    <w:rsid w:val="00674C2C"/>
    <w:rsid w:val="00674F9C"/>
    <w:rsid w:val="006750E9"/>
    <w:rsid w:val="006750ED"/>
    <w:rsid w:val="006752AD"/>
    <w:rsid w:val="00675BD2"/>
    <w:rsid w:val="00675E79"/>
    <w:rsid w:val="00675EEF"/>
    <w:rsid w:val="0067609E"/>
    <w:rsid w:val="00676228"/>
    <w:rsid w:val="006763DF"/>
    <w:rsid w:val="00676458"/>
    <w:rsid w:val="00676490"/>
    <w:rsid w:val="0067690E"/>
    <w:rsid w:val="00676A6C"/>
    <w:rsid w:val="00676D02"/>
    <w:rsid w:val="00676E6A"/>
    <w:rsid w:val="006772EF"/>
    <w:rsid w:val="00677598"/>
    <w:rsid w:val="006775CA"/>
    <w:rsid w:val="00677C8D"/>
    <w:rsid w:val="00680341"/>
    <w:rsid w:val="0068059F"/>
    <w:rsid w:val="0068061B"/>
    <w:rsid w:val="006807A5"/>
    <w:rsid w:val="00680A39"/>
    <w:rsid w:val="00680AD1"/>
    <w:rsid w:val="00680C23"/>
    <w:rsid w:val="00680D6A"/>
    <w:rsid w:val="00680DFB"/>
    <w:rsid w:val="0068121A"/>
    <w:rsid w:val="00681331"/>
    <w:rsid w:val="00681491"/>
    <w:rsid w:val="0068155D"/>
    <w:rsid w:val="006815AF"/>
    <w:rsid w:val="00681781"/>
    <w:rsid w:val="006819F4"/>
    <w:rsid w:val="00681A0F"/>
    <w:rsid w:val="00681D6D"/>
    <w:rsid w:val="00681DF0"/>
    <w:rsid w:val="00681FD4"/>
    <w:rsid w:val="00682265"/>
    <w:rsid w:val="0068237E"/>
    <w:rsid w:val="0068245C"/>
    <w:rsid w:val="00682508"/>
    <w:rsid w:val="00682DA2"/>
    <w:rsid w:val="00682FD4"/>
    <w:rsid w:val="0068339D"/>
    <w:rsid w:val="006836D4"/>
    <w:rsid w:val="0068371F"/>
    <w:rsid w:val="00683D4E"/>
    <w:rsid w:val="00683EEA"/>
    <w:rsid w:val="00684056"/>
    <w:rsid w:val="0068414A"/>
    <w:rsid w:val="0068438D"/>
    <w:rsid w:val="0068450B"/>
    <w:rsid w:val="006845F9"/>
    <w:rsid w:val="006845FA"/>
    <w:rsid w:val="00684A41"/>
    <w:rsid w:val="00684CB5"/>
    <w:rsid w:val="006855AC"/>
    <w:rsid w:val="006856B1"/>
    <w:rsid w:val="006857A0"/>
    <w:rsid w:val="00685CB4"/>
    <w:rsid w:val="00685CCE"/>
    <w:rsid w:val="00685F71"/>
    <w:rsid w:val="006861C4"/>
    <w:rsid w:val="006863CC"/>
    <w:rsid w:val="0068655A"/>
    <w:rsid w:val="006867E7"/>
    <w:rsid w:val="006868A8"/>
    <w:rsid w:val="00686D0F"/>
    <w:rsid w:val="00686D30"/>
    <w:rsid w:val="00686F06"/>
    <w:rsid w:val="00686F6F"/>
    <w:rsid w:val="006872AC"/>
    <w:rsid w:val="0068733C"/>
    <w:rsid w:val="0068751B"/>
    <w:rsid w:val="006878BB"/>
    <w:rsid w:val="00687C82"/>
    <w:rsid w:val="00687D14"/>
    <w:rsid w:val="00687D22"/>
    <w:rsid w:val="00687F92"/>
    <w:rsid w:val="006901BB"/>
    <w:rsid w:val="006904C5"/>
    <w:rsid w:val="006904DC"/>
    <w:rsid w:val="00690561"/>
    <w:rsid w:val="0069100F"/>
    <w:rsid w:val="00691226"/>
    <w:rsid w:val="00691554"/>
    <w:rsid w:val="00691ABB"/>
    <w:rsid w:val="00691B63"/>
    <w:rsid w:val="00691B86"/>
    <w:rsid w:val="0069266F"/>
    <w:rsid w:val="006927E6"/>
    <w:rsid w:val="006928FF"/>
    <w:rsid w:val="00692938"/>
    <w:rsid w:val="00692E7E"/>
    <w:rsid w:val="00693083"/>
    <w:rsid w:val="0069352F"/>
    <w:rsid w:val="00693B66"/>
    <w:rsid w:val="00693F04"/>
    <w:rsid w:val="0069449E"/>
    <w:rsid w:val="006947F0"/>
    <w:rsid w:val="00694DAB"/>
    <w:rsid w:val="00694E98"/>
    <w:rsid w:val="0069521A"/>
    <w:rsid w:val="00695A98"/>
    <w:rsid w:val="00695B22"/>
    <w:rsid w:val="00695C31"/>
    <w:rsid w:val="00695D37"/>
    <w:rsid w:val="00695D72"/>
    <w:rsid w:val="006963D6"/>
    <w:rsid w:val="006964B0"/>
    <w:rsid w:val="00696C4F"/>
    <w:rsid w:val="00696DA0"/>
    <w:rsid w:val="00696E45"/>
    <w:rsid w:val="00697491"/>
    <w:rsid w:val="0069757D"/>
    <w:rsid w:val="0069758C"/>
    <w:rsid w:val="00697739"/>
    <w:rsid w:val="006977B9"/>
    <w:rsid w:val="006979CA"/>
    <w:rsid w:val="00697DED"/>
    <w:rsid w:val="00697FC9"/>
    <w:rsid w:val="006A012D"/>
    <w:rsid w:val="006A0AFB"/>
    <w:rsid w:val="006A0D64"/>
    <w:rsid w:val="006A0D88"/>
    <w:rsid w:val="006A104E"/>
    <w:rsid w:val="006A1235"/>
    <w:rsid w:val="006A1245"/>
    <w:rsid w:val="006A13EE"/>
    <w:rsid w:val="006A1825"/>
    <w:rsid w:val="006A188B"/>
    <w:rsid w:val="006A18E0"/>
    <w:rsid w:val="006A1D94"/>
    <w:rsid w:val="006A1E64"/>
    <w:rsid w:val="006A22A3"/>
    <w:rsid w:val="006A2316"/>
    <w:rsid w:val="006A236B"/>
    <w:rsid w:val="006A2382"/>
    <w:rsid w:val="006A23BC"/>
    <w:rsid w:val="006A24BB"/>
    <w:rsid w:val="006A25FB"/>
    <w:rsid w:val="006A265A"/>
    <w:rsid w:val="006A27D1"/>
    <w:rsid w:val="006A2BEF"/>
    <w:rsid w:val="006A2FF4"/>
    <w:rsid w:val="006A33A3"/>
    <w:rsid w:val="006A350F"/>
    <w:rsid w:val="006A3745"/>
    <w:rsid w:val="006A37A9"/>
    <w:rsid w:val="006A39AB"/>
    <w:rsid w:val="006A3E7C"/>
    <w:rsid w:val="006A3EB5"/>
    <w:rsid w:val="006A3F1E"/>
    <w:rsid w:val="006A4015"/>
    <w:rsid w:val="006A45EA"/>
    <w:rsid w:val="006A4810"/>
    <w:rsid w:val="006A4869"/>
    <w:rsid w:val="006A4907"/>
    <w:rsid w:val="006A496E"/>
    <w:rsid w:val="006A4D0A"/>
    <w:rsid w:val="006A4D59"/>
    <w:rsid w:val="006A4DC8"/>
    <w:rsid w:val="006A546B"/>
    <w:rsid w:val="006A5587"/>
    <w:rsid w:val="006A58E7"/>
    <w:rsid w:val="006A599A"/>
    <w:rsid w:val="006A5C8F"/>
    <w:rsid w:val="006A5D25"/>
    <w:rsid w:val="006A5D75"/>
    <w:rsid w:val="006A5EBF"/>
    <w:rsid w:val="006A5EED"/>
    <w:rsid w:val="006A630B"/>
    <w:rsid w:val="006A6414"/>
    <w:rsid w:val="006A663E"/>
    <w:rsid w:val="006A66CA"/>
    <w:rsid w:val="006A67C9"/>
    <w:rsid w:val="006A6936"/>
    <w:rsid w:val="006A69AB"/>
    <w:rsid w:val="006A7291"/>
    <w:rsid w:val="006A730B"/>
    <w:rsid w:val="006A7517"/>
    <w:rsid w:val="006A7991"/>
    <w:rsid w:val="006A7AA0"/>
    <w:rsid w:val="006A7B20"/>
    <w:rsid w:val="006A7B9E"/>
    <w:rsid w:val="006A7C03"/>
    <w:rsid w:val="006A7DDB"/>
    <w:rsid w:val="006A7FE4"/>
    <w:rsid w:val="006B01A1"/>
    <w:rsid w:val="006B09B1"/>
    <w:rsid w:val="006B09DB"/>
    <w:rsid w:val="006B0A3A"/>
    <w:rsid w:val="006B0CB9"/>
    <w:rsid w:val="006B0FF1"/>
    <w:rsid w:val="006B1692"/>
    <w:rsid w:val="006B1954"/>
    <w:rsid w:val="006B2048"/>
    <w:rsid w:val="006B21C1"/>
    <w:rsid w:val="006B2505"/>
    <w:rsid w:val="006B2641"/>
    <w:rsid w:val="006B2ADF"/>
    <w:rsid w:val="006B2B54"/>
    <w:rsid w:val="006B2C0E"/>
    <w:rsid w:val="006B2D98"/>
    <w:rsid w:val="006B2DE3"/>
    <w:rsid w:val="006B2F19"/>
    <w:rsid w:val="006B33CF"/>
    <w:rsid w:val="006B33EA"/>
    <w:rsid w:val="006B34FC"/>
    <w:rsid w:val="006B3FEB"/>
    <w:rsid w:val="006B40E0"/>
    <w:rsid w:val="006B4147"/>
    <w:rsid w:val="006B45AF"/>
    <w:rsid w:val="006B4770"/>
    <w:rsid w:val="006B4959"/>
    <w:rsid w:val="006B4C5D"/>
    <w:rsid w:val="006B4FAA"/>
    <w:rsid w:val="006B513C"/>
    <w:rsid w:val="006B5464"/>
    <w:rsid w:val="006B54F0"/>
    <w:rsid w:val="006B5588"/>
    <w:rsid w:val="006B59C4"/>
    <w:rsid w:val="006B5B98"/>
    <w:rsid w:val="006B5E07"/>
    <w:rsid w:val="006B5FA5"/>
    <w:rsid w:val="006B60D4"/>
    <w:rsid w:val="006B63E5"/>
    <w:rsid w:val="006B6458"/>
    <w:rsid w:val="006B64AF"/>
    <w:rsid w:val="006B660D"/>
    <w:rsid w:val="006B67B7"/>
    <w:rsid w:val="006B6C9A"/>
    <w:rsid w:val="006B6CD0"/>
    <w:rsid w:val="006B6CF1"/>
    <w:rsid w:val="006B6D05"/>
    <w:rsid w:val="006B6E51"/>
    <w:rsid w:val="006B6EDE"/>
    <w:rsid w:val="006B7227"/>
    <w:rsid w:val="006B7530"/>
    <w:rsid w:val="006B7568"/>
    <w:rsid w:val="006B7684"/>
    <w:rsid w:val="006B76CC"/>
    <w:rsid w:val="006B7767"/>
    <w:rsid w:val="006B797C"/>
    <w:rsid w:val="006B7AA8"/>
    <w:rsid w:val="006B7CA1"/>
    <w:rsid w:val="006B7D3D"/>
    <w:rsid w:val="006C01A7"/>
    <w:rsid w:val="006C0398"/>
    <w:rsid w:val="006C0436"/>
    <w:rsid w:val="006C0589"/>
    <w:rsid w:val="006C0818"/>
    <w:rsid w:val="006C09CA"/>
    <w:rsid w:val="006C0AF4"/>
    <w:rsid w:val="006C0ECF"/>
    <w:rsid w:val="006C1340"/>
    <w:rsid w:val="006C18AB"/>
    <w:rsid w:val="006C2114"/>
    <w:rsid w:val="006C2346"/>
    <w:rsid w:val="006C259C"/>
    <w:rsid w:val="006C28B3"/>
    <w:rsid w:val="006C2FB9"/>
    <w:rsid w:val="006C32A7"/>
    <w:rsid w:val="006C359F"/>
    <w:rsid w:val="006C3723"/>
    <w:rsid w:val="006C3737"/>
    <w:rsid w:val="006C3950"/>
    <w:rsid w:val="006C3C89"/>
    <w:rsid w:val="006C40A9"/>
    <w:rsid w:val="006C4491"/>
    <w:rsid w:val="006C465B"/>
    <w:rsid w:val="006C4690"/>
    <w:rsid w:val="006C4813"/>
    <w:rsid w:val="006C481E"/>
    <w:rsid w:val="006C48EC"/>
    <w:rsid w:val="006C49C1"/>
    <w:rsid w:val="006C4B78"/>
    <w:rsid w:val="006C5A07"/>
    <w:rsid w:val="006C5F46"/>
    <w:rsid w:val="006C608F"/>
    <w:rsid w:val="006C6553"/>
    <w:rsid w:val="006C6880"/>
    <w:rsid w:val="006C69C4"/>
    <w:rsid w:val="006C6A66"/>
    <w:rsid w:val="006C6AB1"/>
    <w:rsid w:val="006C6DFA"/>
    <w:rsid w:val="006C6E0B"/>
    <w:rsid w:val="006C7072"/>
    <w:rsid w:val="006C71C0"/>
    <w:rsid w:val="006C7537"/>
    <w:rsid w:val="006C76CA"/>
    <w:rsid w:val="006C76E0"/>
    <w:rsid w:val="006C7982"/>
    <w:rsid w:val="006C7B63"/>
    <w:rsid w:val="006C7E3B"/>
    <w:rsid w:val="006C7E5F"/>
    <w:rsid w:val="006D03C1"/>
    <w:rsid w:val="006D0590"/>
    <w:rsid w:val="006D0C8A"/>
    <w:rsid w:val="006D0F6C"/>
    <w:rsid w:val="006D1085"/>
    <w:rsid w:val="006D121D"/>
    <w:rsid w:val="006D1273"/>
    <w:rsid w:val="006D1A48"/>
    <w:rsid w:val="006D2652"/>
    <w:rsid w:val="006D2AF0"/>
    <w:rsid w:val="006D2B64"/>
    <w:rsid w:val="006D2E98"/>
    <w:rsid w:val="006D3490"/>
    <w:rsid w:val="006D35E1"/>
    <w:rsid w:val="006D3654"/>
    <w:rsid w:val="006D3835"/>
    <w:rsid w:val="006D395F"/>
    <w:rsid w:val="006D3D77"/>
    <w:rsid w:val="006D41C1"/>
    <w:rsid w:val="006D428C"/>
    <w:rsid w:val="006D42DA"/>
    <w:rsid w:val="006D45C2"/>
    <w:rsid w:val="006D47EA"/>
    <w:rsid w:val="006D4A1B"/>
    <w:rsid w:val="006D4C2F"/>
    <w:rsid w:val="006D5340"/>
    <w:rsid w:val="006D5369"/>
    <w:rsid w:val="006D5BFC"/>
    <w:rsid w:val="006D5FFC"/>
    <w:rsid w:val="006D6040"/>
    <w:rsid w:val="006D630A"/>
    <w:rsid w:val="006D6375"/>
    <w:rsid w:val="006D6730"/>
    <w:rsid w:val="006D6914"/>
    <w:rsid w:val="006D6A85"/>
    <w:rsid w:val="006D6B85"/>
    <w:rsid w:val="006D6C71"/>
    <w:rsid w:val="006D6D9A"/>
    <w:rsid w:val="006D74B5"/>
    <w:rsid w:val="006D75E9"/>
    <w:rsid w:val="006D766E"/>
    <w:rsid w:val="006D7993"/>
    <w:rsid w:val="006D7C2E"/>
    <w:rsid w:val="006D7EC8"/>
    <w:rsid w:val="006E0A10"/>
    <w:rsid w:val="006E0B35"/>
    <w:rsid w:val="006E0CBA"/>
    <w:rsid w:val="006E0E18"/>
    <w:rsid w:val="006E14E3"/>
    <w:rsid w:val="006E15C8"/>
    <w:rsid w:val="006E18DB"/>
    <w:rsid w:val="006E1CF9"/>
    <w:rsid w:val="006E1FBD"/>
    <w:rsid w:val="006E2412"/>
    <w:rsid w:val="006E24BC"/>
    <w:rsid w:val="006E2539"/>
    <w:rsid w:val="006E270B"/>
    <w:rsid w:val="006E283A"/>
    <w:rsid w:val="006E28D4"/>
    <w:rsid w:val="006E2AE9"/>
    <w:rsid w:val="006E30B2"/>
    <w:rsid w:val="006E319C"/>
    <w:rsid w:val="006E322D"/>
    <w:rsid w:val="006E3396"/>
    <w:rsid w:val="006E385D"/>
    <w:rsid w:val="006E3C13"/>
    <w:rsid w:val="006E3C64"/>
    <w:rsid w:val="006E3FF1"/>
    <w:rsid w:val="006E416A"/>
    <w:rsid w:val="006E41C0"/>
    <w:rsid w:val="006E4ADE"/>
    <w:rsid w:val="006E4D35"/>
    <w:rsid w:val="006E4E79"/>
    <w:rsid w:val="006E4EED"/>
    <w:rsid w:val="006E4FCE"/>
    <w:rsid w:val="006E5078"/>
    <w:rsid w:val="006E523F"/>
    <w:rsid w:val="006E5457"/>
    <w:rsid w:val="006E57BA"/>
    <w:rsid w:val="006E5E37"/>
    <w:rsid w:val="006E63AC"/>
    <w:rsid w:val="006E63F5"/>
    <w:rsid w:val="006E640B"/>
    <w:rsid w:val="006E6BAA"/>
    <w:rsid w:val="006E6C67"/>
    <w:rsid w:val="006E6EBB"/>
    <w:rsid w:val="006E749B"/>
    <w:rsid w:val="006E78B1"/>
    <w:rsid w:val="006E79C4"/>
    <w:rsid w:val="006E7A16"/>
    <w:rsid w:val="006E7B50"/>
    <w:rsid w:val="006E7DF8"/>
    <w:rsid w:val="006E7ED0"/>
    <w:rsid w:val="006E7F22"/>
    <w:rsid w:val="006F0302"/>
    <w:rsid w:val="006F05F4"/>
    <w:rsid w:val="006F0798"/>
    <w:rsid w:val="006F097E"/>
    <w:rsid w:val="006F0AB4"/>
    <w:rsid w:val="006F0BB5"/>
    <w:rsid w:val="006F1320"/>
    <w:rsid w:val="006F14DD"/>
    <w:rsid w:val="006F14FC"/>
    <w:rsid w:val="006F1518"/>
    <w:rsid w:val="006F1CC3"/>
    <w:rsid w:val="006F22EA"/>
    <w:rsid w:val="006F2530"/>
    <w:rsid w:val="006F2546"/>
    <w:rsid w:val="006F2867"/>
    <w:rsid w:val="006F29BA"/>
    <w:rsid w:val="006F2A5E"/>
    <w:rsid w:val="006F2ECD"/>
    <w:rsid w:val="006F2F42"/>
    <w:rsid w:val="006F2F8A"/>
    <w:rsid w:val="006F323F"/>
    <w:rsid w:val="006F353B"/>
    <w:rsid w:val="006F3826"/>
    <w:rsid w:val="006F40EA"/>
    <w:rsid w:val="006F42F0"/>
    <w:rsid w:val="006F4407"/>
    <w:rsid w:val="006F4818"/>
    <w:rsid w:val="006F489C"/>
    <w:rsid w:val="006F4A9D"/>
    <w:rsid w:val="006F4FC2"/>
    <w:rsid w:val="006F515A"/>
    <w:rsid w:val="006F5220"/>
    <w:rsid w:val="006F523D"/>
    <w:rsid w:val="006F5568"/>
    <w:rsid w:val="006F5874"/>
    <w:rsid w:val="006F59F1"/>
    <w:rsid w:val="006F5AEC"/>
    <w:rsid w:val="006F5C5C"/>
    <w:rsid w:val="006F5FF9"/>
    <w:rsid w:val="006F620A"/>
    <w:rsid w:val="006F6266"/>
    <w:rsid w:val="006F67F1"/>
    <w:rsid w:val="006F68DA"/>
    <w:rsid w:val="006F6968"/>
    <w:rsid w:val="006F6A6F"/>
    <w:rsid w:val="006F6D29"/>
    <w:rsid w:val="006F6D7F"/>
    <w:rsid w:val="006F6E93"/>
    <w:rsid w:val="006F6FFC"/>
    <w:rsid w:val="006F7081"/>
    <w:rsid w:val="006F7274"/>
    <w:rsid w:val="006F756A"/>
    <w:rsid w:val="006F770B"/>
    <w:rsid w:val="006F7739"/>
    <w:rsid w:val="006F775D"/>
    <w:rsid w:val="006F7930"/>
    <w:rsid w:val="006F79A7"/>
    <w:rsid w:val="006F7BA1"/>
    <w:rsid w:val="006F7BA5"/>
    <w:rsid w:val="006F7E1A"/>
    <w:rsid w:val="00700E18"/>
    <w:rsid w:val="0070112C"/>
    <w:rsid w:val="00701568"/>
    <w:rsid w:val="007015D4"/>
    <w:rsid w:val="0070165C"/>
    <w:rsid w:val="00701A46"/>
    <w:rsid w:val="00701B93"/>
    <w:rsid w:val="00701D21"/>
    <w:rsid w:val="00702418"/>
    <w:rsid w:val="00702A15"/>
    <w:rsid w:val="00702C5A"/>
    <w:rsid w:val="00702E92"/>
    <w:rsid w:val="00702F31"/>
    <w:rsid w:val="007033AA"/>
    <w:rsid w:val="00703614"/>
    <w:rsid w:val="00703668"/>
    <w:rsid w:val="00703855"/>
    <w:rsid w:val="00703BCE"/>
    <w:rsid w:val="00703CB1"/>
    <w:rsid w:val="00704330"/>
    <w:rsid w:val="00704652"/>
    <w:rsid w:val="007048E5"/>
    <w:rsid w:val="00704989"/>
    <w:rsid w:val="00704A78"/>
    <w:rsid w:val="00704B21"/>
    <w:rsid w:val="00704E99"/>
    <w:rsid w:val="007051AB"/>
    <w:rsid w:val="007052C4"/>
    <w:rsid w:val="00705341"/>
    <w:rsid w:val="00705647"/>
    <w:rsid w:val="00705652"/>
    <w:rsid w:val="00705947"/>
    <w:rsid w:val="00705B04"/>
    <w:rsid w:val="00706161"/>
    <w:rsid w:val="00706449"/>
    <w:rsid w:val="007065DE"/>
    <w:rsid w:val="007066F4"/>
    <w:rsid w:val="007068DE"/>
    <w:rsid w:val="00706AA6"/>
    <w:rsid w:val="00706D45"/>
    <w:rsid w:val="00706E5C"/>
    <w:rsid w:val="00707D34"/>
    <w:rsid w:val="00707D5C"/>
    <w:rsid w:val="00707DFE"/>
    <w:rsid w:val="00707FCA"/>
    <w:rsid w:val="007100B6"/>
    <w:rsid w:val="0071077F"/>
    <w:rsid w:val="0071079D"/>
    <w:rsid w:val="007108C3"/>
    <w:rsid w:val="00710977"/>
    <w:rsid w:val="00710A60"/>
    <w:rsid w:val="00710FD3"/>
    <w:rsid w:val="007114A9"/>
    <w:rsid w:val="00711612"/>
    <w:rsid w:val="007117F0"/>
    <w:rsid w:val="00711C16"/>
    <w:rsid w:val="00711FD4"/>
    <w:rsid w:val="00712235"/>
    <w:rsid w:val="0071224F"/>
    <w:rsid w:val="0071245E"/>
    <w:rsid w:val="00712688"/>
    <w:rsid w:val="00712980"/>
    <w:rsid w:val="00712A1A"/>
    <w:rsid w:val="00712EE5"/>
    <w:rsid w:val="00712F1E"/>
    <w:rsid w:val="00712FFB"/>
    <w:rsid w:val="00713298"/>
    <w:rsid w:val="00713AAA"/>
    <w:rsid w:val="00713B8F"/>
    <w:rsid w:val="00713BED"/>
    <w:rsid w:val="0071404E"/>
    <w:rsid w:val="007141E7"/>
    <w:rsid w:val="0071429C"/>
    <w:rsid w:val="00714402"/>
    <w:rsid w:val="007145B1"/>
    <w:rsid w:val="007145FD"/>
    <w:rsid w:val="007147DE"/>
    <w:rsid w:val="00714919"/>
    <w:rsid w:val="00715612"/>
    <w:rsid w:val="00715655"/>
    <w:rsid w:val="007159D6"/>
    <w:rsid w:val="00715A1E"/>
    <w:rsid w:val="00716092"/>
    <w:rsid w:val="00716135"/>
    <w:rsid w:val="00716364"/>
    <w:rsid w:val="007168FB"/>
    <w:rsid w:val="0071731E"/>
    <w:rsid w:val="007174C9"/>
    <w:rsid w:val="007174E1"/>
    <w:rsid w:val="00717527"/>
    <w:rsid w:val="00717645"/>
    <w:rsid w:val="00717ABC"/>
    <w:rsid w:val="00717C22"/>
    <w:rsid w:val="00717F24"/>
    <w:rsid w:val="00720518"/>
    <w:rsid w:val="0072095D"/>
    <w:rsid w:val="00720C54"/>
    <w:rsid w:val="007216F6"/>
    <w:rsid w:val="00721BE6"/>
    <w:rsid w:val="00721BED"/>
    <w:rsid w:val="00721C51"/>
    <w:rsid w:val="00721E60"/>
    <w:rsid w:val="007220FA"/>
    <w:rsid w:val="007221E9"/>
    <w:rsid w:val="007222CF"/>
    <w:rsid w:val="0072230C"/>
    <w:rsid w:val="0072249E"/>
    <w:rsid w:val="0072267B"/>
    <w:rsid w:val="0072272F"/>
    <w:rsid w:val="007227AF"/>
    <w:rsid w:val="00722886"/>
    <w:rsid w:val="00722A4E"/>
    <w:rsid w:val="00722A5A"/>
    <w:rsid w:val="00722C3F"/>
    <w:rsid w:val="00722D46"/>
    <w:rsid w:val="00723150"/>
    <w:rsid w:val="00723185"/>
    <w:rsid w:val="007232C1"/>
    <w:rsid w:val="00723651"/>
    <w:rsid w:val="00723665"/>
    <w:rsid w:val="007236B5"/>
    <w:rsid w:val="00723B58"/>
    <w:rsid w:val="00723BF2"/>
    <w:rsid w:val="00723FB6"/>
    <w:rsid w:val="00724074"/>
    <w:rsid w:val="007240F6"/>
    <w:rsid w:val="0072436D"/>
    <w:rsid w:val="0072442D"/>
    <w:rsid w:val="00724467"/>
    <w:rsid w:val="007245CB"/>
    <w:rsid w:val="00724924"/>
    <w:rsid w:val="00724BE0"/>
    <w:rsid w:val="00725196"/>
    <w:rsid w:val="007251D9"/>
    <w:rsid w:val="00725AC6"/>
    <w:rsid w:val="00725DC9"/>
    <w:rsid w:val="0072613E"/>
    <w:rsid w:val="007263DB"/>
    <w:rsid w:val="00726C27"/>
    <w:rsid w:val="00727046"/>
    <w:rsid w:val="00727271"/>
    <w:rsid w:val="00727496"/>
    <w:rsid w:val="00727551"/>
    <w:rsid w:val="00727721"/>
    <w:rsid w:val="007277F9"/>
    <w:rsid w:val="00727CEF"/>
    <w:rsid w:val="00727E0D"/>
    <w:rsid w:val="00730238"/>
    <w:rsid w:val="00730533"/>
    <w:rsid w:val="00730A89"/>
    <w:rsid w:val="00730B23"/>
    <w:rsid w:val="00730CF5"/>
    <w:rsid w:val="00731357"/>
    <w:rsid w:val="007315F3"/>
    <w:rsid w:val="0073163F"/>
    <w:rsid w:val="00731759"/>
    <w:rsid w:val="00731B82"/>
    <w:rsid w:val="007322F8"/>
    <w:rsid w:val="007323BC"/>
    <w:rsid w:val="007324C6"/>
    <w:rsid w:val="0073250A"/>
    <w:rsid w:val="007325D3"/>
    <w:rsid w:val="00732860"/>
    <w:rsid w:val="00733052"/>
    <w:rsid w:val="0073307E"/>
    <w:rsid w:val="0073316A"/>
    <w:rsid w:val="00733BCD"/>
    <w:rsid w:val="0073413F"/>
    <w:rsid w:val="007341F3"/>
    <w:rsid w:val="00734332"/>
    <w:rsid w:val="007344AF"/>
    <w:rsid w:val="007346AE"/>
    <w:rsid w:val="00734B6A"/>
    <w:rsid w:val="00734CAD"/>
    <w:rsid w:val="00734CFB"/>
    <w:rsid w:val="0073502E"/>
    <w:rsid w:val="007355A5"/>
    <w:rsid w:val="0073563D"/>
    <w:rsid w:val="007358C3"/>
    <w:rsid w:val="00735985"/>
    <w:rsid w:val="0073614F"/>
    <w:rsid w:val="007363ED"/>
    <w:rsid w:val="0073652E"/>
    <w:rsid w:val="007365BF"/>
    <w:rsid w:val="00736844"/>
    <w:rsid w:val="00736A41"/>
    <w:rsid w:val="00736A50"/>
    <w:rsid w:val="00736AAB"/>
    <w:rsid w:val="00736D2A"/>
    <w:rsid w:val="00736F0C"/>
    <w:rsid w:val="00736F9A"/>
    <w:rsid w:val="00736FF6"/>
    <w:rsid w:val="00737503"/>
    <w:rsid w:val="007377F4"/>
    <w:rsid w:val="007379EA"/>
    <w:rsid w:val="0074013E"/>
    <w:rsid w:val="007406F7"/>
    <w:rsid w:val="007407B9"/>
    <w:rsid w:val="007408E6"/>
    <w:rsid w:val="00740918"/>
    <w:rsid w:val="00740A97"/>
    <w:rsid w:val="00740D6F"/>
    <w:rsid w:val="00740F11"/>
    <w:rsid w:val="0074103D"/>
    <w:rsid w:val="007411CE"/>
    <w:rsid w:val="007411EF"/>
    <w:rsid w:val="00741372"/>
    <w:rsid w:val="00741579"/>
    <w:rsid w:val="007417DD"/>
    <w:rsid w:val="007417E2"/>
    <w:rsid w:val="007419C0"/>
    <w:rsid w:val="00741C77"/>
    <w:rsid w:val="00741CEF"/>
    <w:rsid w:val="00741D99"/>
    <w:rsid w:val="007422CE"/>
    <w:rsid w:val="0074267C"/>
    <w:rsid w:val="0074280E"/>
    <w:rsid w:val="007429B3"/>
    <w:rsid w:val="00742F26"/>
    <w:rsid w:val="00743222"/>
    <w:rsid w:val="00743228"/>
    <w:rsid w:val="0074324C"/>
    <w:rsid w:val="00743A9D"/>
    <w:rsid w:val="00743DF8"/>
    <w:rsid w:val="00744339"/>
    <w:rsid w:val="007444A3"/>
    <w:rsid w:val="007444E1"/>
    <w:rsid w:val="00744C8E"/>
    <w:rsid w:val="00744E68"/>
    <w:rsid w:val="00744ED6"/>
    <w:rsid w:val="00744F35"/>
    <w:rsid w:val="0074520C"/>
    <w:rsid w:val="0074540C"/>
    <w:rsid w:val="007459CA"/>
    <w:rsid w:val="00745A10"/>
    <w:rsid w:val="007460D9"/>
    <w:rsid w:val="0074635A"/>
    <w:rsid w:val="00746516"/>
    <w:rsid w:val="0074663C"/>
    <w:rsid w:val="00746852"/>
    <w:rsid w:val="00746A28"/>
    <w:rsid w:val="00746C0A"/>
    <w:rsid w:val="00746E34"/>
    <w:rsid w:val="00746E68"/>
    <w:rsid w:val="00746EFA"/>
    <w:rsid w:val="00746FA4"/>
    <w:rsid w:val="00747269"/>
    <w:rsid w:val="00747656"/>
    <w:rsid w:val="007478C3"/>
    <w:rsid w:val="007479FD"/>
    <w:rsid w:val="007506CB"/>
    <w:rsid w:val="00750AB0"/>
    <w:rsid w:val="00750B93"/>
    <w:rsid w:val="00750FC9"/>
    <w:rsid w:val="00751034"/>
    <w:rsid w:val="007516D3"/>
    <w:rsid w:val="0075197D"/>
    <w:rsid w:val="007519E4"/>
    <w:rsid w:val="00751B2B"/>
    <w:rsid w:val="00751CCD"/>
    <w:rsid w:val="007525AD"/>
    <w:rsid w:val="0075295D"/>
    <w:rsid w:val="00752CE1"/>
    <w:rsid w:val="00752D2F"/>
    <w:rsid w:val="00752EB3"/>
    <w:rsid w:val="0075304B"/>
    <w:rsid w:val="0075358F"/>
    <w:rsid w:val="00753765"/>
    <w:rsid w:val="00753D40"/>
    <w:rsid w:val="00753DA8"/>
    <w:rsid w:val="00754115"/>
    <w:rsid w:val="0075420D"/>
    <w:rsid w:val="00754234"/>
    <w:rsid w:val="007543DC"/>
    <w:rsid w:val="007549C2"/>
    <w:rsid w:val="00754C3B"/>
    <w:rsid w:val="00754D7D"/>
    <w:rsid w:val="00755566"/>
    <w:rsid w:val="007555F8"/>
    <w:rsid w:val="00755A19"/>
    <w:rsid w:val="00755C4D"/>
    <w:rsid w:val="00755C5D"/>
    <w:rsid w:val="0075606F"/>
    <w:rsid w:val="00756569"/>
    <w:rsid w:val="00756E26"/>
    <w:rsid w:val="007573E0"/>
    <w:rsid w:val="00757E54"/>
    <w:rsid w:val="00757ECB"/>
    <w:rsid w:val="007600A4"/>
    <w:rsid w:val="007606C4"/>
    <w:rsid w:val="007608D8"/>
    <w:rsid w:val="00760C6C"/>
    <w:rsid w:val="00760D10"/>
    <w:rsid w:val="0076110E"/>
    <w:rsid w:val="00761115"/>
    <w:rsid w:val="00761234"/>
    <w:rsid w:val="007615B5"/>
    <w:rsid w:val="00761A49"/>
    <w:rsid w:val="0076229B"/>
    <w:rsid w:val="007622D7"/>
    <w:rsid w:val="0076236A"/>
    <w:rsid w:val="0076236E"/>
    <w:rsid w:val="0076261C"/>
    <w:rsid w:val="007629C1"/>
    <w:rsid w:val="00762A8D"/>
    <w:rsid w:val="00762C76"/>
    <w:rsid w:val="00762CE7"/>
    <w:rsid w:val="00762DFC"/>
    <w:rsid w:val="00762E0F"/>
    <w:rsid w:val="0076370D"/>
    <w:rsid w:val="00763934"/>
    <w:rsid w:val="00763C3C"/>
    <w:rsid w:val="00763E87"/>
    <w:rsid w:val="007641B6"/>
    <w:rsid w:val="00764214"/>
    <w:rsid w:val="0076482E"/>
    <w:rsid w:val="00764B79"/>
    <w:rsid w:val="00764D6C"/>
    <w:rsid w:val="00764E79"/>
    <w:rsid w:val="007651DD"/>
    <w:rsid w:val="00765347"/>
    <w:rsid w:val="0076540A"/>
    <w:rsid w:val="00765533"/>
    <w:rsid w:val="0076559A"/>
    <w:rsid w:val="007656BA"/>
    <w:rsid w:val="007657F1"/>
    <w:rsid w:val="00765936"/>
    <w:rsid w:val="00765A69"/>
    <w:rsid w:val="00765B89"/>
    <w:rsid w:val="00765F08"/>
    <w:rsid w:val="00766062"/>
    <w:rsid w:val="007662BD"/>
    <w:rsid w:val="007666DB"/>
    <w:rsid w:val="00766914"/>
    <w:rsid w:val="007669B0"/>
    <w:rsid w:val="00766F2B"/>
    <w:rsid w:val="0076722D"/>
    <w:rsid w:val="007676D5"/>
    <w:rsid w:val="00767766"/>
    <w:rsid w:val="00767B77"/>
    <w:rsid w:val="00767DF1"/>
    <w:rsid w:val="00767E16"/>
    <w:rsid w:val="00767ECD"/>
    <w:rsid w:val="00770262"/>
    <w:rsid w:val="007702FB"/>
    <w:rsid w:val="00770354"/>
    <w:rsid w:val="00770E7D"/>
    <w:rsid w:val="00771225"/>
    <w:rsid w:val="00771472"/>
    <w:rsid w:val="0077194D"/>
    <w:rsid w:val="00771B94"/>
    <w:rsid w:val="00772A28"/>
    <w:rsid w:val="00772AC3"/>
    <w:rsid w:val="00772BA8"/>
    <w:rsid w:val="00772C3D"/>
    <w:rsid w:val="00772DC3"/>
    <w:rsid w:val="00772F02"/>
    <w:rsid w:val="00772F2A"/>
    <w:rsid w:val="00772FB5"/>
    <w:rsid w:val="00773045"/>
    <w:rsid w:val="00773236"/>
    <w:rsid w:val="007732F1"/>
    <w:rsid w:val="007733D9"/>
    <w:rsid w:val="007734E7"/>
    <w:rsid w:val="007737B4"/>
    <w:rsid w:val="007737E0"/>
    <w:rsid w:val="007742B0"/>
    <w:rsid w:val="007746E8"/>
    <w:rsid w:val="00774AF1"/>
    <w:rsid w:val="00774CBD"/>
    <w:rsid w:val="00774F05"/>
    <w:rsid w:val="00775165"/>
    <w:rsid w:val="0077524D"/>
    <w:rsid w:val="007754DD"/>
    <w:rsid w:val="00775858"/>
    <w:rsid w:val="00775A75"/>
    <w:rsid w:val="00775A9A"/>
    <w:rsid w:val="007762DD"/>
    <w:rsid w:val="00776E5F"/>
    <w:rsid w:val="00777152"/>
    <w:rsid w:val="007772CB"/>
    <w:rsid w:val="007772CC"/>
    <w:rsid w:val="007777F1"/>
    <w:rsid w:val="00777BBD"/>
    <w:rsid w:val="00777D33"/>
    <w:rsid w:val="0078007F"/>
    <w:rsid w:val="00780227"/>
    <w:rsid w:val="00780336"/>
    <w:rsid w:val="00780462"/>
    <w:rsid w:val="00780591"/>
    <w:rsid w:val="007805D5"/>
    <w:rsid w:val="00780807"/>
    <w:rsid w:val="00780BE7"/>
    <w:rsid w:val="00780C4A"/>
    <w:rsid w:val="00781168"/>
    <w:rsid w:val="00781259"/>
    <w:rsid w:val="00781343"/>
    <w:rsid w:val="00781515"/>
    <w:rsid w:val="00781565"/>
    <w:rsid w:val="007816BD"/>
    <w:rsid w:val="00781BFC"/>
    <w:rsid w:val="007820E2"/>
    <w:rsid w:val="00782744"/>
    <w:rsid w:val="0078286C"/>
    <w:rsid w:val="00782A6C"/>
    <w:rsid w:val="00782C88"/>
    <w:rsid w:val="00783018"/>
    <w:rsid w:val="007830B2"/>
    <w:rsid w:val="007835FC"/>
    <w:rsid w:val="00783861"/>
    <w:rsid w:val="0078390B"/>
    <w:rsid w:val="00783CD2"/>
    <w:rsid w:val="00783F24"/>
    <w:rsid w:val="00783FDE"/>
    <w:rsid w:val="0078401E"/>
    <w:rsid w:val="00784035"/>
    <w:rsid w:val="0078410A"/>
    <w:rsid w:val="0078435D"/>
    <w:rsid w:val="0078480B"/>
    <w:rsid w:val="0078499C"/>
    <w:rsid w:val="007850CE"/>
    <w:rsid w:val="007853B1"/>
    <w:rsid w:val="007853DC"/>
    <w:rsid w:val="00785746"/>
    <w:rsid w:val="007857A3"/>
    <w:rsid w:val="007858EB"/>
    <w:rsid w:val="00785B58"/>
    <w:rsid w:val="00785F3A"/>
    <w:rsid w:val="00786020"/>
    <w:rsid w:val="00786729"/>
    <w:rsid w:val="0078698E"/>
    <w:rsid w:val="00786B91"/>
    <w:rsid w:val="00786FE1"/>
    <w:rsid w:val="00787718"/>
    <w:rsid w:val="007879F4"/>
    <w:rsid w:val="00787C45"/>
    <w:rsid w:val="00787D0F"/>
    <w:rsid w:val="00787D22"/>
    <w:rsid w:val="00787DE4"/>
    <w:rsid w:val="00787E43"/>
    <w:rsid w:val="00790074"/>
    <w:rsid w:val="007902F3"/>
    <w:rsid w:val="00790416"/>
    <w:rsid w:val="00790B12"/>
    <w:rsid w:val="00790B7B"/>
    <w:rsid w:val="00790FF0"/>
    <w:rsid w:val="007914A7"/>
    <w:rsid w:val="007916BB"/>
    <w:rsid w:val="00791A48"/>
    <w:rsid w:val="00791B60"/>
    <w:rsid w:val="00791BE0"/>
    <w:rsid w:val="00791E84"/>
    <w:rsid w:val="007921B3"/>
    <w:rsid w:val="00792662"/>
    <w:rsid w:val="00792832"/>
    <w:rsid w:val="0079283F"/>
    <w:rsid w:val="00792979"/>
    <w:rsid w:val="00792C8E"/>
    <w:rsid w:val="00792D63"/>
    <w:rsid w:val="00792F1F"/>
    <w:rsid w:val="00793133"/>
    <w:rsid w:val="0079318D"/>
    <w:rsid w:val="007932C1"/>
    <w:rsid w:val="007933E7"/>
    <w:rsid w:val="0079353B"/>
    <w:rsid w:val="0079386A"/>
    <w:rsid w:val="00793C0F"/>
    <w:rsid w:val="00793EC5"/>
    <w:rsid w:val="007941A1"/>
    <w:rsid w:val="00794410"/>
    <w:rsid w:val="00794681"/>
    <w:rsid w:val="00794BF3"/>
    <w:rsid w:val="00794E41"/>
    <w:rsid w:val="00794F4B"/>
    <w:rsid w:val="00795305"/>
    <w:rsid w:val="00795992"/>
    <w:rsid w:val="0079599F"/>
    <w:rsid w:val="00795AB1"/>
    <w:rsid w:val="00795B1F"/>
    <w:rsid w:val="00795B2C"/>
    <w:rsid w:val="00795D85"/>
    <w:rsid w:val="00795E37"/>
    <w:rsid w:val="00795E38"/>
    <w:rsid w:val="00795EF4"/>
    <w:rsid w:val="00796422"/>
    <w:rsid w:val="007965C8"/>
    <w:rsid w:val="00796968"/>
    <w:rsid w:val="007969DC"/>
    <w:rsid w:val="00796A8E"/>
    <w:rsid w:val="00796D97"/>
    <w:rsid w:val="00797036"/>
    <w:rsid w:val="00797111"/>
    <w:rsid w:val="00797226"/>
    <w:rsid w:val="00797358"/>
    <w:rsid w:val="007977F9"/>
    <w:rsid w:val="00797F4B"/>
    <w:rsid w:val="007A03C4"/>
    <w:rsid w:val="007A0447"/>
    <w:rsid w:val="007A0901"/>
    <w:rsid w:val="007A0FC9"/>
    <w:rsid w:val="007A1318"/>
    <w:rsid w:val="007A13A5"/>
    <w:rsid w:val="007A1549"/>
    <w:rsid w:val="007A156B"/>
    <w:rsid w:val="007A196D"/>
    <w:rsid w:val="007A19D6"/>
    <w:rsid w:val="007A1EB9"/>
    <w:rsid w:val="007A2090"/>
    <w:rsid w:val="007A215F"/>
    <w:rsid w:val="007A2343"/>
    <w:rsid w:val="007A2494"/>
    <w:rsid w:val="007A278F"/>
    <w:rsid w:val="007A2BB2"/>
    <w:rsid w:val="007A2C69"/>
    <w:rsid w:val="007A2D59"/>
    <w:rsid w:val="007A2EA3"/>
    <w:rsid w:val="007A311E"/>
    <w:rsid w:val="007A3250"/>
    <w:rsid w:val="007A32A3"/>
    <w:rsid w:val="007A34E2"/>
    <w:rsid w:val="007A3BF8"/>
    <w:rsid w:val="007A413F"/>
    <w:rsid w:val="007A42EF"/>
    <w:rsid w:val="007A44AC"/>
    <w:rsid w:val="007A4518"/>
    <w:rsid w:val="007A4633"/>
    <w:rsid w:val="007A4888"/>
    <w:rsid w:val="007A4F17"/>
    <w:rsid w:val="007A51BB"/>
    <w:rsid w:val="007A5254"/>
    <w:rsid w:val="007A5368"/>
    <w:rsid w:val="007A536B"/>
    <w:rsid w:val="007A55B3"/>
    <w:rsid w:val="007A571D"/>
    <w:rsid w:val="007A586A"/>
    <w:rsid w:val="007A5B2B"/>
    <w:rsid w:val="007A5CC0"/>
    <w:rsid w:val="007A5E64"/>
    <w:rsid w:val="007A6005"/>
    <w:rsid w:val="007A614B"/>
    <w:rsid w:val="007A66B8"/>
    <w:rsid w:val="007A6771"/>
    <w:rsid w:val="007A6772"/>
    <w:rsid w:val="007A6D52"/>
    <w:rsid w:val="007A6E27"/>
    <w:rsid w:val="007A6E55"/>
    <w:rsid w:val="007A6E99"/>
    <w:rsid w:val="007A6F6C"/>
    <w:rsid w:val="007A712B"/>
    <w:rsid w:val="007A742A"/>
    <w:rsid w:val="007A7525"/>
    <w:rsid w:val="007A7528"/>
    <w:rsid w:val="007A77E9"/>
    <w:rsid w:val="007A78A7"/>
    <w:rsid w:val="007A7911"/>
    <w:rsid w:val="007A791A"/>
    <w:rsid w:val="007A7BAE"/>
    <w:rsid w:val="007A7C37"/>
    <w:rsid w:val="007A7E54"/>
    <w:rsid w:val="007A7ED8"/>
    <w:rsid w:val="007B008E"/>
    <w:rsid w:val="007B00DA"/>
    <w:rsid w:val="007B1348"/>
    <w:rsid w:val="007B134B"/>
    <w:rsid w:val="007B14A5"/>
    <w:rsid w:val="007B15B9"/>
    <w:rsid w:val="007B18F3"/>
    <w:rsid w:val="007B1A9F"/>
    <w:rsid w:val="007B1E5D"/>
    <w:rsid w:val="007B2B02"/>
    <w:rsid w:val="007B2BAF"/>
    <w:rsid w:val="007B3131"/>
    <w:rsid w:val="007B32E9"/>
    <w:rsid w:val="007B3AC6"/>
    <w:rsid w:val="007B3D3D"/>
    <w:rsid w:val="007B4B5F"/>
    <w:rsid w:val="007B5037"/>
    <w:rsid w:val="007B5409"/>
    <w:rsid w:val="007B5B3A"/>
    <w:rsid w:val="007B5ECA"/>
    <w:rsid w:val="007B61F2"/>
    <w:rsid w:val="007B62EC"/>
    <w:rsid w:val="007B674A"/>
    <w:rsid w:val="007B6847"/>
    <w:rsid w:val="007B6885"/>
    <w:rsid w:val="007B68CA"/>
    <w:rsid w:val="007B6EF2"/>
    <w:rsid w:val="007B6EFF"/>
    <w:rsid w:val="007B6F0F"/>
    <w:rsid w:val="007B703A"/>
    <w:rsid w:val="007B7139"/>
    <w:rsid w:val="007B7932"/>
    <w:rsid w:val="007B7937"/>
    <w:rsid w:val="007B7A95"/>
    <w:rsid w:val="007B7BCD"/>
    <w:rsid w:val="007C0120"/>
    <w:rsid w:val="007C02EB"/>
    <w:rsid w:val="007C0A05"/>
    <w:rsid w:val="007C0D5E"/>
    <w:rsid w:val="007C0EDC"/>
    <w:rsid w:val="007C1224"/>
    <w:rsid w:val="007C1336"/>
    <w:rsid w:val="007C136E"/>
    <w:rsid w:val="007C14AF"/>
    <w:rsid w:val="007C16C0"/>
    <w:rsid w:val="007C181D"/>
    <w:rsid w:val="007C1936"/>
    <w:rsid w:val="007C197B"/>
    <w:rsid w:val="007C1AC4"/>
    <w:rsid w:val="007C1D6B"/>
    <w:rsid w:val="007C1D7E"/>
    <w:rsid w:val="007C252D"/>
    <w:rsid w:val="007C2810"/>
    <w:rsid w:val="007C28FD"/>
    <w:rsid w:val="007C297B"/>
    <w:rsid w:val="007C29F7"/>
    <w:rsid w:val="007C2B49"/>
    <w:rsid w:val="007C2DEB"/>
    <w:rsid w:val="007C2DF3"/>
    <w:rsid w:val="007C2E7B"/>
    <w:rsid w:val="007C31D8"/>
    <w:rsid w:val="007C3222"/>
    <w:rsid w:val="007C324F"/>
    <w:rsid w:val="007C33E6"/>
    <w:rsid w:val="007C3410"/>
    <w:rsid w:val="007C3712"/>
    <w:rsid w:val="007C385D"/>
    <w:rsid w:val="007C3880"/>
    <w:rsid w:val="007C3EEC"/>
    <w:rsid w:val="007C402B"/>
    <w:rsid w:val="007C4185"/>
    <w:rsid w:val="007C4480"/>
    <w:rsid w:val="007C4605"/>
    <w:rsid w:val="007C4719"/>
    <w:rsid w:val="007C4780"/>
    <w:rsid w:val="007C4920"/>
    <w:rsid w:val="007C4C16"/>
    <w:rsid w:val="007C4C62"/>
    <w:rsid w:val="007C5499"/>
    <w:rsid w:val="007C5628"/>
    <w:rsid w:val="007C59CE"/>
    <w:rsid w:val="007C5AD3"/>
    <w:rsid w:val="007C5B9F"/>
    <w:rsid w:val="007C5D1E"/>
    <w:rsid w:val="007C5FDB"/>
    <w:rsid w:val="007C62A6"/>
    <w:rsid w:val="007C691C"/>
    <w:rsid w:val="007C695A"/>
    <w:rsid w:val="007C70A5"/>
    <w:rsid w:val="007C722E"/>
    <w:rsid w:val="007C75F6"/>
    <w:rsid w:val="007C78B7"/>
    <w:rsid w:val="007C7A51"/>
    <w:rsid w:val="007C7AF5"/>
    <w:rsid w:val="007C7E20"/>
    <w:rsid w:val="007D018E"/>
    <w:rsid w:val="007D032E"/>
    <w:rsid w:val="007D0606"/>
    <w:rsid w:val="007D0739"/>
    <w:rsid w:val="007D0CE5"/>
    <w:rsid w:val="007D13E8"/>
    <w:rsid w:val="007D14B9"/>
    <w:rsid w:val="007D1655"/>
    <w:rsid w:val="007D1C44"/>
    <w:rsid w:val="007D1CD3"/>
    <w:rsid w:val="007D29C9"/>
    <w:rsid w:val="007D2D61"/>
    <w:rsid w:val="007D2E6A"/>
    <w:rsid w:val="007D3084"/>
    <w:rsid w:val="007D30FA"/>
    <w:rsid w:val="007D3771"/>
    <w:rsid w:val="007D3BCA"/>
    <w:rsid w:val="007D3C6E"/>
    <w:rsid w:val="007D3E8F"/>
    <w:rsid w:val="007D43BD"/>
    <w:rsid w:val="007D44C0"/>
    <w:rsid w:val="007D481A"/>
    <w:rsid w:val="007D48F0"/>
    <w:rsid w:val="007D5068"/>
    <w:rsid w:val="007D539B"/>
    <w:rsid w:val="007D53A8"/>
    <w:rsid w:val="007D586B"/>
    <w:rsid w:val="007D5A83"/>
    <w:rsid w:val="007D5BBF"/>
    <w:rsid w:val="007D5E0A"/>
    <w:rsid w:val="007D5F30"/>
    <w:rsid w:val="007D6014"/>
    <w:rsid w:val="007D625F"/>
    <w:rsid w:val="007D642C"/>
    <w:rsid w:val="007D678C"/>
    <w:rsid w:val="007D68E7"/>
    <w:rsid w:val="007D6D83"/>
    <w:rsid w:val="007D6E6A"/>
    <w:rsid w:val="007D6FE9"/>
    <w:rsid w:val="007D7251"/>
    <w:rsid w:val="007D75E7"/>
    <w:rsid w:val="007D7C7B"/>
    <w:rsid w:val="007E0483"/>
    <w:rsid w:val="007E05FD"/>
    <w:rsid w:val="007E0832"/>
    <w:rsid w:val="007E090F"/>
    <w:rsid w:val="007E0ABA"/>
    <w:rsid w:val="007E0BEC"/>
    <w:rsid w:val="007E0C0F"/>
    <w:rsid w:val="007E10F7"/>
    <w:rsid w:val="007E171C"/>
    <w:rsid w:val="007E17F7"/>
    <w:rsid w:val="007E18FA"/>
    <w:rsid w:val="007E19D1"/>
    <w:rsid w:val="007E19D6"/>
    <w:rsid w:val="007E1A0B"/>
    <w:rsid w:val="007E1C05"/>
    <w:rsid w:val="007E1C85"/>
    <w:rsid w:val="007E1F14"/>
    <w:rsid w:val="007E20C8"/>
    <w:rsid w:val="007E20DC"/>
    <w:rsid w:val="007E2248"/>
    <w:rsid w:val="007E2575"/>
    <w:rsid w:val="007E26B7"/>
    <w:rsid w:val="007E28DF"/>
    <w:rsid w:val="007E304E"/>
    <w:rsid w:val="007E3304"/>
    <w:rsid w:val="007E34F2"/>
    <w:rsid w:val="007E36B0"/>
    <w:rsid w:val="007E37C5"/>
    <w:rsid w:val="007E392E"/>
    <w:rsid w:val="007E3BBA"/>
    <w:rsid w:val="007E3D89"/>
    <w:rsid w:val="007E3F7F"/>
    <w:rsid w:val="007E4192"/>
    <w:rsid w:val="007E42FF"/>
    <w:rsid w:val="007E46A2"/>
    <w:rsid w:val="007E46AE"/>
    <w:rsid w:val="007E46BB"/>
    <w:rsid w:val="007E4833"/>
    <w:rsid w:val="007E512D"/>
    <w:rsid w:val="007E5210"/>
    <w:rsid w:val="007E529B"/>
    <w:rsid w:val="007E52FE"/>
    <w:rsid w:val="007E53C0"/>
    <w:rsid w:val="007E57BB"/>
    <w:rsid w:val="007E5AE0"/>
    <w:rsid w:val="007E5BD4"/>
    <w:rsid w:val="007E5DAA"/>
    <w:rsid w:val="007E5F14"/>
    <w:rsid w:val="007E60D9"/>
    <w:rsid w:val="007E615E"/>
    <w:rsid w:val="007E649B"/>
    <w:rsid w:val="007E6612"/>
    <w:rsid w:val="007E666D"/>
    <w:rsid w:val="007E66B0"/>
    <w:rsid w:val="007E678E"/>
    <w:rsid w:val="007E6854"/>
    <w:rsid w:val="007E69D7"/>
    <w:rsid w:val="007E6E66"/>
    <w:rsid w:val="007E7AFA"/>
    <w:rsid w:val="007E7B71"/>
    <w:rsid w:val="007E7CDE"/>
    <w:rsid w:val="007F039A"/>
    <w:rsid w:val="007F068A"/>
    <w:rsid w:val="007F0753"/>
    <w:rsid w:val="007F0A5F"/>
    <w:rsid w:val="007F0A69"/>
    <w:rsid w:val="007F104F"/>
    <w:rsid w:val="007F161A"/>
    <w:rsid w:val="007F182F"/>
    <w:rsid w:val="007F2002"/>
    <w:rsid w:val="007F21B9"/>
    <w:rsid w:val="007F229E"/>
    <w:rsid w:val="007F23CE"/>
    <w:rsid w:val="007F261A"/>
    <w:rsid w:val="007F280F"/>
    <w:rsid w:val="007F2861"/>
    <w:rsid w:val="007F289D"/>
    <w:rsid w:val="007F299D"/>
    <w:rsid w:val="007F2DAC"/>
    <w:rsid w:val="007F30EB"/>
    <w:rsid w:val="007F31B0"/>
    <w:rsid w:val="007F3227"/>
    <w:rsid w:val="007F3270"/>
    <w:rsid w:val="007F33F3"/>
    <w:rsid w:val="007F352E"/>
    <w:rsid w:val="007F3600"/>
    <w:rsid w:val="007F3BBB"/>
    <w:rsid w:val="007F3C8D"/>
    <w:rsid w:val="007F3D86"/>
    <w:rsid w:val="007F402D"/>
    <w:rsid w:val="007F408F"/>
    <w:rsid w:val="007F4192"/>
    <w:rsid w:val="007F4430"/>
    <w:rsid w:val="007F45C2"/>
    <w:rsid w:val="007F4715"/>
    <w:rsid w:val="007F4A1D"/>
    <w:rsid w:val="007F4B0F"/>
    <w:rsid w:val="007F4C08"/>
    <w:rsid w:val="007F4CFA"/>
    <w:rsid w:val="007F5045"/>
    <w:rsid w:val="007F55BE"/>
    <w:rsid w:val="007F56FF"/>
    <w:rsid w:val="007F5959"/>
    <w:rsid w:val="007F621D"/>
    <w:rsid w:val="007F6349"/>
    <w:rsid w:val="007F64EF"/>
    <w:rsid w:val="007F6537"/>
    <w:rsid w:val="007F687C"/>
    <w:rsid w:val="007F6AEC"/>
    <w:rsid w:val="007F6BE4"/>
    <w:rsid w:val="007F6D5D"/>
    <w:rsid w:val="007F6EBC"/>
    <w:rsid w:val="007F77AA"/>
    <w:rsid w:val="007F7AE8"/>
    <w:rsid w:val="007F7D39"/>
    <w:rsid w:val="007F7DB2"/>
    <w:rsid w:val="007F7EEE"/>
    <w:rsid w:val="00800427"/>
    <w:rsid w:val="008009A9"/>
    <w:rsid w:val="00800B95"/>
    <w:rsid w:val="00800BA9"/>
    <w:rsid w:val="00800C03"/>
    <w:rsid w:val="00800EEF"/>
    <w:rsid w:val="008012A2"/>
    <w:rsid w:val="00801705"/>
    <w:rsid w:val="00801BDE"/>
    <w:rsid w:val="00801BEA"/>
    <w:rsid w:val="00801C68"/>
    <w:rsid w:val="00801F92"/>
    <w:rsid w:val="008021C3"/>
    <w:rsid w:val="00802769"/>
    <w:rsid w:val="00802823"/>
    <w:rsid w:val="008028BE"/>
    <w:rsid w:val="00802A13"/>
    <w:rsid w:val="00802A59"/>
    <w:rsid w:val="00802B17"/>
    <w:rsid w:val="00802C43"/>
    <w:rsid w:val="00803426"/>
    <w:rsid w:val="0080345F"/>
    <w:rsid w:val="008034CA"/>
    <w:rsid w:val="00803579"/>
    <w:rsid w:val="00803984"/>
    <w:rsid w:val="00803A8F"/>
    <w:rsid w:val="00804048"/>
    <w:rsid w:val="008040A9"/>
    <w:rsid w:val="0080437F"/>
    <w:rsid w:val="00805379"/>
    <w:rsid w:val="00805393"/>
    <w:rsid w:val="0080543C"/>
    <w:rsid w:val="008054D0"/>
    <w:rsid w:val="00805710"/>
    <w:rsid w:val="00805B2F"/>
    <w:rsid w:val="00805B86"/>
    <w:rsid w:val="00805F1F"/>
    <w:rsid w:val="00805F5D"/>
    <w:rsid w:val="0080697C"/>
    <w:rsid w:val="00806B53"/>
    <w:rsid w:val="00806F37"/>
    <w:rsid w:val="00806F4D"/>
    <w:rsid w:val="0080724A"/>
    <w:rsid w:val="008075B4"/>
    <w:rsid w:val="00807822"/>
    <w:rsid w:val="00807DC8"/>
    <w:rsid w:val="00807E8C"/>
    <w:rsid w:val="00810149"/>
    <w:rsid w:val="0081058F"/>
    <w:rsid w:val="00810B73"/>
    <w:rsid w:val="00810E12"/>
    <w:rsid w:val="00810F2C"/>
    <w:rsid w:val="00811224"/>
    <w:rsid w:val="0081124A"/>
    <w:rsid w:val="00811284"/>
    <w:rsid w:val="00811324"/>
    <w:rsid w:val="008113D6"/>
    <w:rsid w:val="00811EB7"/>
    <w:rsid w:val="0081211F"/>
    <w:rsid w:val="008122FA"/>
    <w:rsid w:val="008125D6"/>
    <w:rsid w:val="00812EED"/>
    <w:rsid w:val="008131A6"/>
    <w:rsid w:val="008131AD"/>
    <w:rsid w:val="00813A18"/>
    <w:rsid w:val="00813A9D"/>
    <w:rsid w:val="008142A6"/>
    <w:rsid w:val="00814933"/>
    <w:rsid w:val="00814BD5"/>
    <w:rsid w:val="00814C8E"/>
    <w:rsid w:val="00814D28"/>
    <w:rsid w:val="008153B8"/>
    <w:rsid w:val="00815743"/>
    <w:rsid w:val="00815855"/>
    <w:rsid w:val="00815937"/>
    <w:rsid w:val="008162CC"/>
    <w:rsid w:val="008168B3"/>
    <w:rsid w:val="00816935"/>
    <w:rsid w:val="00816A88"/>
    <w:rsid w:val="00816CDA"/>
    <w:rsid w:val="00816CF9"/>
    <w:rsid w:val="00816FB8"/>
    <w:rsid w:val="0081737C"/>
    <w:rsid w:val="00817C21"/>
    <w:rsid w:val="008200DC"/>
    <w:rsid w:val="008205C0"/>
    <w:rsid w:val="00820803"/>
    <w:rsid w:val="008209E7"/>
    <w:rsid w:val="00820A7F"/>
    <w:rsid w:val="00820C92"/>
    <w:rsid w:val="008215C6"/>
    <w:rsid w:val="00821991"/>
    <w:rsid w:val="00821CC2"/>
    <w:rsid w:val="008228CF"/>
    <w:rsid w:val="00822AA9"/>
    <w:rsid w:val="00822D21"/>
    <w:rsid w:val="00822FB1"/>
    <w:rsid w:val="008231D7"/>
    <w:rsid w:val="00823BEC"/>
    <w:rsid w:val="00823CB8"/>
    <w:rsid w:val="00823F7A"/>
    <w:rsid w:val="0082407E"/>
    <w:rsid w:val="008240A8"/>
    <w:rsid w:val="00824AA9"/>
    <w:rsid w:val="00824D61"/>
    <w:rsid w:val="00824F9A"/>
    <w:rsid w:val="008250B8"/>
    <w:rsid w:val="00825244"/>
    <w:rsid w:val="0082582B"/>
    <w:rsid w:val="008258D4"/>
    <w:rsid w:val="0082599A"/>
    <w:rsid w:val="00825B48"/>
    <w:rsid w:val="00825B4E"/>
    <w:rsid w:val="00825DCF"/>
    <w:rsid w:val="00825FF6"/>
    <w:rsid w:val="00826095"/>
    <w:rsid w:val="008260E8"/>
    <w:rsid w:val="0082619E"/>
    <w:rsid w:val="008264C8"/>
    <w:rsid w:val="00826544"/>
    <w:rsid w:val="0082670B"/>
    <w:rsid w:val="00826DD4"/>
    <w:rsid w:val="00826ECD"/>
    <w:rsid w:val="00827040"/>
    <w:rsid w:val="008270E2"/>
    <w:rsid w:val="008275EF"/>
    <w:rsid w:val="00827FD9"/>
    <w:rsid w:val="0083018B"/>
    <w:rsid w:val="00830463"/>
    <w:rsid w:val="00830711"/>
    <w:rsid w:val="008307B4"/>
    <w:rsid w:val="00831590"/>
    <w:rsid w:val="00831742"/>
    <w:rsid w:val="00831900"/>
    <w:rsid w:val="00831DA7"/>
    <w:rsid w:val="00832158"/>
    <w:rsid w:val="00832324"/>
    <w:rsid w:val="00832608"/>
    <w:rsid w:val="008326AC"/>
    <w:rsid w:val="0083277E"/>
    <w:rsid w:val="0083290C"/>
    <w:rsid w:val="00832C9E"/>
    <w:rsid w:val="00832DAB"/>
    <w:rsid w:val="008331BE"/>
    <w:rsid w:val="008332C5"/>
    <w:rsid w:val="008333FC"/>
    <w:rsid w:val="00833847"/>
    <w:rsid w:val="00833C4B"/>
    <w:rsid w:val="00833EBD"/>
    <w:rsid w:val="00833ED5"/>
    <w:rsid w:val="0083421B"/>
    <w:rsid w:val="008342B8"/>
    <w:rsid w:val="008345F6"/>
    <w:rsid w:val="00834A43"/>
    <w:rsid w:val="00834A83"/>
    <w:rsid w:val="00834C4E"/>
    <w:rsid w:val="00834E2F"/>
    <w:rsid w:val="0083501D"/>
    <w:rsid w:val="00835425"/>
    <w:rsid w:val="0083554B"/>
    <w:rsid w:val="0083558D"/>
    <w:rsid w:val="00835605"/>
    <w:rsid w:val="00835800"/>
    <w:rsid w:val="00835A0F"/>
    <w:rsid w:val="00835F6D"/>
    <w:rsid w:val="0083663C"/>
    <w:rsid w:val="00836669"/>
    <w:rsid w:val="00836679"/>
    <w:rsid w:val="00836797"/>
    <w:rsid w:val="00836801"/>
    <w:rsid w:val="00836920"/>
    <w:rsid w:val="00836AA8"/>
    <w:rsid w:val="00836F30"/>
    <w:rsid w:val="0083712E"/>
    <w:rsid w:val="00837703"/>
    <w:rsid w:val="0083777B"/>
    <w:rsid w:val="00837974"/>
    <w:rsid w:val="0083797C"/>
    <w:rsid w:val="00837A9F"/>
    <w:rsid w:val="00837D3D"/>
    <w:rsid w:val="00837F18"/>
    <w:rsid w:val="008402F1"/>
    <w:rsid w:val="008403F5"/>
    <w:rsid w:val="00840857"/>
    <w:rsid w:val="00840D07"/>
    <w:rsid w:val="00840FE8"/>
    <w:rsid w:val="008415CD"/>
    <w:rsid w:val="008416AF"/>
    <w:rsid w:val="00841870"/>
    <w:rsid w:val="0084195C"/>
    <w:rsid w:val="00841BB2"/>
    <w:rsid w:val="00841E58"/>
    <w:rsid w:val="008422B8"/>
    <w:rsid w:val="00842755"/>
    <w:rsid w:val="00842798"/>
    <w:rsid w:val="00842999"/>
    <w:rsid w:val="00842B6C"/>
    <w:rsid w:val="00842E1A"/>
    <w:rsid w:val="00842E89"/>
    <w:rsid w:val="00842EEE"/>
    <w:rsid w:val="0084345A"/>
    <w:rsid w:val="0084357D"/>
    <w:rsid w:val="0084374C"/>
    <w:rsid w:val="008439F6"/>
    <w:rsid w:val="00843A68"/>
    <w:rsid w:val="00843C33"/>
    <w:rsid w:val="008440DA"/>
    <w:rsid w:val="008441C6"/>
    <w:rsid w:val="00844574"/>
    <w:rsid w:val="008446CE"/>
    <w:rsid w:val="00844846"/>
    <w:rsid w:val="008449B1"/>
    <w:rsid w:val="00844A64"/>
    <w:rsid w:val="00844C55"/>
    <w:rsid w:val="00844E1B"/>
    <w:rsid w:val="00844E40"/>
    <w:rsid w:val="008451F5"/>
    <w:rsid w:val="0084522E"/>
    <w:rsid w:val="008452C6"/>
    <w:rsid w:val="00845690"/>
    <w:rsid w:val="00845823"/>
    <w:rsid w:val="00845A6D"/>
    <w:rsid w:val="00845D36"/>
    <w:rsid w:val="00845FF0"/>
    <w:rsid w:val="00846003"/>
    <w:rsid w:val="00846568"/>
    <w:rsid w:val="00846860"/>
    <w:rsid w:val="00846AC0"/>
    <w:rsid w:val="00846C6D"/>
    <w:rsid w:val="008470B8"/>
    <w:rsid w:val="008475B8"/>
    <w:rsid w:val="00847616"/>
    <w:rsid w:val="00847824"/>
    <w:rsid w:val="0084786F"/>
    <w:rsid w:val="00847C61"/>
    <w:rsid w:val="00847DFC"/>
    <w:rsid w:val="00847E23"/>
    <w:rsid w:val="00847E97"/>
    <w:rsid w:val="00850091"/>
    <w:rsid w:val="008500E3"/>
    <w:rsid w:val="00850153"/>
    <w:rsid w:val="0085035A"/>
    <w:rsid w:val="008508BC"/>
    <w:rsid w:val="008508E3"/>
    <w:rsid w:val="00850DD3"/>
    <w:rsid w:val="00850EE2"/>
    <w:rsid w:val="00850FD9"/>
    <w:rsid w:val="0085112B"/>
    <w:rsid w:val="00851219"/>
    <w:rsid w:val="00851374"/>
    <w:rsid w:val="00851657"/>
    <w:rsid w:val="00851854"/>
    <w:rsid w:val="008518E0"/>
    <w:rsid w:val="008518F0"/>
    <w:rsid w:val="00851B39"/>
    <w:rsid w:val="00852178"/>
    <w:rsid w:val="008522BB"/>
    <w:rsid w:val="008526DB"/>
    <w:rsid w:val="00852705"/>
    <w:rsid w:val="0085291F"/>
    <w:rsid w:val="00852981"/>
    <w:rsid w:val="00852BD6"/>
    <w:rsid w:val="00852E6A"/>
    <w:rsid w:val="00853249"/>
    <w:rsid w:val="0085377A"/>
    <w:rsid w:val="0085388E"/>
    <w:rsid w:val="008539F5"/>
    <w:rsid w:val="00853A2E"/>
    <w:rsid w:val="00853C2D"/>
    <w:rsid w:val="00853F1A"/>
    <w:rsid w:val="00853FF3"/>
    <w:rsid w:val="0085413D"/>
    <w:rsid w:val="00854225"/>
    <w:rsid w:val="00854326"/>
    <w:rsid w:val="00854350"/>
    <w:rsid w:val="008544B4"/>
    <w:rsid w:val="0085451D"/>
    <w:rsid w:val="00854AA0"/>
    <w:rsid w:val="00854EC8"/>
    <w:rsid w:val="008552E7"/>
    <w:rsid w:val="00855C4C"/>
    <w:rsid w:val="00855D3A"/>
    <w:rsid w:val="00855EE6"/>
    <w:rsid w:val="008564D7"/>
    <w:rsid w:val="0085699F"/>
    <w:rsid w:val="008569BD"/>
    <w:rsid w:val="00856B46"/>
    <w:rsid w:val="00856FC3"/>
    <w:rsid w:val="00857243"/>
    <w:rsid w:val="00857718"/>
    <w:rsid w:val="008577D2"/>
    <w:rsid w:val="0085785D"/>
    <w:rsid w:val="00857A3D"/>
    <w:rsid w:val="00857AC5"/>
    <w:rsid w:val="00857B3D"/>
    <w:rsid w:val="00857BDA"/>
    <w:rsid w:val="00857E59"/>
    <w:rsid w:val="0086009D"/>
    <w:rsid w:val="0086012E"/>
    <w:rsid w:val="008603B4"/>
    <w:rsid w:val="0086042C"/>
    <w:rsid w:val="00860657"/>
    <w:rsid w:val="00860735"/>
    <w:rsid w:val="008609F4"/>
    <w:rsid w:val="00860AD5"/>
    <w:rsid w:val="008613B1"/>
    <w:rsid w:val="008613D3"/>
    <w:rsid w:val="00861579"/>
    <w:rsid w:val="008618EE"/>
    <w:rsid w:val="00861D5E"/>
    <w:rsid w:val="008622E2"/>
    <w:rsid w:val="00862A38"/>
    <w:rsid w:val="00862ACA"/>
    <w:rsid w:val="00863256"/>
    <w:rsid w:val="008634AC"/>
    <w:rsid w:val="00863A64"/>
    <w:rsid w:val="00863D51"/>
    <w:rsid w:val="00863D80"/>
    <w:rsid w:val="008640BE"/>
    <w:rsid w:val="008640CB"/>
    <w:rsid w:val="00864247"/>
    <w:rsid w:val="008642D7"/>
    <w:rsid w:val="00864509"/>
    <w:rsid w:val="00864767"/>
    <w:rsid w:val="00864A4F"/>
    <w:rsid w:val="00864BF1"/>
    <w:rsid w:val="00864BF8"/>
    <w:rsid w:val="00864D31"/>
    <w:rsid w:val="0086531E"/>
    <w:rsid w:val="0086535F"/>
    <w:rsid w:val="00865512"/>
    <w:rsid w:val="00865564"/>
    <w:rsid w:val="008655B1"/>
    <w:rsid w:val="00865769"/>
    <w:rsid w:val="008659E6"/>
    <w:rsid w:val="00865ACC"/>
    <w:rsid w:val="00865BD3"/>
    <w:rsid w:val="00865C17"/>
    <w:rsid w:val="00865E1F"/>
    <w:rsid w:val="00865F37"/>
    <w:rsid w:val="00866202"/>
    <w:rsid w:val="00866312"/>
    <w:rsid w:val="00866B62"/>
    <w:rsid w:val="00866B6C"/>
    <w:rsid w:val="00866EFE"/>
    <w:rsid w:val="00867353"/>
    <w:rsid w:val="00867474"/>
    <w:rsid w:val="00867748"/>
    <w:rsid w:val="008677F7"/>
    <w:rsid w:val="008679B8"/>
    <w:rsid w:val="00867B44"/>
    <w:rsid w:val="00867E22"/>
    <w:rsid w:val="00867F83"/>
    <w:rsid w:val="00870243"/>
    <w:rsid w:val="008703B8"/>
    <w:rsid w:val="00870725"/>
    <w:rsid w:val="008709EF"/>
    <w:rsid w:val="00870BAC"/>
    <w:rsid w:val="00870CE4"/>
    <w:rsid w:val="00870E1A"/>
    <w:rsid w:val="00871011"/>
    <w:rsid w:val="00871542"/>
    <w:rsid w:val="00871981"/>
    <w:rsid w:val="00871DA8"/>
    <w:rsid w:val="008721A8"/>
    <w:rsid w:val="008726AA"/>
    <w:rsid w:val="00872D86"/>
    <w:rsid w:val="00873197"/>
    <w:rsid w:val="00873500"/>
    <w:rsid w:val="008739EA"/>
    <w:rsid w:val="00873C0A"/>
    <w:rsid w:val="00873C80"/>
    <w:rsid w:val="00874605"/>
    <w:rsid w:val="00874731"/>
    <w:rsid w:val="00874817"/>
    <w:rsid w:val="00874824"/>
    <w:rsid w:val="00874B71"/>
    <w:rsid w:val="00874D1D"/>
    <w:rsid w:val="00874D5C"/>
    <w:rsid w:val="00875374"/>
    <w:rsid w:val="008755A0"/>
    <w:rsid w:val="00875BA9"/>
    <w:rsid w:val="00875C25"/>
    <w:rsid w:val="00875D2D"/>
    <w:rsid w:val="00875FBB"/>
    <w:rsid w:val="0087605C"/>
    <w:rsid w:val="008760B6"/>
    <w:rsid w:val="00876514"/>
    <w:rsid w:val="0087687D"/>
    <w:rsid w:val="00876A36"/>
    <w:rsid w:val="00876B80"/>
    <w:rsid w:val="008770B1"/>
    <w:rsid w:val="00877210"/>
    <w:rsid w:val="008772E6"/>
    <w:rsid w:val="008773DC"/>
    <w:rsid w:val="008774CC"/>
    <w:rsid w:val="00877635"/>
    <w:rsid w:val="00877D2B"/>
    <w:rsid w:val="00877E69"/>
    <w:rsid w:val="00877F44"/>
    <w:rsid w:val="008804E4"/>
    <w:rsid w:val="0088051E"/>
    <w:rsid w:val="0088057F"/>
    <w:rsid w:val="00880692"/>
    <w:rsid w:val="0088069E"/>
    <w:rsid w:val="00880CB5"/>
    <w:rsid w:val="00880DE5"/>
    <w:rsid w:val="00880FC5"/>
    <w:rsid w:val="008815D4"/>
    <w:rsid w:val="00881974"/>
    <w:rsid w:val="00881C22"/>
    <w:rsid w:val="00881C3E"/>
    <w:rsid w:val="008821A2"/>
    <w:rsid w:val="0088227A"/>
    <w:rsid w:val="00882652"/>
    <w:rsid w:val="0088342A"/>
    <w:rsid w:val="008836DA"/>
    <w:rsid w:val="00883716"/>
    <w:rsid w:val="0088391F"/>
    <w:rsid w:val="00883ABE"/>
    <w:rsid w:val="00883C66"/>
    <w:rsid w:val="00883F21"/>
    <w:rsid w:val="00884277"/>
    <w:rsid w:val="00884460"/>
    <w:rsid w:val="008845D5"/>
    <w:rsid w:val="00884706"/>
    <w:rsid w:val="008849AE"/>
    <w:rsid w:val="00884C2A"/>
    <w:rsid w:val="00884D77"/>
    <w:rsid w:val="008851F4"/>
    <w:rsid w:val="008851F9"/>
    <w:rsid w:val="008854DC"/>
    <w:rsid w:val="00885509"/>
    <w:rsid w:val="00885547"/>
    <w:rsid w:val="00885816"/>
    <w:rsid w:val="008858E6"/>
    <w:rsid w:val="0088591B"/>
    <w:rsid w:val="00885CAE"/>
    <w:rsid w:val="00885D76"/>
    <w:rsid w:val="00885E22"/>
    <w:rsid w:val="00885F41"/>
    <w:rsid w:val="00885F8F"/>
    <w:rsid w:val="00885FB6"/>
    <w:rsid w:val="008860EA"/>
    <w:rsid w:val="008861BC"/>
    <w:rsid w:val="00886590"/>
    <w:rsid w:val="008865AC"/>
    <w:rsid w:val="00886A76"/>
    <w:rsid w:val="00886ADE"/>
    <w:rsid w:val="00886F07"/>
    <w:rsid w:val="0088732D"/>
    <w:rsid w:val="008873F6"/>
    <w:rsid w:val="0088759D"/>
    <w:rsid w:val="00887B23"/>
    <w:rsid w:val="00887D87"/>
    <w:rsid w:val="0089018A"/>
    <w:rsid w:val="0089055F"/>
    <w:rsid w:val="00890934"/>
    <w:rsid w:val="00890F2F"/>
    <w:rsid w:val="00890FBF"/>
    <w:rsid w:val="00891373"/>
    <w:rsid w:val="008913CB"/>
    <w:rsid w:val="008915FF"/>
    <w:rsid w:val="00891808"/>
    <w:rsid w:val="0089198E"/>
    <w:rsid w:val="00891B60"/>
    <w:rsid w:val="00892042"/>
    <w:rsid w:val="0089204F"/>
    <w:rsid w:val="0089266C"/>
    <w:rsid w:val="0089274D"/>
    <w:rsid w:val="008927E8"/>
    <w:rsid w:val="0089289F"/>
    <w:rsid w:val="00892BC5"/>
    <w:rsid w:val="00892BE8"/>
    <w:rsid w:val="00892CE0"/>
    <w:rsid w:val="00892DDD"/>
    <w:rsid w:val="00892E65"/>
    <w:rsid w:val="00893657"/>
    <w:rsid w:val="00893D9C"/>
    <w:rsid w:val="00893F8C"/>
    <w:rsid w:val="00893FF0"/>
    <w:rsid w:val="008940AB"/>
    <w:rsid w:val="008942AA"/>
    <w:rsid w:val="00894692"/>
    <w:rsid w:val="00894956"/>
    <w:rsid w:val="008950CD"/>
    <w:rsid w:val="008954AA"/>
    <w:rsid w:val="008956FC"/>
    <w:rsid w:val="00895849"/>
    <w:rsid w:val="00895AA1"/>
    <w:rsid w:val="0089623C"/>
    <w:rsid w:val="00896809"/>
    <w:rsid w:val="00896C72"/>
    <w:rsid w:val="00896CF6"/>
    <w:rsid w:val="00896FE5"/>
    <w:rsid w:val="008971CC"/>
    <w:rsid w:val="008971FD"/>
    <w:rsid w:val="008972EB"/>
    <w:rsid w:val="008974B3"/>
    <w:rsid w:val="00897599"/>
    <w:rsid w:val="008975A7"/>
    <w:rsid w:val="0089795D"/>
    <w:rsid w:val="00897AA3"/>
    <w:rsid w:val="00897B9D"/>
    <w:rsid w:val="00897D33"/>
    <w:rsid w:val="008A0268"/>
    <w:rsid w:val="008A0487"/>
    <w:rsid w:val="008A04CB"/>
    <w:rsid w:val="008A081A"/>
    <w:rsid w:val="008A0F68"/>
    <w:rsid w:val="008A1139"/>
    <w:rsid w:val="008A1160"/>
    <w:rsid w:val="008A117F"/>
    <w:rsid w:val="008A13A7"/>
    <w:rsid w:val="008A1688"/>
    <w:rsid w:val="008A1A82"/>
    <w:rsid w:val="008A29BA"/>
    <w:rsid w:val="008A2BD7"/>
    <w:rsid w:val="008A30B6"/>
    <w:rsid w:val="008A31ED"/>
    <w:rsid w:val="008A32D3"/>
    <w:rsid w:val="008A33FD"/>
    <w:rsid w:val="008A34D6"/>
    <w:rsid w:val="008A3745"/>
    <w:rsid w:val="008A3A54"/>
    <w:rsid w:val="008A3DB2"/>
    <w:rsid w:val="008A413A"/>
    <w:rsid w:val="008A41FD"/>
    <w:rsid w:val="008A44CB"/>
    <w:rsid w:val="008A4672"/>
    <w:rsid w:val="008A47DD"/>
    <w:rsid w:val="008A49F6"/>
    <w:rsid w:val="008A4F2D"/>
    <w:rsid w:val="008A5133"/>
    <w:rsid w:val="008A51E9"/>
    <w:rsid w:val="008A5C6D"/>
    <w:rsid w:val="008A5CDB"/>
    <w:rsid w:val="008A600C"/>
    <w:rsid w:val="008A6156"/>
    <w:rsid w:val="008A642A"/>
    <w:rsid w:val="008A6441"/>
    <w:rsid w:val="008A6562"/>
    <w:rsid w:val="008A65AA"/>
    <w:rsid w:val="008A66EA"/>
    <w:rsid w:val="008A6D25"/>
    <w:rsid w:val="008A7260"/>
    <w:rsid w:val="008A73AF"/>
    <w:rsid w:val="008A755C"/>
    <w:rsid w:val="008A7B66"/>
    <w:rsid w:val="008A7F53"/>
    <w:rsid w:val="008B01B0"/>
    <w:rsid w:val="008B026E"/>
    <w:rsid w:val="008B0749"/>
    <w:rsid w:val="008B0B0F"/>
    <w:rsid w:val="008B0D97"/>
    <w:rsid w:val="008B0DC6"/>
    <w:rsid w:val="008B109D"/>
    <w:rsid w:val="008B1228"/>
    <w:rsid w:val="008B127B"/>
    <w:rsid w:val="008B167B"/>
    <w:rsid w:val="008B17F5"/>
    <w:rsid w:val="008B1A76"/>
    <w:rsid w:val="008B1C50"/>
    <w:rsid w:val="008B1DDE"/>
    <w:rsid w:val="008B22B7"/>
    <w:rsid w:val="008B22EF"/>
    <w:rsid w:val="008B241C"/>
    <w:rsid w:val="008B2601"/>
    <w:rsid w:val="008B2787"/>
    <w:rsid w:val="008B2CB6"/>
    <w:rsid w:val="008B3189"/>
    <w:rsid w:val="008B328A"/>
    <w:rsid w:val="008B365A"/>
    <w:rsid w:val="008B38BA"/>
    <w:rsid w:val="008B3C01"/>
    <w:rsid w:val="008B41B8"/>
    <w:rsid w:val="008B4249"/>
    <w:rsid w:val="008B4272"/>
    <w:rsid w:val="008B439A"/>
    <w:rsid w:val="008B44E5"/>
    <w:rsid w:val="008B4507"/>
    <w:rsid w:val="008B4819"/>
    <w:rsid w:val="008B4863"/>
    <w:rsid w:val="008B4A02"/>
    <w:rsid w:val="008B4E0A"/>
    <w:rsid w:val="008B5591"/>
    <w:rsid w:val="008B5840"/>
    <w:rsid w:val="008B5B6A"/>
    <w:rsid w:val="008B5E67"/>
    <w:rsid w:val="008B656F"/>
    <w:rsid w:val="008B66E7"/>
    <w:rsid w:val="008B6B78"/>
    <w:rsid w:val="008B6D09"/>
    <w:rsid w:val="008B7294"/>
    <w:rsid w:val="008B72C8"/>
    <w:rsid w:val="008B74DE"/>
    <w:rsid w:val="008B755F"/>
    <w:rsid w:val="008B78F6"/>
    <w:rsid w:val="008B7DB6"/>
    <w:rsid w:val="008B7FEC"/>
    <w:rsid w:val="008C02C6"/>
    <w:rsid w:val="008C0422"/>
    <w:rsid w:val="008C04D4"/>
    <w:rsid w:val="008C0E73"/>
    <w:rsid w:val="008C0F2F"/>
    <w:rsid w:val="008C109E"/>
    <w:rsid w:val="008C11C8"/>
    <w:rsid w:val="008C15E5"/>
    <w:rsid w:val="008C1838"/>
    <w:rsid w:val="008C1E24"/>
    <w:rsid w:val="008C21BB"/>
    <w:rsid w:val="008C241A"/>
    <w:rsid w:val="008C25B2"/>
    <w:rsid w:val="008C28DC"/>
    <w:rsid w:val="008C2C63"/>
    <w:rsid w:val="008C2CE9"/>
    <w:rsid w:val="008C2E10"/>
    <w:rsid w:val="008C2E55"/>
    <w:rsid w:val="008C3464"/>
    <w:rsid w:val="008C3572"/>
    <w:rsid w:val="008C3A14"/>
    <w:rsid w:val="008C3A3A"/>
    <w:rsid w:val="008C3E90"/>
    <w:rsid w:val="008C460C"/>
    <w:rsid w:val="008C4690"/>
    <w:rsid w:val="008C48F8"/>
    <w:rsid w:val="008C497C"/>
    <w:rsid w:val="008C4A92"/>
    <w:rsid w:val="008C4CE3"/>
    <w:rsid w:val="008C5597"/>
    <w:rsid w:val="008C55AA"/>
    <w:rsid w:val="008C5874"/>
    <w:rsid w:val="008C59B7"/>
    <w:rsid w:val="008C5B5B"/>
    <w:rsid w:val="008C5C5C"/>
    <w:rsid w:val="008C61BD"/>
    <w:rsid w:val="008C685D"/>
    <w:rsid w:val="008C6ABD"/>
    <w:rsid w:val="008C6B4B"/>
    <w:rsid w:val="008C7047"/>
    <w:rsid w:val="008C7168"/>
    <w:rsid w:val="008C76BF"/>
    <w:rsid w:val="008C78C3"/>
    <w:rsid w:val="008C793E"/>
    <w:rsid w:val="008C7B65"/>
    <w:rsid w:val="008C7F94"/>
    <w:rsid w:val="008D006F"/>
    <w:rsid w:val="008D009B"/>
    <w:rsid w:val="008D024C"/>
    <w:rsid w:val="008D0334"/>
    <w:rsid w:val="008D06CE"/>
    <w:rsid w:val="008D087C"/>
    <w:rsid w:val="008D08DF"/>
    <w:rsid w:val="008D09DD"/>
    <w:rsid w:val="008D0C47"/>
    <w:rsid w:val="008D0CC3"/>
    <w:rsid w:val="008D127B"/>
    <w:rsid w:val="008D1302"/>
    <w:rsid w:val="008D1334"/>
    <w:rsid w:val="008D140C"/>
    <w:rsid w:val="008D1CA6"/>
    <w:rsid w:val="008D1ED2"/>
    <w:rsid w:val="008D2119"/>
    <w:rsid w:val="008D23FC"/>
    <w:rsid w:val="008D2798"/>
    <w:rsid w:val="008D2DB7"/>
    <w:rsid w:val="008D3329"/>
    <w:rsid w:val="008D35C0"/>
    <w:rsid w:val="008D3D3D"/>
    <w:rsid w:val="008D40E9"/>
    <w:rsid w:val="008D4135"/>
    <w:rsid w:val="008D465A"/>
    <w:rsid w:val="008D49B3"/>
    <w:rsid w:val="008D49D3"/>
    <w:rsid w:val="008D4A4D"/>
    <w:rsid w:val="008D4E2E"/>
    <w:rsid w:val="008D4FCA"/>
    <w:rsid w:val="008D51BE"/>
    <w:rsid w:val="008D5343"/>
    <w:rsid w:val="008D5348"/>
    <w:rsid w:val="008D549C"/>
    <w:rsid w:val="008D5711"/>
    <w:rsid w:val="008D5D4A"/>
    <w:rsid w:val="008D602E"/>
    <w:rsid w:val="008D6091"/>
    <w:rsid w:val="008D6110"/>
    <w:rsid w:val="008D65A4"/>
    <w:rsid w:val="008D66CC"/>
    <w:rsid w:val="008D6CDB"/>
    <w:rsid w:val="008D6E64"/>
    <w:rsid w:val="008D7018"/>
    <w:rsid w:val="008D726F"/>
    <w:rsid w:val="008D7365"/>
    <w:rsid w:val="008D74AE"/>
    <w:rsid w:val="008D75C0"/>
    <w:rsid w:val="008D78B3"/>
    <w:rsid w:val="008D7AAF"/>
    <w:rsid w:val="008D7EE6"/>
    <w:rsid w:val="008E0112"/>
    <w:rsid w:val="008E0223"/>
    <w:rsid w:val="008E08D6"/>
    <w:rsid w:val="008E0A8C"/>
    <w:rsid w:val="008E10D1"/>
    <w:rsid w:val="008E139C"/>
    <w:rsid w:val="008E1442"/>
    <w:rsid w:val="008E1487"/>
    <w:rsid w:val="008E17FF"/>
    <w:rsid w:val="008E195F"/>
    <w:rsid w:val="008E1B3D"/>
    <w:rsid w:val="008E1DDB"/>
    <w:rsid w:val="008E2384"/>
    <w:rsid w:val="008E2435"/>
    <w:rsid w:val="008E26B9"/>
    <w:rsid w:val="008E2700"/>
    <w:rsid w:val="008E2B19"/>
    <w:rsid w:val="008E30A6"/>
    <w:rsid w:val="008E3161"/>
    <w:rsid w:val="008E32D5"/>
    <w:rsid w:val="008E3D5F"/>
    <w:rsid w:val="008E3E3D"/>
    <w:rsid w:val="008E4000"/>
    <w:rsid w:val="008E4417"/>
    <w:rsid w:val="008E4581"/>
    <w:rsid w:val="008E4766"/>
    <w:rsid w:val="008E49D9"/>
    <w:rsid w:val="008E4B45"/>
    <w:rsid w:val="008E4BA3"/>
    <w:rsid w:val="008E4C20"/>
    <w:rsid w:val="008E4C4F"/>
    <w:rsid w:val="008E4D4E"/>
    <w:rsid w:val="008E51E4"/>
    <w:rsid w:val="008E56FE"/>
    <w:rsid w:val="008E5BDA"/>
    <w:rsid w:val="008E5E77"/>
    <w:rsid w:val="008E66CB"/>
    <w:rsid w:val="008E68A0"/>
    <w:rsid w:val="008E6E5A"/>
    <w:rsid w:val="008E6F4C"/>
    <w:rsid w:val="008E7121"/>
    <w:rsid w:val="008E7240"/>
    <w:rsid w:val="008E767C"/>
    <w:rsid w:val="008E7C8A"/>
    <w:rsid w:val="008E7CA5"/>
    <w:rsid w:val="008E7DC6"/>
    <w:rsid w:val="008E7DE7"/>
    <w:rsid w:val="008F020D"/>
    <w:rsid w:val="008F0327"/>
    <w:rsid w:val="008F0551"/>
    <w:rsid w:val="008F0629"/>
    <w:rsid w:val="008F076B"/>
    <w:rsid w:val="008F0A77"/>
    <w:rsid w:val="008F0A90"/>
    <w:rsid w:val="008F0B24"/>
    <w:rsid w:val="008F0C45"/>
    <w:rsid w:val="008F0CD1"/>
    <w:rsid w:val="008F0CF2"/>
    <w:rsid w:val="008F1355"/>
    <w:rsid w:val="008F1B25"/>
    <w:rsid w:val="008F225E"/>
    <w:rsid w:val="008F28B9"/>
    <w:rsid w:val="008F2F84"/>
    <w:rsid w:val="008F2F9A"/>
    <w:rsid w:val="008F35AD"/>
    <w:rsid w:val="008F3600"/>
    <w:rsid w:val="008F3692"/>
    <w:rsid w:val="008F384D"/>
    <w:rsid w:val="008F3877"/>
    <w:rsid w:val="008F3950"/>
    <w:rsid w:val="008F3AD2"/>
    <w:rsid w:val="008F3ADE"/>
    <w:rsid w:val="008F3B8D"/>
    <w:rsid w:val="008F3CD4"/>
    <w:rsid w:val="008F3CF7"/>
    <w:rsid w:val="008F4211"/>
    <w:rsid w:val="008F4676"/>
    <w:rsid w:val="008F482A"/>
    <w:rsid w:val="008F486F"/>
    <w:rsid w:val="008F4A4C"/>
    <w:rsid w:val="008F4DA7"/>
    <w:rsid w:val="008F5C25"/>
    <w:rsid w:val="008F5F00"/>
    <w:rsid w:val="008F637C"/>
    <w:rsid w:val="008F6661"/>
    <w:rsid w:val="008F6809"/>
    <w:rsid w:val="008F6B53"/>
    <w:rsid w:val="008F6BC2"/>
    <w:rsid w:val="008F6DB4"/>
    <w:rsid w:val="008F7012"/>
    <w:rsid w:val="008F724B"/>
    <w:rsid w:val="008F78E6"/>
    <w:rsid w:val="008F78FD"/>
    <w:rsid w:val="008F7ACC"/>
    <w:rsid w:val="008F7F75"/>
    <w:rsid w:val="009000E3"/>
    <w:rsid w:val="009001D7"/>
    <w:rsid w:val="00900230"/>
    <w:rsid w:val="00900423"/>
    <w:rsid w:val="00900A79"/>
    <w:rsid w:val="00900F41"/>
    <w:rsid w:val="00900F62"/>
    <w:rsid w:val="0090197A"/>
    <w:rsid w:val="00901D5B"/>
    <w:rsid w:val="00902473"/>
    <w:rsid w:val="009025FC"/>
    <w:rsid w:val="00902D37"/>
    <w:rsid w:val="00902F4F"/>
    <w:rsid w:val="00902F59"/>
    <w:rsid w:val="00902F5D"/>
    <w:rsid w:val="00902F7B"/>
    <w:rsid w:val="0090306D"/>
    <w:rsid w:val="009030D8"/>
    <w:rsid w:val="0090382C"/>
    <w:rsid w:val="00903836"/>
    <w:rsid w:val="00903D8C"/>
    <w:rsid w:val="00903F0D"/>
    <w:rsid w:val="009040F9"/>
    <w:rsid w:val="0090415D"/>
    <w:rsid w:val="009043CE"/>
    <w:rsid w:val="009045A6"/>
    <w:rsid w:val="009046EA"/>
    <w:rsid w:val="00904930"/>
    <w:rsid w:val="00904ADB"/>
    <w:rsid w:val="00904C31"/>
    <w:rsid w:val="00904FB3"/>
    <w:rsid w:val="00904FF0"/>
    <w:rsid w:val="00905220"/>
    <w:rsid w:val="00905226"/>
    <w:rsid w:val="0090530A"/>
    <w:rsid w:val="00905377"/>
    <w:rsid w:val="009058CC"/>
    <w:rsid w:val="00905903"/>
    <w:rsid w:val="00905CFF"/>
    <w:rsid w:val="0090641E"/>
    <w:rsid w:val="00906568"/>
    <w:rsid w:val="0090657A"/>
    <w:rsid w:val="00906650"/>
    <w:rsid w:val="009066F4"/>
    <w:rsid w:val="00906956"/>
    <w:rsid w:val="00906C08"/>
    <w:rsid w:val="00906E46"/>
    <w:rsid w:val="00906ECB"/>
    <w:rsid w:val="0090724D"/>
    <w:rsid w:val="00907759"/>
    <w:rsid w:val="00907777"/>
    <w:rsid w:val="0090785F"/>
    <w:rsid w:val="00907FCE"/>
    <w:rsid w:val="009105E2"/>
    <w:rsid w:val="00910780"/>
    <w:rsid w:val="00910849"/>
    <w:rsid w:val="00910CB5"/>
    <w:rsid w:val="00910CDC"/>
    <w:rsid w:val="00910FCE"/>
    <w:rsid w:val="00911247"/>
    <w:rsid w:val="00911577"/>
    <w:rsid w:val="0091158E"/>
    <w:rsid w:val="009117E9"/>
    <w:rsid w:val="00911893"/>
    <w:rsid w:val="0091199C"/>
    <w:rsid w:val="00911A96"/>
    <w:rsid w:val="00911C49"/>
    <w:rsid w:val="00911FB1"/>
    <w:rsid w:val="0091232C"/>
    <w:rsid w:val="0091272B"/>
    <w:rsid w:val="00912D75"/>
    <w:rsid w:val="00912EFB"/>
    <w:rsid w:val="009131D2"/>
    <w:rsid w:val="0091381B"/>
    <w:rsid w:val="00913A92"/>
    <w:rsid w:val="00913DBC"/>
    <w:rsid w:val="0091493B"/>
    <w:rsid w:val="0091494A"/>
    <w:rsid w:val="00914999"/>
    <w:rsid w:val="00914E75"/>
    <w:rsid w:val="00914F7A"/>
    <w:rsid w:val="0091508A"/>
    <w:rsid w:val="00915191"/>
    <w:rsid w:val="009153E5"/>
    <w:rsid w:val="00915540"/>
    <w:rsid w:val="00915A86"/>
    <w:rsid w:val="00915C42"/>
    <w:rsid w:val="00915ED9"/>
    <w:rsid w:val="00915F46"/>
    <w:rsid w:val="00916178"/>
    <w:rsid w:val="009162B6"/>
    <w:rsid w:val="00916715"/>
    <w:rsid w:val="00916A89"/>
    <w:rsid w:val="00916C37"/>
    <w:rsid w:val="00916C5F"/>
    <w:rsid w:val="00916DA8"/>
    <w:rsid w:val="00916E8A"/>
    <w:rsid w:val="00916EBB"/>
    <w:rsid w:val="00917137"/>
    <w:rsid w:val="009172E1"/>
    <w:rsid w:val="00917637"/>
    <w:rsid w:val="009177F0"/>
    <w:rsid w:val="0091792B"/>
    <w:rsid w:val="00920276"/>
    <w:rsid w:val="00920619"/>
    <w:rsid w:val="009206E2"/>
    <w:rsid w:val="00920725"/>
    <w:rsid w:val="009209E0"/>
    <w:rsid w:val="00920AAB"/>
    <w:rsid w:val="00920B7D"/>
    <w:rsid w:val="00920CCD"/>
    <w:rsid w:val="00920DF3"/>
    <w:rsid w:val="00921276"/>
    <w:rsid w:val="009213AD"/>
    <w:rsid w:val="00921A73"/>
    <w:rsid w:val="00921CB1"/>
    <w:rsid w:val="00921FB4"/>
    <w:rsid w:val="00922048"/>
    <w:rsid w:val="00922278"/>
    <w:rsid w:val="009223A5"/>
    <w:rsid w:val="009224F1"/>
    <w:rsid w:val="009225B6"/>
    <w:rsid w:val="0092264E"/>
    <w:rsid w:val="009226B3"/>
    <w:rsid w:val="009226E2"/>
    <w:rsid w:val="0092275D"/>
    <w:rsid w:val="0092297E"/>
    <w:rsid w:val="00922AD2"/>
    <w:rsid w:val="00922B29"/>
    <w:rsid w:val="00922F25"/>
    <w:rsid w:val="00922F2A"/>
    <w:rsid w:val="00923057"/>
    <w:rsid w:val="00923075"/>
    <w:rsid w:val="009232DB"/>
    <w:rsid w:val="00923331"/>
    <w:rsid w:val="00923502"/>
    <w:rsid w:val="00923563"/>
    <w:rsid w:val="0092361D"/>
    <w:rsid w:val="009238AB"/>
    <w:rsid w:val="00923983"/>
    <w:rsid w:val="00923A87"/>
    <w:rsid w:val="00924297"/>
    <w:rsid w:val="009244BC"/>
    <w:rsid w:val="0092459B"/>
    <w:rsid w:val="0092463B"/>
    <w:rsid w:val="00924BC0"/>
    <w:rsid w:val="00924CEA"/>
    <w:rsid w:val="009253A9"/>
    <w:rsid w:val="0092552A"/>
    <w:rsid w:val="0092570A"/>
    <w:rsid w:val="00926032"/>
    <w:rsid w:val="00926362"/>
    <w:rsid w:val="0092654D"/>
    <w:rsid w:val="0092656D"/>
    <w:rsid w:val="009267DB"/>
    <w:rsid w:val="00926AD5"/>
    <w:rsid w:val="00926AED"/>
    <w:rsid w:val="00926CD2"/>
    <w:rsid w:val="00927062"/>
    <w:rsid w:val="009270E6"/>
    <w:rsid w:val="009276C3"/>
    <w:rsid w:val="00927791"/>
    <w:rsid w:val="00927AAE"/>
    <w:rsid w:val="00927DEE"/>
    <w:rsid w:val="00927EB3"/>
    <w:rsid w:val="009300C4"/>
    <w:rsid w:val="0093018A"/>
    <w:rsid w:val="0093068B"/>
    <w:rsid w:val="00930C56"/>
    <w:rsid w:val="00931088"/>
    <w:rsid w:val="00931107"/>
    <w:rsid w:val="009313B5"/>
    <w:rsid w:val="00931402"/>
    <w:rsid w:val="009315B3"/>
    <w:rsid w:val="00931A46"/>
    <w:rsid w:val="00931B31"/>
    <w:rsid w:val="00931B80"/>
    <w:rsid w:val="00932573"/>
    <w:rsid w:val="009325BA"/>
    <w:rsid w:val="009327D3"/>
    <w:rsid w:val="009331C2"/>
    <w:rsid w:val="009338E4"/>
    <w:rsid w:val="009338E5"/>
    <w:rsid w:val="00933F9A"/>
    <w:rsid w:val="0093405A"/>
    <w:rsid w:val="00934AED"/>
    <w:rsid w:val="0093505D"/>
    <w:rsid w:val="00935407"/>
    <w:rsid w:val="00935B26"/>
    <w:rsid w:val="00935D55"/>
    <w:rsid w:val="00935F51"/>
    <w:rsid w:val="0093657F"/>
    <w:rsid w:val="00936E96"/>
    <w:rsid w:val="00936F56"/>
    <w:rsid w:val="00937092"/>
    <w:rsid w:val="009370E5"/>
    <w:rsid w:val="009370F2"/>
    <w:rsid w:val="0093721F"/>
    <w:rsid w:val="009372DE"/>
    <w:rsid w:val="00937424"/>
    <w:rsid w:val="00937452"/>
    <w:rsid w:val="009378A8"/>
    <w:rsid w:val="009378CE"/>
    <w:rsid w:val="00937C21"/>
    <w:rsid w:val="00937C2F"/>
    <w:rsid w:val="00940241"/>
    <w:rsid w:val="009403B1"/>
    <w:rsid w:val="00940403"/>
    <w:rsid w:val="00940704"/>
    <w:rsid w:val="0094070B"/>
    <w:rsid w:val="00940A1A"/>
    <w:rsid w:val="00940A68"/>
    <w:rsid w:val="00941358"/>
    <w:rsid w:val="00941425"/>
    <w:rsid w:val="009419A2"/>
    <w:rsid w:val="00941EDA"/>
    <w:rsid w:val="00942482"/>
    <w:rsid w:val="00942C0E"/>
    <w:rsid w:val="00942FAA"/>
    <w:rsid w:val="009432BE"/>
    <w:rsid w:val="009439A6"/>
    <w:rsid w:val="00943B33"/>
    <w:rsid w:val="00943CEB"/>
    <w:rsid w:val="00943E2C"/>
    <w:rsid w:val="00943E5E"/>
    <w:rsid w:val="00943E6C"/>
    <w:rsid w:val="00943EA8"/>
    <w:rsid w:val="00944241"/>
    <w:rsid w:val="0094455E"/>
    <w:rsid w:val="00944723"/>
    <w:rsid w:val="00944FB6"/>
    <w:rsid w:val="00945345"/>
    <w:rsid w:val="00945649"/>
    <w:rsid w:val="00945659"/>
    <w:rsid w:val="00945744"/>
    <w:rsid w:val="0094583C"/>
    <w:rsid w:val="00945C9B"/>
    <w:rsid w:val="00945F33"/>
    <w:rsid w:val="00946079"/>
    <w:rsid w:val="009463EA"/>
    <w:rsid w:val="009464D1"/>
    <w:rsid w:val="00946BE4"/>
    <w:rsid w:val="00946C08"/>
    <w:rsid w:val="00947293"/>
    <w:rsid w:val="0094738E"/>
    <w:rsid w:val="0094760C"/>
    <w:rsid w:val="009477CE"/>
    <w:rsid w:val="00947858"/>
    <w:rsid w:val="00947B76"/>
    <w:rsid w:val="00947F9F"/>
    <w:rsid w:val="009501F8"/>
    <w:rsid w:val="009504D1"/>
    <w:rsid w:val="00950ECA"/>
    <w:rsid w:val="00950F0E"/>
    <w:rsid w:val="00950F94"/>
    <w:rsid w:val="00951007"/>
    <w:rsid w:val="00951246"/>
    <w:rsid w:val="00951308"/>
    <w:rsid w:val="009516BC"/>
    <w:rsid w:val="00951763"/>
    <w:rsid w:val="00951BFC"/>
    <w:rsid w:val="00951F1E"/>
    <w:rsid w:val="0095237B"/>
    <w:rsid w:val="009523BC"/>
    <w:rsid w:val="00952890"/>
    <w:rsid w:val="00952AF9"/>
    <w:rsid w:val="00952E4B"/>
    <w:rsid w:val="00952F0A"/>
    <w:rsid w:val="00953200"/>
    <w:rsid w:val="00953A44"/>
    <w:rsid w:val="00953CA8"/>
    <w:rsid w:val="00954097"/>
    <w:rsid w:val="00954585"/>
    <w:rsid w:val="009545BD"/>
    <w:rsid w:val="00954AC1"/>
    <w:rsid w:val="00954B03"/>
    <w:rsid w:val="00954F9E"/>
    <w:rsid w:val="009552C7"/>
    <w:rsid w:val="0095534D"/>
    <w:rsid w:val="00955630"/>
    <w:rsid w:val="00955794"/>
    <w:rsid w:val="00955884"/>
    <w:rsid w:val="00955997"/>
    <w:rsid w:val="00955C4C"/>
    <w:rsid w:val="00955E72"/>
    <w:rsid w:val="00955F07"/>
    <w:rsid w:val="00956215"/>
    <w:rsid w:val="0095659C"/>
    <w:rsid w:val="009566B3"/>
    <w:rsid w:val="00956712"/>
    <w:rsid w:val="009567F0"/>
    <w:rsid w:val="009568AD"/>
    <w:rsid w:val="00956B59"/>
    <w:rsid w:val="00956CA2"/>
    <w:rsid w:val="00956CE5"/>
    <w:rsid w:val="00956D53"/>
    <w:rsid w:val="00956DE1"/>
    <w:rsid w:val="00956E53"/>
    <w:rsid w:val="00957859"/>
    <w:rsid w:val="009578BB"/>
    <w:rsid w:val="00957A08"/>
    <w:rsid w:val="00957BA5"/>
    <w:rsid w:val="00957E4A"/>
    <w:rsid w:val="009604D2"/>
    <w:rsid w:val="009605D2"/>
    <w:rsid w:val="009606BC"/>
    <w:rsid w:val="00960730"/>
    <w:rsid w:val="00960814"/>
    <w:rsid w:val="00960A07"/>
    <w:rsid w:val="00960B31"/>
    <w:rsid w:val="00960C50"/>
    <w:rsid w:val="00960E35"/>
    <w:rsid w:val="00960F4B"/>
    <w:rsid w:val="0096112E"/>
    <w:rsid w:val="0096176E"/>
    <w:rsid w:val="00961ACA"/>
    <w:rsid w:val="00961D71"/>
    <w:rsid w:val="00961E03"/>
    <w:rsid w:val="00962241"/>
    <w:rsid w:val="009627E5"/>
    <w:rsid w:val="0096295B"/>
    <w:rsid w:val="00962BE1"/>
    <w:rsid w:val="00963084"/>
    <w:rsid w:val="009636B4"/>
    <w:rsid w:val="00963767"/>
    <w:rsid w:val="009638C1"/>
    <w:rsid w:val="009638C2"/>
    <w:rsid w:val="00963A67"/>
    <w:rsid w:val="00963A71"/>
    <w:rsid w:val="00963B3F"/>
    <w:rsid w:val="00963E28"/>
    <w:rsid w:val="00963E83"/>
    <w:rsid w:val="00963F83"/>
    <w:rsid w:val="009642BA"/>
    <w:rsid w:val="009642DF"/>
    <w:rsid w:val="009642EE"/>
    <w:rsid w:val="0096486A"/>
    <w:rsid w:val="00964D2B"/>
    <w:rsid w:val="00965768"/>
    <w:rsid w:val="00965A9C"/>
    <w:rsid w:val="009660EA"/>
    <w:rsid w:val="00966166"/>
    <w:rsid w:val="00966573"/>
    <w:rsid w:val="00966A18"/>
    <w:rsid w:val="00966A2A"/>
    <w:rsid w:val="00966C76"/>
    <w:rsid w:val="00966D33"/>
    <w:rsid w:val="00966DF8"/>
    <w:rsid w:val="00966F28"/>
    <w:rsid w:val="00966FAB"/>
    <w:rsid w:val="00967096"/>
    <w:rsid w:val="00967204"/>
    <w:rsid w:val="00967E0F"/>
    <w:rsid w:val="00970004"/>
    <w:rsid w:val="0097029F"/>
    <w:rsid w:val="0097044B"/>
    <w:rsid w:val="00970584"/>
    <w:rsid w:val="009705E1"/>
    <w:rsid w:val="00970673"/>
    <w:rsid w:val="00970A1E"/>
    <w:rsid w:val="00970CB5"/>
    <w:rsid w:val="00970ECD"/>
    <w:rsid w:val="009711AB"/>
    <w:rsid w:val="009713E1"/>
    <w:rsid w:val="00971619"/>
    <w:rsid w:val="009716E2"/>
    <w:rsid w:val="009716E5"/>
    <w:rsid w:val="009718AF"/>
    <w:rsid w:val="00971AA3"/>
    <w:rsid w:val="00971B84"/>
    <w:rsid w:val="00971D40"/>
    <w:rsid w:val="00971E93"/>
    <w:rsid w:val="009729C6"/>
    <w:rsid w:val="00972A3D"/>
    <w:rsid w:val="00972FE0"/>
    <w:rsid w:val="00973211"/>
    <w:rsid w:val="00973812"/>
    <w:rsid w:val="0097396D"/>
    <w:rsid w:val="009739AF"/>
    <w:rsid w:val="00973D11"/>
    <w:rsid w:val="00973EBC"/>
    <w:rsid w:val="00973F31"/>
    <w:rsid w:val="00973F86"/>
    <w:rsid w:val="00974073"/>
    <w:rsid w:val="009741B1"/>
    <w:rsid w:val="0097436A"/>
    <w:rsid w:val="0097487B"/>
    <w:rsid w:val="009749B1"/>
    <w:rsid w:val="00974AB8"/>
    <w:rsid w:val="00975475"/>
    <w:rsid w:val="0097556F"/>
    <w:rsid w:val="00975742"/>
    <w:rsid w:val="00975944"/>
    <w:rsid w:val="00975D53"/>
    <w:rsid w:val="00975F0B"/>
    <w:rsid w:val="00976556"/>
    <w:rsid w:val="00976602"/>
    <w:rsid w:val="009766CD"/>
    <w:rsid w:val="00976852"/>
    <w:rsid w:val="00976D6C"/>
    <w:rsid w:val="00976FDC"/>
    <w:rsid w:val="009770A3"/>
    <w:rsid w:val="0097713C"/>
    <w:rsid w:val="0097718A"/>
    <w:rsid w:val="009771FD"/>
    <w:rsid w:val="009777C5"/>
    <w:rsid w:val="009777ED"/>
    <w:rsid w:val="00977957"/>
    <w:rsid w:val="009779B4"/>
    <w:rsid w:val="00977D5A"/>
    <w:rsid w:val="00980072"/>
    <w:rsid w:val="00980DBB"/>
    <w:rsid w:val="00980FBB"/>
    <w:rsid w:val="009810DB"/>
    <w:rsid w:val="009811D7"/>
    <w:rsid w:val="0098143F"/>
    <w:rsid w:val="00981495"/>
    <w:rsid w:val="00981937"/>
    <w:rsid w:val="00981B49"/>
    <w:rsid w:val="00981F92"/>
    <w:rsid w:val="00981FB8"/>
    <w:rsid w:val="0098234F"/>
    <w:rsid w:val="009824C8"/>
    <w:rsid w:val="00982DCB"/>
    <w:rsid w:val="00982F6D"/>
    <w:rsid w:val="0098324D"/>
    <w:rsid w:val="00983301"/>
    <w:rsid w:val="00983391"/>
    <w:rsid w:val="009835D8"/>
    <w:rsid w:val="009836E4"/>
    <w:rsid w:val="009837C0"/>
    <w:rsid w:val="00983813"/>
    <w:rsid w:val="00983DBE"/>
    <w:rsid w:val="009845AB"/>
    <w:rsid w:val="00984A5C"/>
    <w:rsid w:val="00984C69"/>
    <w:rsid w:val="00984D3A"/>
    <w:rsid w:val="009855A1"/>
    <w:rsid w:val="009856BF"/>
    <w:rsid w:val="0098580D"/>
    <w:rsid w:val="00985B07"/>
    <w:rsid w:val="00985E75"/>
    <w:rsid w:val="00985EC1"/>
    <w:rsid w:val="00985FD8"/>
    <w:rsid w:val="00986111"/>
    <w:rsid w:val="00986141"/>
    <w:rsid w:val="00986235"/>
    <w:rsid w:val="009862DC"/>
    <w:rsid w:val="00986640"/>
    <w:rsid w:val="0098678E"/>
    <w:rsid w:val="00986804"/>
    <w:rsid w:val="00987852"/>
    <w:rsid w:val="009879E2"/>
    <w:rsid w:val="00987E33"/>
    <w:rsid w:val="00987F51"/>
    <w:rsid w:val="00987FC9"/>
    <w:rsid w:val="00990843"/>
    <w:rsid w:val="009909BF"/>
    <w:rsid w:val="00990AE5"/>
    <w:rsid w:val="00990E04"/>
    <w:rsid w:val="00991239"/>
    <w:rsid w:val="0099132D"/>
    <w:rsid w:val="0099187E"/>
    <w:rsid w:val="00991F81"/>
    <w:rsid w:val="0099262E"/>
    <w:rsid w:val="00992880"/>
    <w:rsid w:val="0099290B"/>
    <w:rsid w:val="00992966"/>
    <w:rsid w:val="00992968"/>
    <w:rsid w:val="009929D7"/>
    <w:rsid w:val="00992A9F"/>
    <w:rsid w:val="0099300F"/>
    <w:rsid w:val="00993204"/>
    <w:rsid w:val="009935D3"/>
    <w:rsid w:val="00993652"/>
    <w:rsid w:val="00993673"/>
    <w:rsid w:val="0099370C"/>
    <w:rsid w:val="00993D85"/>
    <w:rsid w:val="00994010"/>
    <w:rsid w:val="009941EA"/>
    <w:rsid w:val="009943F0"/>
    <w:rsid w:val="00994639"/>
    <w:rsid w:val="009946BE"/>
    <w:rsid w:val="00994812"/>
    <w:rsid w:val="009949EB"/>
    <w:rsid w:val="00994DD2"/>
    <w:rsid w:val="00994EDC"/>
    <w:rsid w:val="0099502C"/>
    <w:rsid w:val="00995054"/>
    <w:rsid w:val="009953A4"/>
    <w:rsid w:val="00995455"/>
    <w:rsid w:val="009956B4"/>
    <w:rsid w:val="00995C5C"/>
    <w:rsid w:val="00995D20"/>
    <w:rsid w:val="0099600D"/>
    <w:rsid w:val="009960EC"/>
    <w:rsid w:val="009965F8"/>
    <w:rsid w:val="00996889"/>
    <w:rsid w:val="00996DEB"/>
    <w:rsid w:val="009972C4"/>
    <w:rsid w:val="009973D1"/>
    <w:rsid w:val="009976B3"/>
    <w:rsid w:val="00997776"/>
    <w:rsid w:val="00997873"/>
    <w:rsid w:val="00997D52"/>
    <w:rsid w:val="00997E20"/>
    <w:rsid w:val="009A00FC"/>
    <w:rsid w:val="009A08DF"/>
    <w:rsid w:val="009A09B6"/>
    <w:rsid w:val="009A127D"/>
    <w:rsid w:val="009A1375"/>
    <w:rsid w:val="009A156E"/>
    <w:rsid w:val="009A1E03"/>
    <w:rsid w:val="009A1E7E"/>
    <w:rsid w:val="009A1F45"/>
    <w:rsid w:val="009A24D8"/>
    <w:rsid w:val="009A260A"/>
    <w:rsid w:val="009A2954"/>
    <w:rsid w:val="009A2A78"/>
    <w:rsid w:val="009A31F9"/>
    <w:rsid w:val="009A32F0"/>
    <w:rsid w:val="009A33DB"/>
    <w:rsid w:val="009A3438"/>
    <w:rsid w:val="009A360D"/>
    <w:rsid w:val="009A3823"/>
    <w:rsid w:val="009A3877"/>
    <w:rsid w:val="009A39B2"/>
    <w:rsid w:val="009A3A99"/>
    <w:rsid w:val="009A3CC8"/>
    <w:rsid w:val="009A3CEE"/>
    <w:rsid w:val="009A3CFD"/>
    <w:rsid w:val="009A3E4B"/>
    <w:rsid w:val="009A40C5"/>
    <w:rsid w:val="009A432C"/>
    <w:rsid w:val="009A4361"/>
    <w:rsid w:val="009A43D3"/>
    <w:rsid w:val="009A476B"/>
    <w:rsid w:val="009A4AF2"/>
    <w:rsid w:val="009A5274"/>
    <w:rsid w:val="009A59DF"/>
    <w:rsid w:val="009A5CB8"/>
    <w:rsid w:val="009A5ED4"/>
    <w:rsid w:val="009A64C4"/>
    <w:rsid w:val="009A6701"/>
    <w:rsid w:val="009A69E7"/>
    <w:rsid w:val="009A6E02"/>
    <w:rsid w:val="009A6F04"/>
    <w:rsid w:val="009A6FB2"/>
    <w:rsid w:val="009A72E2"/>
    <w:rsid w:val="009A72F0"/>
    <w:rsid w:val="009A73D6"/>
    <w:rsid w:val="009A74C2"/>
    <w:rsid w:val="009A76DE"/>
    <w:rsid w:val="009A772C"/>
    <w:rsid w:val="009A790F"/>
    <w:rsid w:val="009B05E2"/>
    <w:rsid w:val="009B0714"/>
    <w:rsid w:val="009B0CFA"/>
    <w:rsid w:val="009B0DBC"/>
    <w:rsid w:val="009B0F22"/>
    <w:rsid w:val="009B1005"/>
    <w:rsid w:val="009B1060"/>
    <w:rsid w:val="009B10AD"/>
    <w:rsid w:val="009B112A"/>
    <w:rsid w:val="009B1161"/>
    <w:rsid w:val="009B1174"/>
    <w:rsid w:val="009B1354"/>
    <w:rsid w:val="009B15DF"/>
    <w:rsid w:val="009B18B8"/>
    <w:rsid w:val="009B1AE9"/>
    <w:rsid w:val="009B1C85"/>
    <w:rsid w:val="009B205C"/>
    <w:rsid w:val="009B23F0"/>
    <w:rsid w:val="009B25DA"/>
    <w:rsid w:val="009B30D4"/>
    <w:rsid w:val="009B3559"/>
    <w:rsid w:val="009B3563"/>
    <w:rsid w:val="009B35DF"/>
    <w:rsid w:val="009B38D8"/>
    <w:rsid w:val="009B3F4E"/>
    <w:rsid w:val="009B419A"/>
    <w:rsid w:val="009B427E"/>
    <w:rsid w:val="009B458A"/>
    <w:rsid w:val="009B49C3"/>
    <w:rsid w:val="009B4D82"/>
    <w:rsid w:val="009B53FB"/>
    <w:rsid w:val="009B5670"/>
    <w:rsid w:val="009B5B1B"/>
    <w:rsid w:val="009B65D8"/>
    <w:rsid w:val="009B68DC"/>
    <w:rsid w:val="009B6942"/>
    <w:rsid w:val="009B6AC6"/>
    <w:rsid w:val="009B6C93"/>
    <w:rsid w:val="009B6E37"/>
    <w:rsid w:val="009B6EC0"/>
    <w:rsid w:val="009B72CA"/>
    <w:rsid w:val="009B752C"/>
    <w:rsid w:val="009B7590"/>
    <w:rsid w:val="009B75AD"/>
    <w:rsid w:val="009B76FC"/>
    <w:rsid w:val="009B7D10"/>
    <w:rsid w:val="009B7D2C"/>
    <w:rsid w:val="009C00AE"/>
    <w:rsid w:val="009C0360"/>
    <w:rsid w:val="009C0364"/>
    <w:rsid w:val="009C07A7"/>
    <w:rsid w:val="009C086E"/>
    <w:rsid w:val="009C0892"/>
    <w:rsid w:val="009C105E"/>
    <w:rsid w:val="009C1378"/>
    <w:rsid w:val="009C18CA"/>
    <w:rsid w:val="009C196B"/>
    <w:rsid w:val="009C199C"/>
    <w:rsid w:val="009C1AF1"/>
    <w:rsid w:val="009C1B5C"/>
    <w:rsid w:val="009C1C98"/>
    <w:rsid w:val="009C1CE2"/>
    <w:rsid w:val="009C1FDC"/>
    <w:rsid w:val="009C20D0"/>
    <w:rsid w:val="009C20DC"/>
    <w:rsid w:val="009C219D"/>
    <w:rsid w:val="009C263E"/>
    <w:rsid w:val="009C2A42"/>
    <w:rsid w:val="009C2B32"/>
    <w:rsid w:val="009C2B60"/>
    <w:rsid w:val="009C2B7F"/>
    <w:rsid w:val="009C2BCA"/>
    <w:rsid w:val="009C2CFD"/>
    <w:rsid w:val="009C317E"/>
    <w:rsid w:val="009C339C"/>
    <w:rsid w:val="009C3710"/>
    <w:rsid w:val="009C3D5D"/>
    <w:rsid w:val="009C3E2D"/>
    <w:rsid w:val="009C3F78"/>
    <w:rsid w:val="009C416F"/>
    <w:rsid w:val="009C44AC"/>
    <w:rsid w:val="009C4614"/>
    <w:rsid w:val="009C4876"/>
    <w:rsid w:val="009C48CB"/>
    <w:rsid w:val="009C4B31"/>
    <w:rsid w:val="009C4C6A"/>
    <w:rsid w:val="009C4E0C"/>
    <w:rsid w:val="009C4EDB"/>
    <w:rsid w:val="009C50F6"/>
    <w:rsid w:val="009C51CE"/>
    <w:rsid w:val="009C5683"/>
    <w:rsid w:val="009C574A"/>
    <w:rsid w:val="009C5ABA"/>
    <w:rsid w:val="009C6522"/>
    <w:rsid w:val="009C6E1A"/>
    <w:rsid w:val="009C73D9"/>
    <w:rsid w:val="009C7809"/>
    <w:rsid w:val="009C799E"/>
    <w:rsid w:val="009C7D16"/>
    <w:rsid w:val="009C7EEF"/>
    <w:rsid w:val="009D0265"/>
    <w:rsid w:val="009D0272"/>
    <w:rsid w:val="009D02F2"/>
    <w:rsid w:val="009D04D3"/>
    <w:rsid w:val="009D0784"/>
    <w:rsid w:val="009D09C3"/>
    <w:rsid w:val="009D1183"/>
    <w:rsid w:val="009D11ED"/>
    <w:rsid w:val="009D13AF"/>
    <w:rsid w:val="009D13F9"/>
    <w:rsid w:val="009D1949"/>
    <w:rsid w:val="009D198C"/>
    <w:rsid w:val="009D1A20"/>
    <w:rsid w:val="009D1A55"/>
    <w:rsid w:val="009D203E"/>
    <w:rsid w:val="009D20F7"/>
    <w:rsid w:val="009D20FE"/>
    <w:rsid w:val="009D22C4"/>
    <w:rsid w:val="009D23EF"/>
    <w:rsid w:val="009D2685"/>
    <w:rsid w:val="009D2BFA"/>
    <w:rsid w:val="009D2DC5"/>
    <w:rsid w:val="009D2E78"/>
    <w:rsid w:val="009D2F19"/>
    <w:rsid w:val="009D2F8B"/>
    <w:rsid w:val="009D330F"/>
    <w:rsid w:val="009D33FB"/>
    <w:rsid w:val="009D36F5"/>
    <w:rsid w:val="009D39FF"/>
    <w:rsid w:val="009D3A18"/>
    <w:rsid w:val="009D3AF1"/>
    <w:rsid w:val="009D3C66"/>
    <w:rsid w:val="009D3CD7"/>
    <w:rsid w:val="009D4513"/>
    <w:rsid w:val="009D48BF"/>
    <w:rsid w:val="009D4A0A"/>
    <w:rsid w:val="009D4BB3"/>
    <w:rsid w:val="009D4C29"/>
    <w:rsid w:val="009D500F"/>
    <w:rsid w:val="009D535C"/>
    <w:rsid w:val="009D540A"/>
    <w:rsid w:val="009D5533"/>
    <w:rsid w:val="009D5701"/>
    <w:rsid w:val="009D5A57"/>
    <w:rsid w:val="009D5F53"/>
    <w:rsid w:val="009D6142"/>
    <w:rsid w:val="009D6159"/>
    <w:rsid w:val="009D6E0A"/>
    <w:rsid w:val="009D6E34"/>
    <w:rsid w:val="009D6F1E"/>
    <w:rsid w:val="009D7024"/>
    <w:rsid w:val="009D730E"/>
    <w:rsid w:val="009D74CE"/>
    <w:rsid w:val="009D77AD"/>
    <w:rsid w:val="009D7D83"/>
    <w:rsid w:val="009D7F7A"/>
    <w:rsid w:val="009E01F2"/>
    <w:rsid w:val="009E062E"/>
    <w:rsid w:val="009E07C8"/>
    <w:rsid w:val="009E0851"/>
    <w:rsid w:val="009E0FD4"/>
    <w:rsid w:val="009E143F"/>
    <w:rsid w:val="009E1466"/>
    <w:rsid w:val="009E1D06"/>
    <w:rsid w:val="009E1D8F"/>
    <w:rsid w:val="009E1EC0"/>
    <w:rsid w:val="009E1FDA"/>
    <w:rsid w:val="009E204C"/>
    <w:rsid w:val="009E21AC"/>
    <w:rsid w:val="009E25D7"/>
    <w:rsid w:val="009E26AA"/>
    <w:rsid w:val="009E271F"/>
    <w:rsid w:val="009E2D53"/>
    <w:rsid w:val="009E2E89"/>
    <w:rsid w:val="009E2EF9"/>
    <w:rsid w:val="009E39C5"/>
    <w:rsid w:val="009E3CAC"/>
    <w:rsid w:val="009E3D32"/>
    <w:rsid w:val="009E3F1A"/>
    <w:rsid w:val="009E3FD5"/>
    <w:rsid w:val="009E412B"/>
    <w:rsid w:val="009E4232"/>
    <w:rsid w:val="009E43BA"/>
    <w:rsid w:val="009E455A"/>
    <w:rsid w:val="009E48F9"/>
    <w:rsid w:val="009E4C65"/>
    <w:rsid w:val="009E4F3C"/>
    <w:rsid w:val="009E53CE"/>
    <w:rsid w:val="009E560D"/>
    <w:rsid w:val="009E57D6"/>
    <w:rsid w:val="009E5962"/>
    <w:rsid w:val="009E5A6A"/>
    <w:rsid w:val="009E5DD4"/>
    <w:rsid w:val="009E5F63"/>
    <w:rsid w:val="009E5F69"/>
    <w:rsid w:val="009E6116"/>
    <w:rsid w:val="009E6546"/>
    <w:rsid w:val="009E6984"/>
    <w:rsid w:val="009E6ABC"/>
    <w:rsid w:val="009E6C4F"/>
    <w:rsid w:val="009E6F5A"/>
    <w:rsid w:val="009E70E6"/>
    <w:rsid w:val="009E7499"/>
    <w:rsid w:val="009E79AB"/>
    <w:rsid w:val="009E7C81"/>
    <w:rsid w:val="009E7EC1"/>
    <w:rsid w:val="009F0478"/>
    <w:rsid w:val="009F0AFE"/>
    <w:rsid w:val="009F0B67"/>
    <w:rsid w:val="009F0EFA"/>
    <w:rsid w:val="009F11C2"/>
    <w:rsid w:val="009F11CF"/>
    <w:rsid w:val="009F1279"/>
    <w:rsid w:val="009F198A"/>
    <w:rsid w:val="009F19FE"/>
    <w:rsid w:val="009F1C31"/>
    <w:rsid w:val="009F1C3D"/>
    <w:rsid w:val="009F1D4B"/>
    <w:rsid w:val="009F2065"/>
    <w:rsid w:val="009F2462"/>
    <w:rsid w:val="009F279D"/>
    <w:rsid w:val="009F2955"/>
    <w:rsid w:val="009F2F03"/>
    <w:rsid w:val="009F3168"/>
    <w:rsid w:val="009F330D"/>
    <w:rsid w:val="009F3348"/>
    <w:rsid w:val="009F34B5"/>
    <w:rsid w:val="009F34BA"/>
    <w:rsid w:val="009F39C9"/>
    <w:rsid w:val="009F3BB1"/>
    <w:rsid w:val="009F3C45"/>
    <w:rsid w:val="009F4303"/>
    <w:rsid w:val="009F4531"/>
    <w:rsid w:val="009F4790"/>
    <w:rsid w:val="009F4AD9"/>
    <w:rsid w:val="009F4C87"/>
    <w:rsid w:val="009F5038"/>
    <w:rsid w:val="009F51F2"/>
    <w:rsid w:val="009F5214"/>
    <w:rsid w:val="009F5294"/>
    <w:rsid w:val="009F5511"/>
    <w:rsid w:val="009F56E8"/>
    <w:rsid w:val="009F5A0E"/>
    <w:rsid w:val="009F5B14"/>
    <w:rsid w:val="009F5CC7"/>
    <w:rsid w:val="009F5D88"/>
    <w:rsid w:val="009F5DE9"/>
    <w:rsid w:val="009F5F2A"/>
    <w:rsid w:val="009F5F2D"/>
    <w:rsid w:val="009F62C6"/>
    <w:rsid w:val="009F63B3"/>
    <w:rsid w:val="009F6651"/>
    <w:rsid w:val="009F6660"/>
    <w:rsid w:val="009F68B5"/>
    <w:rsid w:val="009F68CE"/>
    <w:rsid w:val="009F6995"/>
    <w:rsid w:val="009F69AE"/>
    <w:rsid w:val="009F6C25"/>
    <w:rsid w:val="009F70B4"/>
    <w:rsid w:val="009F70F1"/>
    <w:rsid w:val="009F71C8"/>
    <w:rsid w:val="009F72A2"/>
    <w:rsid w:val="009F79AF"/>
    <w:rsid w:val="009F7B26"/>
    <w:rsid w:val="009F7CD1"/>
    <w:rsid w:val="00A0012B"/>
    <w:rsid w:val="00A001FB"/>
    <w:rsid w:val="00A002BF"/>
    <w:rsid w:val="00A002DE"/>
    <w:rsid w:val="00A00414"/>
    <w:rsid w:val="00A0093A"/>
    <w:rsid w:val="00A00A87"/>
    <w:rsid w:val="00A00BCC"/>
    <w:rsid w:val="00A00FCA"/>
    <w:rsid w:val="00A017C7"/>
    <w:rsid w:val="00A018F3"/>
    <w:rsid w:val="00A02641"/>
    <w:rsid w:val="00A0267E"/>
    <w:rsid w:val="00A02796"/>
    <w:rsid w:val="00A02899"/>
    <w:rsid w:val="00A02BC7"/>
    <w:rsid w:val="00A02E60"/>
    <w:rsid w:val="00A03977"/>
    <w:rsid w:val="00A03991"/>
    <w:rsid w:val="00A0449E"/>
    <w:rsid w:val="00A048CE"/>
    <w:rsid w:val="00A048EC"/>
    <w:rsid w:val="00A04CF2"/>
    <w:rsid w:val="00A04DE7"/>
    <w:rsid w:val="00A04E7B"/>
    <w:rsid w:val="00A04F48"/>
    <w:rsid w:val="00A052A6"/>
    <w:rsid w:val="00A05680"/>
    <w:rsid w:val="00A056FB"/>
    <w:rsid w:val="00A0586B"/>
    <w:rsid w:val="00A05933"/>
    <w:rsid w:val="00A059BF"/>
    <w:rsid w:val="00A05B1C"/>
    <w:rsid w:val="00A05C94"/>
    <w:rsid w:val="00A05F6A"/>
    <w:rsid w:val="00A0603D"/>
    <w:rsid w:val="00A065A2"/>
    <w:rsid w:val="00A069F5"/>
    <w:rsid w:val="00A06F4A"/>
    <w:rsid w:val="00A071FB"/>
    <w:rsid w:val="00A072D8"/>
    <w:rsid w:val="00A073BE"/>
    <w:rsid w:val="00A07434"/>
    <w:rsid w:val="00A075E8"/>
    <w:rsid w:val="00A07847"/>
    <w:rsid w:val="00A07945"/>
    <w:rsid w:val="00A0794F"/>
    <w:rsid w:val="00A07AE2"/>
    <w:rsid w:val="00A07B7D"/>
    <w:rsid w:val="00A07FDE"/>
    <w:rsid w:val="00A100D8"/>
    <w:rsid w:val="00A1029B"/>
    <w:rsid w:val="00A102BA"/>
    <w:rsid w:val="00A1057B"/>
    <w:rsid w:val="00A108FE"/>
    <w:rsid w:val="00A10982"/>
    <w:rsid w:val="00A10D6A"/>
    <w:rsid w:val="00A10E42"/>
    <w:rsid w:val="00A11426"/>
    <w:rsid w:val="00A114D8"/>
    <w:rsid w:val="00A11CE9"/>
    <w:rsid w:val="00A11E8D"/>
    <w:rsid w:val="00A1202C"/>
    <w:rsid w:val="00A121AE"/>
    <w:rsid w:val="00A122F5"/>
    <w:rsid w:val="00A123A7"/>
    <w:rsid w:val="00A123AE"/>
    <w:rsid w:val="00A12857"/>
    <w:rsid w:val="00A12A07"/>
    <w:rsid w:val="00A12AA2"/>
    <w:rsid w:val="00A12EDE"/>
    <w:rsid w:val="00A13216"/>
    <w:rsid w:val="00A1335D"/>
    <w:rsid w:val="00A13E76"/>
    <w:rsid w:val="00A1470B"/>
    <w:rsid w:val="00A14718"/>
    <w:rsid w:val="00A14723"/>
    <w:rsid w:val="00A14952"/>
    <w:rsid w:val="00A14A0F"/>
    <w:rsid w:val="00A15243"/>
    <w:rsid w:val="00A155A1"/>
    <w:rsid w:val="00A156B9"/>
    <w:rsid w:val="00A157A7"/>
    <w:rsid w:val="00A15C02"/>
    <w:rsid w:val="00A15FAC"/>
    <w:rsid w:val="00A16499"/>
    <w:rsid w:val="00A16513"/>
    <w:rsid w:val="00A16762"/>
    <w:rsid w:val="00A16DCD"/>
    <w:rsid w:val="00A1737F"/>
    <w:rsid w:val="00A17540"/>
    <w:rsid w:val="00A17AC2"/>
    <w:rsid w:val="00A17B00"/>
    <w:rsid w:val="00A17B40"/>
    <w:rsid w:val="00A17C97"/>
    <w:rsid w:val="00A2020B"/>
    <w:rsid w:val="00A205BD"/>
    <w:rsid w:val="00A20944"/>
    <w:rsid w:val="00A20A1D"/>
    <w:rsid w:val="00A20AA9"/>
    <w:rsid w:val="00A20AD7"/>
    <w:rsid w:val="00A20C71"/>
    <w:rsid w:val="00A20D16"/>
    <w:rsid w:val="00A2100C"/>
    <w:rsid w:val="00A210AF"/>
    <w:rsid w:val="00A21261"/>
    <w:rsid w:val="00A21771"/>
    <w:rsid w:val="00A21968"/>
    <w:rsid w:val="00A21DCF"/>
    <w:rsid w:val="00A21E45"/>
    <w:rsid w:val="00A22014"/>
    <w:rsid w:val="00A221D2"/>
    <w:rsid w:val="00A22498"/>
    <w:rsid w:val="00A224BA"/>
    <w:rsid w:val="00A22B8C"/>
    <w:rsid w:val="00A230E3"/>
    <w:rsid w:val="00A2333E"/>
    <w:rsid w:val="00A23414"/>
    <w:rsid w:val="00A23922"/>
    <w:rsid w:val="00A239C8"/>
    <w:rsid w:val="00A23A31"/>
    <w:rsid w:val="00A23F1B"/>
    <w:rsid w:val="00A2433A"/>
    <w:rsid w:val="00A246E7"/>
    <w:rsid w:val="00A24811"/>
    <w:rsid w:val="00A24BE3"/>
    <w:rsid w:val="00A24BFB"/>
    <w:rsid w:val="00A24BFF"/>
    <w:rsid w:val="00A24DA8"/>
    <w:rsid w:val="00A251C7"/>
    <w:rsid w:val="00A256DD"/>
    <w:rsid w:val="00A25779"/>
    <w:rsid w:val="00A2594A"/>
    <w:rsid w:val="00A25CFA"/>
    <w:rsid w:val="00A26047"/>
    <w:rsid w:val="00A26049"/>
    <w:rsid w:val="00A26996"/>
    <w:rsid w:val="00A26A87"/>
    <w:rsid w:val="00A26DB4"/>
    <w:rsid w:val="00A274AC"/>
    <w:rsid w:val="00A274FC"/>
    <w:rsid w:val="00A2772A"/>
    <w:rsid w:val="00A27883"/>
    <w:rsid w:val="00A278F7"/>
    <w:rsid w:val="00A302CE"/>
    <w:rsid w:val="00A309AC"/>
    <w:rsid w:val="00A30A61"/>
    <w:rsid w:val="00A30B71"/>
    <w:rsid w:val="00A30F8B"/>
    <w:rsid w:val="00A3120B"/>
    <w:rsid w:val="00A3129A"/>
    <w:rsid w:val="00A312FC"/>
    <w:rsid w:val="00A31646"/>
    <w:rsid w:val="00A31F60"/>
    <w:rsid w:val="00A32011"/>
    <w:rsid w:val="00A323BE"/>
    <w:rsid w:val="00A325E7"/>
    <w:rsid w:val="00A328FA"/>
    <w:rsid w:val="00A32A7F"/>
    <w:rsid w:val="00A331CE"/>
    <w:rsid w:val="00A33336"/>
    <w:rsid w:val="00A3340B"/>
    <w:rsid w:val="00A33522"/>
    <w:rsid w:val="00A33871"/>
    <w:rsid w:val="00A33B23"/>
    <w:rsid w:val="00A33BF8"/>
    <w:rsid w:val="00A33C7F"/>
    <w:rsid w:val="00A33E19"/>
    <w:rsid w:val="00A33FAE"/>
    <w:rsid w:val="00A3437E"/>
    <w:rsid w:val="00A3491B"/>
    <w:rsid w:val="00A34DB8"/>
    <w:rsid w:val="00A34DF0"/>
    <w:rsid w:val="00A34FAC"/>
    <w:rsid w:val="00A35059"/>
    <w:rsid w:val="00A3507D"/>
    <w:rsid w:val="00A35099"/>
    <w:rsid w:val="00A350ED"/>
    <w:rsid w:val="00A352DA"/>
    <w:rsid w:val="00A35931"/>
    <w:rsid w:val="00A35945"/>
    <w:rsid w:val="00A35C2A"/>
    <w:rsid w:val="00A35CFC"/>
    <w:rsid w:val="00A360DC"/>
    <w:rsid w:val="00A362D8"/>
    <w:rsid w:val="00A3646A"/>
    <w:rsid w:val="00A367EE"/>
    <w:rsid w:val="00A36DDF"/>
    <w:rsid w:val="00A37A71"/>
    <w:rsid w:val="00A37BEB"/>
    <w:rsid w:val="00A37C7B"/>
    <w:rsid w:val="00A4014F"/>
    <w:rsid w:val="00A402D4"/>
    <w:rsid w:val="00A403BB"/>
    <w:rsid w:val="00A403F9"/>
    <w:rsid w:val="00A40A35"/>
    <w:rsid w:val="00A40BAE"/>
    <w:rsid w:val="00A40D69"/>
    <w:rsid w:val="00A40DF2"/>
    <w:rsid w:val="00A41079"/>
    <w:rsid w:val="00A413D5"/>
    <w:rsid w:val="00A41756"/>
    <w:rsid w:val="00A41CA1"/>
    <w:rsid w:val="00A41D62"/>
    <w:rsid w:val="00A41EFA"/>
    <w:rsid w:val="00A42308"/>
    <w:rsid w:val="00A42868"/>
    <w:rsid w:val="00A42B8D"/>
    <w:rsid w:val="00A42F4F"/>
    <w:rsid w:val="00A4309D"/>
    <w:rsid w:val="00A43127"/>
    <w:rsid w:val="00A43138"/>
    <w:rsid w:val="00A43310"/>
    <w:rsid w:val="00A435AB"/>
    <w:rsid w:val="00A43661"/>
    <w:rsid w:val="00A4374C"/>
    <w:rsid w:val="00A43AE9"/>
    <w:rsid w:val="00A44095"/>
    <w:rsid w:val="00A440BF"/>
    <w:rsid w:val="00A4417C"/>
    <w:rsid w:val="00A44208"/>
    <w:rsid w:val="00A4474F"/>
    <w:rsid w:val="00A447F4"/>
    <w:rsid w:val="00A44A1E"/>
    <w:rsid w:val="00A44CBA"/>
    <w:rsid w:val="00A450DE"/>
    <w:rsid w:val="00A45305"/>
    <w:rsid w:val="00A455F6"/>
    <w:rsid w:val="00A4565A"/>
    <w:rsid w:val="00A45698"/>
    <w:rsid w:val="00A457A4"/>
    <w:rsid w:val="00A45A94"/>
    <w:rsid w:val="00A45F27"/>
    <w:rsid w:val="00A46141"/>
    <w:rsid w:val="00A465C7"/>
    <w:rsid w:val="00A4679A"/>
    <w:rsid w:val="00A46A2C"/>
    <w:rsid w:val="00A46E1B"/>
    <w:rsid w:val="00A47332"/>
    <w:rsid w:val="00A4748A"/>
    <w:rsid w:val="00A4766C"/>
    <w:rsid w:val="00A47845"/>
    <w:rsid w:val="00A47A1E"/>
    <w:rsid w:val="00A47C19"/>
    <w:rsid w:val="00A47F7C"/>
    <w:rsid w:val="00A501B2"/>
    <w:rsid w:val="00A50316"/>
    <w:rsid w:val="00A50705"/>
    <w:rsid w:val="00A507B6"/>
    <w:rsid w:val="00A5085D"/>
    <w:rsid w:val="00A50ED5"/>
    <w:rsid w:val="00A50F2A"/>
    <w:rsid w:val="00A510C1"/>
    <w:rsid w:val="00A510DD"/>
    <w:rsid w:val="00A5149B"/>
    <w:rsid w:val="00A51874"/>
    <w:rsid w:val="00A519AB"/>
    <w:rsid w:val="00A51B99"/>
    <w:rsid w:val="00A52075"/>
    <w:rsid w:val="00A52128"/>
    <w:rsid w:val="00A521E3"/>
    <w:rsid w:val="00A5230C"/>
    <w:rsid w:val="00A52311"/>
    <w:rsid w:val="00A524E9"/>
    <w:rsid w:val="00A5288B"/>
    <w:rsid w:val="00A528B6"/>
    <w:rsid w:val="00A528E1"/>
    <w:rsid w:val="00A52907"/>
    <w:rsid w:val="00A52A89"/>
    <w:rsid w:val="00A52AD6"/>
    <w:rsid w:val="00A52AED"/>
    <w:rsid w:val="00A52CCD"/>
    <w:rsid w:val="00A52D2F"/>
    <w:rsid w:val="00A52F6C"/>
    <w:rsid w:val="00A5310C"/>
    <w:rsid w:val="00A53114"/>
    <w:rsid w:val="00A5312E"/>
    <w:rsid w:val="00A532CD"/>
    <w:rsid w:val="00A533D5"/>
    <w:rsid w:val="00A53605"/>
    <w:rsid w:val="00A5372D"/>
    <w:rsid w:val="00A5394D"/>
    <w:rsid w:val="00A5399B"/>
    <w:rsid w:val="00A53A98"/>
    <w:rsid w:val="00A53AEC"/>
    <w:rsid w:val="00A54073"/>
    <w:rsid w:val="00A54402"/>
    <w:rsid w:val="00A545B2"/>
    <w:rsid w:val="00A548D2"/>
    <w:rsid w:val="00A548F0"/>
    <w:rsid w:val="00A54E68"/>
    <w:rsid w:val="00A554A0"/>
    <w:rsid w:val="00A5584A"/>
    <w:rsid w:val="00A55FA3"/>
    <w:rsid w:val="00A560EF"/>
    <w:rsid w:val="00A56207"/>
    <w:rsid w:val="00A56356"/>
    <w:rsid w:val="00A5674E"/>
    <w:rsid w:val="00A56DC9"/>
    <w:rsid w:val="00A5745C"/>
    <w:rsid w:val="00A57E4F"/>
    <w:rsid w:val="00A57F93"/>
    <w:rsid w:val="00A60432"/>
    <w:rsid w:val="00A606BE"/>
    <w:rsid w:val="00A60866"/>
    <w:rsid w:val="00A608B9"/>
    <w:rsid w:val="00A60A4A"/>
    <w:rsid w:val="00A60AC7"/>
    <w:rsid w:val="00A60DFF"/>
    <w:rsid w:val="00A60E3F"/>
    <w:rsid w:val="00A612B4"/>
    <w:rsid w:val="00A61758"/>
    <w:rsid w:val="00A61875"/>
    <w:rsid w:val="00A61CE5"/>
    <w:rsid w:val="00A6226E"/>
    <w:rsid w:val="00A623C2"/>
    <w:rsid w:val="00A62682"/>
    <w:rsid w:val="00A62A95"/>
    <w:rsid w:val="00A62ADC"/>
    <w:rsid w:val="00A62E45"/>
    <w:rsid w:val="00A62ECE"/>
    <w:rsid w:val="00A62EF3"/>
    <w:rsid w:val="00A63266"/>
    <w:rsid w:val="00A6328F"/>
    <w:rsid w:val="00A63508"/>
    <w:rsid w:val="00A63509"/>
    <w:rsid w:val="00A6354C"/>
    <w:rsid w:val="00A635D2"/>
    <w:rsid w:val="00A63961"/>
    <w:rsid w:val="00A63C13"/>
    <w:rsid w:val="00A641E6"/>
    <w:rsid w:val="00A6456D"/>
    <w:rsid w:val="00A645FC"/>
    <w:rsid w:val="00A64675"/>
    <w:rsid w:val="00A64882"/>
    <w:rsid w:val="00A64A64"/>
    <w:rsid w:val="00A65117"/>
    <w:rsid w:val="00A65301"/>
    <w:rsid w:val="00A653A2"/>
    <w:rsid w:val="00A65A82"/>
    <w:rsid w:val="00A65E76"/>
    <w:rsid w:val="00A66089"/>
    <w:rsid w:val="00A6608E"/>
    <w:rsid w:val="00A66626"/>
    <w:rsid w:val="00A6670C"/>
    <w:rsid w:val="00A66A6B"/>
    <w:rsid w:val="00A6736B"/>
    <w:rsid w:val="00A675FD"/>
    <w:rsid w:val="00A67A30"/>
    <w:rsid w:val="00A67CF0"/>
    <w:rsid w:val="00A7030C"/>
    <w:rsid w:val="00A70ABD"/>
    <w:rsid w:val="00A70D71"/>
    <w:rsid w:val="00A70E4E"/>
    <w:rsid w:val="00A71130"/>
    <w:rsid w:val="00A71196"/>
    <w:rsid w:val="00A711D3"/>
    <w:rsid w:val="00A71250"/>
    <w:rsid w:val="00A712E4"/>
    <w:rsid w:val="00A71314"/>
    <w:rsid w:val="00A71595"/>
    <w:rsid w:val="00A719F9"/>
    <w:rsid w:val="00A71BB0"/>
    <w:rsid w:val="00A71DD5"/>
    <w:rsid w:val="00A71E26"/>
    <w:rsid w:val="00A71E7F"/>
    <w:rsid w:val="00A72378"/>
    <w:rsid w:val="00A724FA"/>
    <w:rsid w:val="00A72599"/>
    <w:rsid w:val="00A7264D"/>
    <w:rsid w:val="00A72673"/>
    <w:rsid w:val="00A727A7"/>
    <w:rsid w:val="00A72CBF"/>
    <w:rsid w:val="00A73475"/>
    <w:rsid w:val="00A73C00"/>
    <w:rsid w:val="00A73CB8"/>
    <w:rsid w:val="00A74050"/>
    <w:rsid w:val="00A74220"/>
    <w:rsid w:val="00A744A5"/>
    <w:rsid w:val="00A748BF"/>
    <w:rsid w:val="00A74979"/>
    <w:rsid w:val="00A74DF7"/>
    <w:rsid w:val="00A74FE3"/>
    <w:rsid w:val="00A74FF3"/>
    <w:rsid w:val="00A75090"/>
    <w:rsid w:val="00A759F1"/>
    <w:rsid w:val="00A75B15"/>
    <w:rsid w:val="00A75E09"/>
    <w:rsid w:val="00A75F8A"/>
    <w:rsid w:val="00A7696A"/>
    <w:rsid w:val="00A769C4"/>
    <w:rsid w:val="00A769E4"/>
    <w:rsid w:val="00A76BA0"/>
    <w:rsid w:val="00A76C93"/>
    <w:rsid w:val="00A7713C"/>
    <w:rsid w:val="00A7736C"/>
    <w:rsid w:val="00A77583"/>
    <w:rsid w:val="00A7779A"/>
    <w:rsid w:val="00A779D2"/>
    <w:rsid w:val="00A77BB9"/>
    <w:rsid w:val="00A77E04"/>
    <w:rsid w:val="00A77FFB"/>
    <w:rsid w:val="00A801DC"/>
    <w:rsid w:val="00A80A71"/>
    <w:rsid w:val="00A80B0C"/>
    <w:rsid w:val="00A80D95"/>
    <w:rsid w:val="00A80E5A"/>
    <w:rsid w:val="00A80EFC"/>
    <w:rsid w:val="00A81107"/>
    <w:rsid w:val="00A8123A"/>
    <w:rsid w:val="00A8147B"/>
    <w:rsid w:val="00A81690"/>
    <w:rsid w:val="00A81810"/>
    <w:rsid w:val="00A81A46"/>
    <w:rsid w:val="00A821DD"/>
    <w:rsid w:val="00A82387"/>
    <w:rsid w:val="00A82DD0"/>
    <w:rsid w:val="00A83026"/>
    <w:rsid w:val="00A83234"/>
    <w:rsid w:val="00A83327"/>
    <w:rsid w:val="00A8383E"/>
    <w:rsid w:val="00A83B56"/>
    <w:rsid w:val="00A83B6E"/>
    <w:rsid w:val="00A83C1A"/>
    <w:rsid w:val="00A83C88"/>
    <w:rsid w:val="00A83D05"/>
    <w:rsid w:val="00A850B7"/>
    <w:rsid w:val="00A8513A"/>
    <w:rsid w:val="00A853F0"/>
    <w:rsid w:val="00A858AA"/>
    <w:rsid w:val="00A85A8E"/>
    <w:rsid w:val="00A85D0D"/>
    <w:rsid w:val="00A86178"/>
    <w:rsid w:val="00A862E7"/>
    <w:rsid w:val="00A863CF"/>
    <w:rsid w:val="00A865E3"/>
    <w:rsid w:val="00A86695"/>
    <w:rsid w:val="00A866C6"/>
    <w:rsid w:val="00A86AA9"/>
    <w:rsid w:val="00A86DD2"/>
    <w:rsid w:val="00A8714F"/>
    <w:rsid w:val="00A8715B"/>
    <w:rsid w:val="00A8755C"/>
    <w:rsid w:val="00A8771F"/>
    <w:rsid w:val="00A8787C"/>
    <w:rsid w:val="00A87AA1"/>
    <w:rsid w:val="00A87AE8"/>
    <w:rsid w:val="00A87E6F"/>
    <w:rsid w:val="00A90047"/>
    <w:rsid w:val="00A9031B"/>
    <w:rsid w:val="00A90507"/>
    <w:rsid w:val="00A906B5"/>
    <w:rsid w:val="00A906F3"/>
    <w:rsid w:val="00A908BB"/>
    <w:rsid w:val="00A90A0A"/>
    <w:rsid w:val="00A90C30"/>
    <w:rsid w:val="00A90E2C"/>
    <w:rsid w:val="00A91025"/>
    <w:rsid w:val="00A91247"/>
    <w:rsid w:val="00A919C3"/>
    <w:rsid w:val="00A91ADA"/>
    <w:rsid w:val="00A92029"/>
    <w:rsid w:val="00A921E8"/>
    <w:rsid w:val="00A923D0"/>
    <w:rsid w:val="00A92489"/>
    <w:rsid w:val="00A9257E"/>
    <w:rsid w:val="00A92667"/>
    <w:rsid w:val="00A92795"/>
    <w:rsid w:val="00A92B68"/>
    <w:rsid w:val="00A92BE3"/>
    <w:rsid w:val="00A92DFD"/>
    <w:rsid w:val="00A92F48"/>
    <w:rsid w:val="00A937A5"/>
    <w:rsid w:val="00A937F1"/>
    <w:rsid w:val="00A93824"/>
    <w:rsid w:val="00A93A87"/>
    <w:rsid w:val="00A93DD1"/>
    <w:rsid w:val="00A940F2"/>
    <w:rsid w:val="00A941DF"/>
    <w:rsid w:val="00A94347"/>
    <w:rsid w:val="00A9459F"/>
    <w:rsid w:val="00A94621"/>
    <w:rsid w:val="00A946C4"/>
    <w:rsid w:val="00A948C4"/>
    <w:rsid w:val="00A94ACE"/>
    <w:rsid w:val="00A94C3C"/>
    <w:rsid w:val="00A9538E"/>
    <w:rsid w:val="00A9572F"/>
    <w:rsid w:val="00A95760"/>
    <w:rsid w:val="00A957A2"/>
    <w:rsid w:val="00A95C48"/>
    <w:rsid w:val="00A95E43"/>
    <w:rsid w:val="00A95F2F"/>
    <w:rsid w:val="00A9629B"/>
    <w:rsid w:val="00A967A0"/>
    <w:rsid w:val="00A96869"/>
    <w:rsid w:val="00A96BDC"/>
    <w:rsid w:val="00A96C4C"/>
    <w:rsid w:val="00A96D1F"/>
    <w:rsid w:val="00A9725A"/>
    <w:rsid w:val="00A97471"/>
    <w:rsid w:val="00A975AA"/>
    <w:rsid w:val="00A97D69"/>
    <w:rsid w:val="00A97E4E"/>
    <w:rsid w:val="00AA0029"/>
    <w:rsid w:val="00AA04A9"/>
    <w:rsid w:val="00AA073A"/>
    <w:rsid w:val="00AA0943"/>
    <w:rsid w:val="00AA0C9E"/>
    <w:rsid w:val="00AA0CFF"/>
    <w:rsid w:val="00AA11CA"/>
    <w:rsid w:val="00AA154F"/>
    <w:rsid w:val="00AA17D0"/>
    <w:rsid w:val="00AA1BF8"/>
    <w:rsid w:val="00AA2371"/>
    <w:rsid w:val="00AA2BE6"/>
    <w:rsid w:val="00AA2C20"/>
    <w:rsid w:val="00AA30F8"/>
    <w:rsid w:val="00AA32C1"/>
    <w:rsid w:val="00AA3373"/>
    <w:rsid w:val="00AA4A9E"/>
    <w:rsid w:val="00AA4BEA"/>
    <w:rsid w:val="00AA4DB6"/>
    <w:rsid w:val="00AA4DD2"/>
    <w:rsid w:val="00AA5215"/>
    <w:rsid w:val="00AA5FBE"/>
    <w:rsid w:val="00AA642F"/>
    <w:rsid w:val="00AA6A14"/>
    <w:rsid w:val="00AA6AAF"/>
    <w:rsid w:val="00AA6C07"/>
    <w:rsid w:val="00AA6C43"/>
    <w:rsid w:val="00AA6D3C"/>
    <w:rsid w:val="00AA6DB5"/>
    <w:rsid w:val="00AA731D"/>
    <w:rsid w:val="00AA7474"/>
    <w:rsid w:val="00AA75E9"/>
    <w:rsid w:val="00AA78EF"/>
    <w:rsid w:val="00AB004C"/>
    <w:rsid w:val="00AB018B"/>
    <w:rsid w:val="00AB03DF"/>
    <w:rsid w:val="00AB096F"/>
    <w:rsid w:val="00AB0A24"/>
    <w:rsid w:val="00AB0AF6"/>
    <w:rsid w:val="00AB0FF7"/>
    <w:rsid w:val="00AB154A"/>
    <w:rsid w:val="00AB1637"/>
    <w:rsid w:val="00AB1C61"/>
    <w:rsid w:val="00AB2280"/>
    <w:rsid w:val="00AB2688"/>
    <w:rsid w:val="00AB2765"/>
    <w:rsid w:val="00AB281D"/>
    <w:rsid w:val="00AB2D7E"/>
    <w:rsid w:val="00AB3215"/>
    <w:rsid w:val="00AB3793"/>
    <w:rsid w:val="00AB37F9"/>
    <w:rsid w:val="00AB3976"/>
    <w:rsid w:val="00AB3C70"/>
    <w:rsid w:val="00AB41E7"/>
    <w:rsid w:val="00AB45E8"/>
    <w:rsid w:val="00AB4965"/>
    <w:rsid w:val="00AB4A9A"/>
    <w:rsid w:val="00AB4E61"/>
    <w:rsid w:val="00AB5054"/>
    <w:rsid w:val="00AB546D"/>
    <w:rsid w:val="00AB5537"/>
    <w:rsid w:val="00AB58DC"/>
    <w:rsid w:val="00AB59A3"/>
    <w:rsid w:val="00AB5B2D"/>
    <w:rsid w:val="00AB64C9"/>
    <w:rsid w:val="00AB662E"/>
    <w:rsid w:val="00AB66B5"/>
    <w:rsid w:val="00AB6B0B"/>
    <w:rsid w:val="00AB6B35"/>
    <w:rsid w:val="00AB6C29"/>
    <w:rsid w:val="00AB72AC"/>
    <w:rsid w:val="00AB72B7"/>
    <w:rsid w:val="00AB763A"/>
    <w:rsid w:val="00AB777D"/>
    <w:rsid w:val="00AB79A1"/>
    <w:rsid w:val="00AB7E5D"/>
    <w:rsid w:val="00AC0008"/>
    <w:rsid w:val="00AC0362"/>
    <w:rsid w:val="00AC0502"/>
    <w:rsid w:val="00AC068B"/>
    <w:rsid w:val="00AC0AED"/>
    <w:rsid w:val="00AC0C1C"/>
    <w:rsid w:val="00AC0CBF"/>
    <w:rsid w:val="00AC0D58"/>
    <w:rsid w:val="00AC1266"/>
    <w:rsid w:val="00AC14DA"/>
    <w:rsid w:val="00AC1EDB"/>
    <w:rsid w:val="00AC1F01"/>
    <w:rsid w:val="00AC25A2"/>
    <w:rsid w:val="00AC3649"/>
    <w:rsid w:val="00AC3B9C"/>
    <w:rsid w:val="00AC3BFA"/>
    <w:rsid w:val="00AC3E66"/>
    <w:rsid w:val="00AC3F5B"/>
    <w:rsid w:val="00AC401E"/>
    <w:rsid w:val="00AC404A"/>
    <w:rsid w:val="00AC4312"/>
    <w:rsid w:val="00AC4343"/>
    <w:rsid w:val="00AC43EA"/>
    <w:rsid w:val="00AC4897"/>
    <w:rsid w:val="00AC49CE"/>
    <w:rsid w:val="00AC4BBF"/>
    <w:rsid w:val="00AC4E6F"/>
    <w:rsid w:val="00AC5329"/>
    <w:rsid w:val="00AC534E"/>
    <w:rsid w:val="00AC5455"/>
    <w:rsid w:val="00AC5978"/>
    <w:rsid w:val="00AC5D4F"/>
    <w:rsid w:val="00AC64FE"/>
    <w:rsid w:val="00AC6646"/>
    <w:rsid w:val="00AC6AD6"/>
    <w:rsid w:val="00AC6C60"/>
    <w:rsid w:val="00AC6D46"/>
    <w:rsid w:val="00AC6E5B"/>
    <w:rsid w:val="00AC6FFB"/>
    <w:rsid w:val="00AC7237"/>
    <w:rsid w:val="00AC772B"/>
    <w:rsid w:val="00AC7901"/>
    <w:rsid w:val="00AD0184"/>
    <w:rsid w:val="00AD01F5"/>
    <w:rsid w:val="00AD035C"/>
    <w:rsid w:val="00AD07FC"/>
    <w:rsid w:val="00AD086F"/>
    <w:rsid w:val="00AD0A96"/>
    <w:rsid w:val="00AD0B56"/>
    <w:rsid w:val="00AD0EA4"/>
    <w:rsid w:val="00AD1271"/>
    <w:rsid w:val="00AD13E4"/>
    <w:rsid w:val="00AD146B"/>
    <w:rsid w:val="00AD1477"/>
    <w:rsid w:val="00AD17A3"/>
    <w:rsid w:val="00AD183F"/>
    <w:rsid w:val="00AD1E27"/>
    <w:rsid w:val="00AD2AA7"/>
    <w:rsid w:val="00AD2FC4"/>
    <w:rsid w:val="00AD322D"/>
    <w:rsid w:val="00AD3289"/>
    <w:rsid w:val="00AD3534"/>
    <w:rsid w:val="00AD357D"/>
    <w:rsid w:val="00AD35D7"/>
    <w:rsid w:val="00AD39CA"/>
    <w:rsid w:val="00AD3C84"/>
    <w:rsid w:val="00AD3CC8"/>
    <w:rsid w:val="00AD3DD3"/>
    <w:rsid w:val="00AD4232"/>
    <w:rsid w:val="00AD43F5"/>
    <w:rsid w:val="00AD4723"/>
    <w:rsid w:val="00AD4737"/>
    <w:rsid w:val="00AD49E0"/>
    <w:rsid w:val="00AD4B9D"/>
    <w:rsid w:val="00AD4C00"/>
    <w:rsid w:val="00AD4D03"/>
    <w:rsid w:val="00AD4FB6"/>
    <w:rsid w:val="00AD5184"/>
    <w:rsid w:val="00AD52A4"/>
    <w:rsid w:val="00AD5342"/>
    <w:rsid w:val="00AD54BA"/>
    <w:rsid w:val="00AD57CA"/>
    <w:rsid w:val="00AD5834"/>
    <w:rsid w:val="00AD5A61"/>
    <w:rsid w:val="00AD5B12"/>
    <w:rsid w:val="00AD5D3B"/>
    <w:rsid w:val="00AD64D8"/>
    <w:rsid w:val="00AD69D7"/>
    <w:rsid w:val="00AD6C64"/>
    <w:rsid w:val="00AD6D44"/>
    <w:rsid w:val="00AD71AE"/>
    <w:rsid w:val="00AD724A"/>
    <w:rsid w:val="00AD7301"/>
    <w:rsid w:val="00AD74F7"/>
    <w:rsid w:val="00AD7539"/>
    <w:rsid w:val="00AD7A66"/>
    <w:rsid w:val="00AD7AB0"/>
    <w:rsid w:val="00AD7AF7"/>
    <w:rsid w:val="00AD7B43"/>
    <w:rsid w:val="00AD7C10"/>
    <w:rsid w:val="00AD7CB5"/>
    <w:rsid w:val="00AD7D8C"/>
    <w:rsid w:val="00AE0019"/>
    <w:rsid w:val="00AE002E"/>
    <w:rsid w:val="00AE00C7"/>
    <w:rsid w:val="00AE00EC"/>
    <w:rsid w:val="00AE04C2"/>
    <w:rsid w:val="00AE0615"/>
    <w:rsid w:val="00AE09E1"/>
    <w:rsid w:val="00AE0A34"/>
    <w:rsid w:val="00AE0A4D"/>
    <w:rsid w:val="00AE0D9D"/>
    <w:rsid w:val="00AE0E67"/>
    <w:rsid w:val="00AE0EA7"/>
    <w:rsid w:val="00AE1005"/>
    <w:rsid w:val="00AE110C"/>
    <w:rsid w:val="00AE1400"/>
    <w:rsid w:val="00AE14A9"/>
    <w:rsid w:val="00AE194C"/>
    <w:rsid w:val="00AE19A9"/>
    <w:rsid w:val="00AE19D0"/>
    <w:rsid w:val="00AE1D5D"/>
    <w:rsid w:val="00AE1E5E"/>
    <w:rsid w:val="00AE1E8C"/>
    <w:rsid w:val="00AE22FE"/>
    <w:rsid w:val="00AE2689"/>
    <w:rsid w:val="00AE2F61"/>
    <w:rsid w:val="00AE338D"/>
    <w:rsid w:val="00AE371E"/>
    <w:rsid w:val="00AE3AA0"/>
    <w:rsid w:val="00AE3C32"/>
    <w:rsid w:val="00AE3C84"/>
    <w:rsid w:val="00AE3E39"/>
    <w:rsid w:val="00AE4312"/>
    <w:rsid w:val="00AE4719"/>
    <w:rsid w:val="00AE48A7"/>
    <w:rsid w:val="00AE48F2"/>
    <w:rsid w:val="00AE4923"/>
    <w:rsid w:val="00AE4A97"/>
    <w:rsid w:val="00AE4E2C"/>
    <w:rsid w:val="00AE4E4F"/>
    <w:rsid w:val="00AE4E99"/>
    <w:rsid w:val="00AE5213"/>
    <w:rsid w:val="00AE53F0"/>
    <w:rsid w:val="00AE5556"/>
    <w:rsid w:val="00AE567C"/>
    <w:rsid w:val="00AE5A98"/>
    <w:rsid w:val="00AE5C22"/>
    <w:rsid w:val="00AE5E5A"/>
    <w:rsid w:val="00AE5EBC"/>
    <w:rsid w:val="00AE60AD"/>
    <w:rsid w:val="00AE62FB"/>
    <w:rsid w:val="00AE6470"/>
    <w:rsid w:val="00AE697C"/>
    <w:rsid w:val="00AE6AFF"/>
    <w:rsid w:val="00AE6C4C"/>
    <w:rsid w:val="00AE6D7C"/>
    <w:rsid w:val="00AE6E7C"/>
    <w:rsid w:val="00AE731A"/>
    <w:rsid w:val="00AE7676"/>
    <w:rsid w:val="00AE7918"/>
    <w:rsid w:val="00AE7B82"/>
    <w:rsid w:val="00AE7BCA"/>
    <w:rsid w:val="00AF0708"/>
    <w:rsid w:val="00AF087D"/>
    <w:rsid w:val="00AF08DF"/>
    <w:rsid w:val="00AF0A9D"/>
    <w:rsid w:val="00AF0DA2"/>
    <w:rsid w:val="00AF1011"/>
    <w:rsid w:val="00AF1535"/>
    <w:rsid w:val="00AF19BA"/>
    <w:rsid w:val="00AF1A3F"/>
    <w:rsid w:val="00AF1BE7"/>
    <w:rsid w:val="00AF1D2C"/>
    <w:rsid w:val="00AF209C"/>
    <w:rsid w:val="00AF23BC"/>
    <w:rsid w:val="00AF257E"/>
    <w:rsid w:val="00AF26FF"/>
    <w:rsid w:val="00AF3186"/>
    <w:rsid w:val="00AF3575"/>
    <w:rsid w:val="00AF374E"/>
    <w:rsid w:val="00AF3910"/>
    <w:rsid w:val="00AF39AB"/>
    <w:rsid w:val="00AF3FD4"/>
    <w:rsid w:val="00AF404D"/>
    <w:rsid w:val="00AF416E"/>
    <w:rsid w:val="00AF4DA2"/>
    <w:rsid w:val="00AF4E2B"/>
    <w:rsid w:val="00AF4E51"/>
    <w:rsid w:val="00AF524C"/>
    <w:rsid w:val="00AF5520"/>
    <w:rsid w:val="00AF577C"/>
    <w:rsid w:val="00AF5C82"/>
    <w:rsid w:val="00AF5EE3"/>
    <w:rsid w:val="00AF607C"/>
    <w:rsid w:val="00AF6339"/>
    <w:rsid w:val="00AF63B7"/>
    <w:rsid w:val="00AF6C82"/>
    <w:rsid w:val="00AF6C8D"/>
    <w:rsid w:val="00AF6D3F"/>
    <w:rsid w:val="00AF6EA0"/>
    <w:rsid w:val="00AF7366"/>
    <w:rsid w:val="00AF740C"/>
    <w:rsid w:val="00AF74D7"/>
    <w:rsid w:val="00AF75FF"/>
    <w:rsid w:val="00AF7784"/>
    <w:rsid w:val="00AF781B"/>
    <w:rsid w:val="00AF7987"/>
    <w:rsid w:val="00AF7A1D"/>
    <w:rsid w:val="00AF7D4A"/>
    <w:rsid w:val="00B00002"/>
    <w:rsid w:val="00B000E5"/>
    <w:rsid w:val="00B00284"/>
    <w:rsid w:val="00B003E7"/>
    <w:rsid w:val="00B00449"/>
    <w:rsid w:val="00B007E2"/>
    <w:rsid w:val="00B00D66"/>
    <w:rsid w:val="00B01329"/>
    <w:rsid w:val="00B015E3"/>
    <w:rsid w:val="00B01769"/>
    <w:rsid w:val="00B01A0A"/>
    <w:rsid w:val="00B01A30"/>
    <w:rsid w:val="00B0216C"/>
    <w:rsid w:val="00B0219F"/>
    <w:rsid w:val="00B0252E"/>
    <w:rsid w:val="00B02629"/>
    <w:rsid w:val="00B02988"/>
    <w:rsid w:val="00B041CD"/>
    <w:rsid w:val="00B041DA"/>
    <w:rsid w:val="00B0447B"/>
    <w:rsid w:val="00B047C1"/>
    <w:rsid w:val="00B04903"/>
    <w:rsid w:val="00B04A1E"/>
    <w:rsid w:val="00B04C0B"/>
    <w:rsid w:val="00B04D7D"/>
    <w:rsid w:val="00B053E6"/>
    <w:rsid w:val="00B0558E"/>
    <w:rsid w:val="00B05614"/>
    <w:rsid w:val="00B056D6"/>
    <w:rsid w:val="00B0578E"/>
    <w:rsid w:val="00B05927"/>
    <w:rsid w:val="00B0599C"/>
    <w:rsid w:val="00B05BA5"/>
    <w:rsid w:val="00B05C3F"/>
    <w:rsid w:val="00B05E34"/>
    <w:rsid w:val="00B05ED0"/>
    <w:rsid w:val="00B0652D"/>
    <w:rsid w:val="00B0676E"/>
    <w:rsid w:val="00B06C8F"/>
    <w:rsid w:val="00B07004"/>
    <w:rsid w:val="00B0700F"/>
    <w:rsid w:val="00B0708E"/>
    <w:rsid w:val="00B071D5"/>
    <w:rsid w:val="00B07400"/>
    <w:rsid w:val="00B074D9"/>
    <w:rsid w:val="00B0751A"/>
    <w:rsid w:val="00B07604"/>
    <w:rsid w:val="00B0795A"/>
    <w:rsid w:val="00B07DE6"/>
    <w:rsid w:val="00B07EB6"/>
    <w:rsid w:val="00B0CC07"/>
    <w:rsid w:val="00B100EF"/>
    <w:rsid w:val="00B10A45"/>
    <w:rsid w:val="00B10B5D"/>
    <w:rsid w:val="00B10CD2"/>
    <w:rsid w:val="00B10D13"/>
    <w:rsid w:val="00B10FF1"/>
    <w:rsid w:val="00B112E5"/>
    <w:rsid w:val="00B11308"/>
    <w:rsid w:val="00B1152E"/>
    <w:rsid w:val="00B1199F"/>
    <w:rsid w:val="00B11D2E"/>
    <w:rsid w:val="00B12033"/>
    <w:rsid w:val="00B12127"/>
    <w:rsid w:val="00B1240C"/>
    <w:rsid w:val="00B12928"/>
    <w:rsid w:val="00B12E08"/>
    <w:rsid w:val="00B13068"/>
    <w:rsid w:val="00B13140"/>
    <w:rsid w:val="00B13150"/>
    <w:rsid w:val="00B13274"/>
    <w:rsid w:val="00B1367D"/>
    <w:rsid w:val="00B13784"/>
    <w:rsid w:val="00B13D6C"/>
    <w:rsid w:val="00B13D70"/>
    <w:rsid w:val="00B14223"/>
    <w:rsid w:val="00B143B8"/>
    <w:rsid w:val="00B14596"/>
    <w:rsid w:val="00B149C8"/>
    <w:rsid w:val="00B14D19"/>
    <w:rsid w:val="00B14EEF"/>
    <w:rsid w:val="00B150ED"/>
    <w:rsid w:val="00B15112"/>
    <w:rsid w:val="00B15D43"/>
    <w:rsid w:val="00B16B46"/>
    <w:rsid w:val="00B16DBB"/>
    <w:rsid w:val="00B170A3"/>
    <w:rsid w:val="00B170B6"/>
    <w:rsid w:val="00B171C6"/>
    <w:rsid w:val="00B173FF"/>
    <w:rsid w:val="00B1790F"/>
    <w:rsid w:val="00B17B50"/>
    <w:rsid w:val="00B200D9"/>
    <w:rsid w:val="00B201CA"/>
    <w:rsid w:val="00B20850"/>
    <w:rsid w:val="00B2095E"/>
    <w:rsid w:val="00B2099E"/>
    <w:rsid w:val="00B20D8C"/>
    <w:rsid w:val="00B20F84"/>
    <w:rsid w:val="00B20FC9"/>
    <w:rsid w:val="00B2104F"/>
    <w:rsid w:val="00B21466"/>
    <w:rsid w:val="00B2146A"/>
    <w:rsid w:val="00B215B4"/>
    <w:rsid w:val="00B216AE"/>
    <w:rsid w:val="00B218C5"/>
    <w:rsid w:val="00B218FB"/>
    <w:rsid w:val="00B21965"/>
    <w:rsid w:val="00B21D22"/>
    <w:rsid w:val="00B21EFD"/>
    <w:rsid w:val="00B22174"/>
    <w:rsid w:val="00B22336"/>
    <w:rsid w:val="00B22457"/>
    <w:rsid w:val="00B225D4"/>
    <w:rsid w:val="00B2270C"/>
    <w:rsid w:val="00B229E1"/>
    <w:rsid w:val="00B22D3D"/>
    <w:rsid w:val="00B23099"/>
    <w:rsid w:val="00B2346C"/>
    <w:rsid w:val="00B23477"/>
    <w:rsid w:val="00B23692"/>
    <w:rsid w:val="00B237AF"/>
    <w:rsid w:val="00B23D7D"/>
    <w:rsid w:val="00B23E72"/>
    <w:rsid w:val="00B24344"/>
    <w:rsid w:val="00B245DB"/>
    <w:rsid w:val="00B24620"/>
    <w:rsid w:val="00B24688"/>
    <w:rsid w:val="00B2470E"/>
    <w:rsid w:val="00B24783"/>
    <w:rsid w:val="00B24A17"/>
    <w:rsid w:val="00B24C4B"/>
    <w:rsid w:val="00B24C67"/>
    <w:rsid w:val="00B24DAB"/>
    <w:rsid w:val="00B251B6"/>
    <w:rsid w:val="00B2525D"/>
    <w:rsid w:val="00B25982"/>
    <w:rsid w:val="00B25B08"/>
    <w:rsid w:val="00B25C0C"/>
    <w:rsid w:val="00B25CF7"/>
    <w:rsid w:val="00B25DDF"/>
    <w:rsid w:val="00B25FD4"/>
    <w:rsid w:val="00B26125"/>
    <w:rsid w:val="00B262A4"/>
    <w:rsid w:val="00B26466"/>
    <w:rsid w:val="00B2646E"/>
    <w:rsid w:val="00B264F1"/>
    <w:rsid w:val="00B2674C"/>
    <w:rsid w:val="00B26BE7"/>
    <w:rsid w:val="00B26DCB"/>
    <w:rsid w:val="00B26E18"/>
    <w:rsid w:val="00B26E48"/>
    <w:rsid w:val="00B270C9"/>
    <w:rsid w:val="00B27C06"/>
    <w:rsid w:val="00B27E2D"/>
    <w:rsid w:val="00B27EA5"/>
    <w:rsid w:val="00B27F9E"/>
    <w:rsid w:val="00B3009F"/>
    <w:rsid w:val="00B3075E"/>
    <w:rsid w:val="00B30824"/>
    <w:rsid w:val="00B3106C"/>
    <w:rsid w:val="00B314E2"/>
    <w:rsid w:val="00B3155A"/>
    <w:rsid w:val="00B31D91"/>
    <w:rsid w:val="00B31ED6"/>
    <w:rsid w:val="00B32189"/>
    <w:rsid w:val="00B3222E"/>
    <w:rsid w:val="00B3241D"/>
    <w:rsid w:val="00B32529"/>
    <w:rsid w:val="00B3284B"/>
    <w:rsid w:val="00B32A1C"/>
    <w:rsid w:val="00B32A72"/>
    <w:rsid w:val="00B3392E"/>
    <w:rsid w:val="00B33B40"/>
    <w:rsid w:val="00B340F4"/>
    <w:rsid w:val="00B34225"/>
    <w:rsid w:val="00B34549"/>
    <w:rsid w:val="00B345DA"/>
    <w:rsid w:val="00B34A2C"/>
    <w:rsid w:val="00B34C51"/>
    <w:rsid w:val="00B34FC1"/>
    <w:rsid w:val="00B34FFB"/>
    <w:rsid w:val="00B35125"/>
    <w:rsid w:val="00B355A6"/>
    <w:rsid w:val="00B35D92"/>
    <w:rsid w:val="00B35EAE"/>
    <w:rsid w:val="00B35EF6"/>
    <w:rsid w:val="00B35FFD"/>
    <w:rsid w:val="00B362CA"/>
    <w:rsid w:val="00B364C9"/>
    <w:rsid w:val="00B36896"/>
    <w:rsid w:val="00B36B50"/>
    <w:rsid w:val="00B36FBD"/>
    <w:rsid w:val="00B3716B"/>
    <w:rsid w:val="00B371AB"/>
    <w:rsid w:val="00B373D7"/>
    <w:rsid w:val="00B377FF"/>
    <w:rsid w:val="00B37801"/>
    <w:rsid w:val="00B3783D"/>
    <w:rsid w:val="00B37912"/>
    <w:rsid w:val="00B37A0A"/>
    <w:rsid w:val="00B37BB4"/>
    <w:rsid w:val="00B37C81"/>
    <w:rsid w:val="00B402C4"/>
    <w:rsid w:val="00B40583"/>
    <w:rsid w:val="00B40616"/>
    <w:rsid w:val="00B406C6"/>
    <w:rsid w:val="00B40BB4"/>
    <w:rsid w:val="00B41724"/>
    <w:rsid w:val="00B4187F"/>
    <w:rsid w:val="00B4233F"/>
    <w:rsid w:val="00B42395"/>
    <w:rsid w:val="00B42397"/>
    <w:rsid w:val="00B42824"/>
    <w:rsid w:val="00B428FA"/>
    <w:rsid w:val="00B42F42"/>
    <w:rsid w:val="00B42FEF"/>
    <w:rsid w:val="00B430FE"/>
    <w:rsid w:val="00B434BE"/>
    <w:rsid w:val="00B435ED"/>
    <w:rsid w:val="00B436AA"/>
    <w:rsid w:val="00B43AE5"/>
    <w:rsid w:val="00B43E3A"/>
    <w:rsid w:val="00B44000"/>
    <w:rsid w:val="00B44186"/>
    <w:rsid w:val="00B44535"/>
    <w:rsid w:val="00B4467C"/>
    <w:rsid w:val="00B4478A"/>
    <w:rsid w:val="00B44948"/>
    <w:rsid w:val="00B44C60"/>
    <w:rsid w:val="00B44C9A"/>
    <w:rsid w:val="00B44C9D"/>
    <w:rsid w:val="00B4585B"/>
    <w:rsid w:val="00B45C51"/>
    <w:rsid w:val="00B46221"/>
    <w:rsid w:val="00B4666C"/>
    <w:rsid w:val="00B46923"/>
    <w:rsid w:val="00B46C65"/>
    <w:rsid w:val="00B46FCD"/>
    <w:rsid w:val="00B46FE8"/>
    <w:rsid w:val="00B471E7"/>
    <w:rsid w:val="00B4722F"/>
    <w:rsid w:val="00B4752D"/>
    <w:rsid w:val="00B4783E"/>
    <w:rsid w:val="00B47957"/>
    <w:rsid w:val="00B47B8D"/>
    <w:rsid w:val="00B47CA4"/>
    <w:rsid w:val="00B4BBBA"/>
    <w:rsid w:val="00B5019C"/>
    <w:rsid w:val="00B50454"/>
    <w:rsid w:val="00B5067A"/>
    <w:rsid w:val="00B50A67"/>
    <w:rsid w:val="00B51028"/>
    <w:rsid w:val="00B51035"/>
    <w:rsid w:val="00B511C3"/>
    <w:rsid w:val="00B518D4"/>
    <w:rsid w:val="00B51BF5"/>
    <w:rsid w:val="00B51E41"/>
    <w:rsid w:val="00B5210B"/>
    <w:rsid w:val="00B521A7"/>
    <w:rsid w:val="00B52F52"/>
    <w:rsid w:val="00B53539"/>
    <w:rsid w:val="00B53945"/>
    <w:rsid w:val="00B53B5E"/>
    <w:rsid w:val="00B53F94"/>
    <w:rsid w:val="00B542E6"/>
    <w:rsid w:val="00B542FF"/>
    <w:rsid w:val="00B546AF"/>
    <w:rsid w:val="00B54728"/>
    <w:rsid w:val="00B54852"/>
    <w:rsid w:val="00B54A9A"/>
    <w:rsid w:val="00B54B9F"/>
    <w:rsid w:val="00B54FC3"/>
    <w:rsid w:val="00B556B4"/>
    <w:rsid w:val="00B55747"/>
    <w:rsid w:val="00B55943"/>
    <w:rsid w:val="00B55F29"/>
    <w:rsid w:val="00B55F3E"/>
    <w:rsid w:val="00B56046"/>
    <w:rsid w:val="00B56225"/>
    <w:rsid w:val="00B562DA"/>
    <w:rsid w:val="00B56525"/>
    <w:rsid w:val="00B566F7"/>
    <w:rsid w:val="00B56807"/>
    <w:rsid w:val="00B56BB8"/>
    <w:rsid w:val="00B570ED"/>
    <w:rsid w:val="00B57175"/>
    <w:rsid w:val="00B5729A"/>
    <w:rsid w:val="00B5735F"/>
    <w:rsid w:val="00B575CC"/>
    <w:rsid w:val="00B57684"/>
    <w:rsid w:val="00B57790"/>
    <w:rsid w:val="00B57876"/>
    <w:rsid w:val="00B5795E"/>
    <w:rsid w:val="00B57B15"/>
    <w:rsid w:val="00B57FAF"/>
    <w:rsid w:val="00B601B4"/>
    <w:rsid w:val="00B60604"/>
    <w:rsid w:val="00B60612"/>
    <w:rsid w:val="00B60803"/>
    <w:rsid w:val="00B608D0"/>
    <w:rsid w:val="00B60CD6"/>
    <w:rsid w:val="00B61114"/>
    <w:rsid w:val="00B614F4"/>
    <w:rsid w:val="00B617DC"/>
    <w:rsid w:val="00B6190C"/>
    <w:rsid w:val="00B61A0A"/>
    <w:rsid w:val="00B61B0D"/>
    <w:rsid w:val="00B62314"/>
    <w:rsid w:val="00B62393"/>
    <w:rsid w:val="00B624E4"/>
    <w:rsid w:val="00B6255E"/>
    <w:rsid w:val="00B62707"/>
    <w:rsid w:val="00B62D05"/>
    <w:rsid w:val="00B62DA0"/>
    <w:rsid w:val="00B62DB0"/>
    <w:rsid w:val="00B6393A"/>
    <w:rsid w:val="00B63C80"/>
    <w:rsid w:val="00B63FF7"/>
    <w:rsid w:val="00B640CA"/>
    <w:rsid w:val="00B64368"/>
    <w:rsid w:val="00B646A5"/>
    <w:rsid w:val="00B64723"/>
    <w:rsid w:val="00B64BC8"/>
    <w:rsid w:val="00B65090"/>
    <w:rsid w:val="00B650DD"/>
    <w:rsid w:val="00B655CC"/>
    <w:rsid w:val="00B656A9"/>
    <w:rsid w:val="00B65946"/>
    <w:rsid w:val="00B659C1"/>
    <w:rsid w:val="00B65C77"/>
    <w:rsid w:val="00B65D00"/>
    <w:rsid w:val="00B6608A"/>
    <w:rsid w:val="00B6614A"/>
    <w:rsid w:val="00B661A4"/>
    <w:rsid w:val="00B66291"/>
    <w:rsid w:val="00B664C6"/>
    <w:rsid w:val="00B66621"/>
    <w:rsid w:val="00B667C8"/>
    <w:rsid w:val="00B66862"/>
    <w:rsid w:val="00B66972"/>
    <w:rsid w:val="00B66E02"/>
    <w:rsid w:val="00B66F7B"/>
    <w:rsid w:val="00B6745F"/>
    <w:rsid w:val="00B67488"/>
    <w:rsid w:val="00B674B8"/>
    <w:rsid w:val="00B678E4"/>
    <w:rsid w:val="00B67B92"/>
    <w:rsid w:val="00B70147"/>
    <w:rsid w:val="00B7022B"/>
    <w:rsid w:val="00B70333"/>
    <w:rsid w:val="00B704AF"/>
    <w:rsid w:val="00B70862"/>
    <w:rsid w:val="00B70CEA"/>
    <w:rsid w:val="00B70F3D"/>
    <w:rsid w:val="00B70FAE"/>
    <w:rsid w:val="00B70FF7"/>
    <w:rsid w:val="00B7101A"/>
    <w:rsid w:val="00B715CD"/>
    <w:rsid w:val="00B716F6"/>
    <w:rsid w:val="00B71ABC"/>
    <w:rsid w:val="00B71F53"/>
    <w:rsid w:val="00B72080"/>
    <w:rsid w:val="00B72250"/>
    <w:rsid w:val="00B72670"/>
    <w:rsid w:val="00B72FC4"/>
    <w:rsid w:val="00B73731"/>
    <w:rsid w:val="00B7382F"/>
    <w:rsid w:val="00B73B2C"/>
    <w:rsid w:val="00B73C70"/>
    <w:rsid w:val="00B73D5B"/>
    <w:rsid w:val="00B73FC9"/>
    <w:rsid w:val="00B7442F"/>
    <w:rsid w:val="00B749CE"/>
    <w:rsid w:val="00B74AA3"/>
    <w:rsid w:val="00B74DB6"/>
    <w:rsid w:val="00B74F1E"/>
    <w:rsid w:val="00B75136"/>
    <w:rsid w:val="00B751B6"/>
    <w:rsid w:val="00B752B4"/>
    <w:rsid w:val="00B753B5"/>
    <w:rsid w:val="00B75B93"/>
    <w:rsid w:val="00B75CE0"/>
    <w:rsid w:val="00B75F1F"/>
    <w:rsid w:val="00B75FE8"/>
    <w:rsid w:val="00B7630D"/>
    <w:rsid w:val="00B765F3"/>
    <w:rsid w:val="00B76849"/>
    <w:rsid w:val="00B76AF8"/>
    <w:rsid w:val="00B76B96"/>
    <w:rsid w:val="00B76E81"/>
    <w:rsid w:val="00B77152"/>
    <w:rsid w:val="00B77168"/>
    <w:rsid w:val="00B77236"/>
    <w:rsid w:val="00B779CF"/>
    <w:rsid w:val="00B8044B"/>
    <w:rsid w:val="00B80473"/>
    <w:rsid w:val="00B80606"/>
    <w:rsid w:val="00B806B0"/>
    <w:rsid w:val="00B8095F"/>
    <w:rsid w:val="00B80A1F"/>
    <w:rsid w:val="00B80CA7"/>
    <w:rsid w:val="00B80DB3"/>
    <w:rsid w:val="00B80E05"/>
    <w:rsid w:val="00B8131C"/>
    <w:rsid w:val="00B81452"/>
    <w:rsid w:val="00B81C6F"/>
    <w:rsid w:val="00B82106"/>
    <w:rsid w:val="00B825DD"/>
    <w:rsid w:val="00B8269F"/>
    <w:rsid w:val="00B8270B"/>
    <w:rsid w:val="00B82AC7"/>
    <w:rsid w:val="00B82BC2"/>
    <w:rsid w:val="00B82C0A"/>
    <w:rsid w:val="00B82ECC"/>
    <w:rsid w:val="00B833D0"/>
    <w:rsid w:val="00B83444"/>
    <w:rsid w:val="00B8355B"/>
    <w:rsid w:val="00B83898"/>
    <w:rsid w:val="00B83D7C"/>
    <w:rsid w:val="00B83E66"/>
    <w:rsid w:val="00B8462D"/>
    <w:rsid w:val="00B84A0F"/>
    <w:rsid w:val="00B84DAF"/>
    <w:rsid w:val="00B84FD3"/>
    <w:rsid w:val="00B8567C"/>
    <w:rsid w:val="00B85869"/>
    <w:rsid w:val="00B85A21"/>
    <w:rsid w:val="00B85CC5"/>
    <w:rsid w:val="00B85D03"/>
    <w:rsid w:val="00B86000"/>
    <w:rsid w:val="00B8649F"/>
    <w:rsid w:val="00B867A4"/>
    <w:rsid w:val="00B86A59"/>
    <w:rsid w:val="00B86A9B"/>
    <w:rsid w:val="00B86BBC"/>
    <w:rsid w:val="00B86C5E"/>
    <w:rsid w:val="00B8709A"/>
    <w:rsid w:val="00B8736C"/>
    <w:rsid w:val="00B8752D"/>
    <w:rsid w:val="00B877E9"/>
    <w:rsid w:val="00B87BF7"/>
    <w:rsid w:val="00B900B7"/>
    <w:rsid w:val="00B903AE"/>
    <w:rsid w:val="00B911C8"/>
    <w:rsid w:val="00B9120B"/>
    <w:rsid w:val="00B9159C"/>
    <w:rsid w:val="00B92067"/>
    <w:rsid w:val="00B923C8"/>
    <w:rsid w:val="00B9245E"/>
    <w:rsid w:val="00B92488"/>
    <w:rsid w:val="00B92502"/>
    <w:rsid w:val="00B92AA0"/>
    <w:rsid w:val="00B92C08"/>
    <w:rsid w:val="00B92ECE"/>
    <w:rsid w:val="00B92FA0"/>
    <w:rsid w:val="00B9332A"/>
    <w:rsid w:val="00B93450"/>
    <w:rsid w:val="00B9363B"/>
    <w:rsid w:val="00B937C4"/>
    <w:rsid w:val="00B937F0"/>
    <w:rsid w:val="00B938A9"/>
    <w:rsid w:val="00B938EC"/>
    <w:rsid w:val="00B93CF6"/>
    <w:rsid w:val="00B93E9A"/>
    <w:rsid w:val="00B942DF"/>
    <w:rsid w:val="00B9458B"/>
    <w:rsid w:val="00B9459A"/>
    <w:rsid w:val="00B95DA1"/>
    <w:rsid w:val="00B9640D"/>
    <w:rsid w:val="00B96555"/>
    <w:rsid w:val="00B966FF"/>
    <w:rsid w:val="00B96716"/>
    <w:rsid w:val="00B969C4"/>
    <w:rsid w:val="00B96DAC"/>
    <w:rsid w:val="00B96E0C"/>
    <w:rsid w:val="00B96FB4"/>
    <w:rsid w:val="00B97532"/>
    <w:rsid w:val="00B976F4"/>
    <w:rsid w:val="00B97856"/>
    <w:rsid w:val="00B9798E"/>
    <w:rsid w:val="00B97A93"/>
    <w:rsid w:val="00B97B08"/>
    <w:rsid w:val="00B97B80"/>
    <w:rsid w:val="00BA02A9"/>
    <w:rsid w:val="00BA02F2"/>
    <w:rsid w:val="00BA0578"/>
    <w:rsid w:val="00BA0748"/>
    <w:rsid w:val="00BA07D5"/>
    <w:rsid w:val="00BA0ABC"/>
    <w:rsid w:val="00BA0C98"/>
    <w:rsid w:val="00BA0E3B"/>
    <w:rsid w:val="00BA0F18"/>
    <w:rsid w:val="00BA0F90"/>
    <w:rsid w:val="00BA0FBA"/>
    <w:rsid w:val="00BA1082"/>
    <w:rsid w:val="00BA15C3"/>
    <w:rsid w:val="00BA15D7"/>
    <w:rsid w:val="00BA187B"/>
    <w:rsid w:val="00BA1CD8"/>
    <w:rsid w:val="00BA1DB1"/>
    <w:rsid w:val="00BA2239"/>
    <w:rsid w:val="00BA266A"/>
    <w:rsid w:val="00BA287C"/>
    <w:rsid w:val="00BA2886"/>
    <w:rsid w:val="00BA2E14"/>
    <w:rsid w:val="00BA323A"/>
    <w:rsid w:val="00BA37DA"/>
    <w:rsid w:val="00BA3E62"/>
    <w:rsid w:val="00BA3F03"/>
    <w:rsid w:val="00BA3F6E"/>
    <w:rsid w:val="00BA438A"/>
    <w:rsid w:val="00BA4606"/>
    <w:rsid w:val="00BA4955"/>
    <w:rsid w:val="00BA4B8C"/>
    <w:rsid w:val="00BA4E0D"/>
    <w:rsid w:val="00BA543D"/>
    <w:rsid w:val="00BA55A6"/>
    <w:rsid w:val="00BA565C"/>
    <w:rsid w:val="00BA57E3"/>
    <w:rsid w:val="00BA580C"/>
    <w:rsid w:val="00BA5B20"/>
    <w:rsid w:val="00BA5BA9"/>
    <w:rsid w:val="00BA5CFF"/>
    <w:rsid w:val="00BA5E76"/>
    <w:rsid w:val="00BA5ED1"/>
    <w:rsid w:val="00BA5EDB"/>
    <w:rsid w:val="00BA627B"/>
    <w:rsid w:val="00BA6995"/>
    <w:rsid w:val="00BA709F"/>
    <w:rsid w:val="00BA719E"/>
    <w:rsid w:val="00BA71A8"/>
    <w:rsid w:val="00BA740F"/>
    <w:rsid w:val="00BA760F"/>
    <w:rsid w:val="00BA7901"/>
    <w:rsid w:val="00BA7CD1"/>
    <w:rsid w:val="00BA9580"/>
    <w:rsid w:val="00BB029A"/>
    <w:rsid w:val="00BB0326"/>
    <w:rsid w:val="00BB07E5"/>
    <w:rsid w:val="00BB0DB2"/>
    <w:rsid w:val="00BB0EBE"/>
    <w:rsid w:val="00BB0F76"/>
    <w:rsid w:val="00BB1219"/>
    <w:rsid w:val="00BB15B1"/>
    <w:rsid w:val="00BB1AD4"/>
    <w:rsid w:val="00BB1F5C"/>
    <w:rsid w:val="00BB2100"/>
    <w:rsid w:val="00BB21E1"/>
    <w:rsid w:val="00BB223B"/>
    <w:rsid w:val="00BB2312"/>
    <w:rsid w:val="00BB28B4"/>
    <w:rsid w:val="00BB2EF8"/>
    <w:rsid w:val="00BB3145"/>
    <w:rsid w:val="00BB31CF"/>
    <w:rsid w:val="00BB32E5"/>
    <w:rsid w:val="00BB3370"/>
    <w:rsid w:val="00BB35D7"/>
    <w:rsid w:val="00BB38B2"/>
    <w:rsid w:val="00BB3901"/>
    <w:rsid w:val="00BB3A59"/>
    <w:rsid w:val="00BB3AB8"/>
    <w:rsid w:val="00BB3E0D"/>
    <w:rsid w:val="00BB3EED"/>
    <w:rsid w:val="00BB42A2"/>
    <w:rsid w:val="00BB4FE0"/>
    <w:rsid w:val="00BB5301"/>
    <w:rsid w:val="00BB53A2"/>
    <w:rsid w:val="00BB5B38"/>
    <w:rsid w:val="00BB5D55"/>
    <w:rsid w:val="00BB6089"/>
    <w:rsid w:val="00BB6CBB"/>
    <w:rsid w:val="00BB72E2"/>
    <w:rsid w:val="00BB73BB"/>
    <w:rsid w:val="00BB73BF"/>
    <w:rsid w:val="00BB7511"/>
    <w:rsid w:val="00BB75B2"/>
    <w:rsid w:val="00BB76B5"/>
    <w:rsid w:val="00BB7F1F"/>
    <w:rsid w:val="00BC02A8"/>
    <w:rsid w:val="00BC0339"/>
    <w:rsid w:val="00BC062F"/>
    <w:rsid w:val="00BC15A2"/>
    <w:rsid w:val="00BC19AE"/>
    <w:rsid w:val="00BC1D82"/>
    <w:rsid w:val="00BC1DB5"/>
    <w:rsid w:val="00BC1DED"/>
    <w:rsid w:val="00BC225E"/>
    <w:rsid w:val="00BC28E8"/>
    <w:rsid w:val="00BC2CCA"/>
    <w:rsid w:val="00BC2DFF"/>
    <w:rsid w:val="00BC2F03"/>
    <w:rsid w:val="00BC3263"/>
    <w:rsid w:val="00BC33B8"/>
    <w:rsid w:val="00BC38FC"/>
    <w:rsid w:val="00BC3939"/>
    <w:rsid w:val="00BC3A16"/>
    <w:rsid w:val="00BC3A67"/>
    <w:rsid w:val="00BC3CD9"/>
    <w:rsid w:val="00BC3E93"/>
    <w:rsid w:val="00BC412F"/>
    <w:rsid w:val="00BC4240"/>
    <w:rsid w:val="00BC44EE"/>
    <w:rsid w:val="00BC44F6"/>
    <w:rsid w:val="00BC46DE"/>
    <w:rsid w:val="00BC4741"/>
    <w:rsid w:val="00BC49EC"/>
    <w:rsid w:val="00BC59AA"/>
    <w:rsid w:val="00BC5A5F"/>
    <w:rsid w:val="00BC5BC5"/>
    <w:rsid w:val="00BC5E48"/>
    <w:rsid w:val="00BC60A1"/>
    <w:rsid w:val="00BC60CB"/>
    <w:rsid w:val="00BC6292"/>
    <w:rsid w:val="00BC6353"/>
    <w:rsid w:val="00BC6476"/>
    <w:rsid w:val="00BC6A48"/>
    <w:rsid w:val="00BC74D2"/>
    <w:rsid w:val="00BC7604"/>
    <w:rsid w:val="00BC7A3B"/>
    <w:rsid w:val="00BC7E83"/>
    <w:rsid w:val="00BC7E9D"/>
    <w:rsid w:val="00BD0366"/>
    <w:rsid w:val="00BD03D6"/>
    <w:rsid w:val="00BD0908"/>
    <w:rsid w:val="00BD0A9A"/>
    <w:rsid w:val="00BD0DCE"/>
    <w:rsid w:val="00BD14AD"/>
    <w:rsid w:val="00BD18AC"/>
    <w:rsid w:val="00BD19F8"/>
    <w:rsid w:val="00BD1AB1"/>
    <w:rsid w:val="00BD1AB3"/>
    <w:rsid w:val="00BD223E"/>
    <w:rsid w:val="00BD25CF"/>
    <w:rsid w:val="00BD2782"/>
    <w:rsid w:val="00BD2A69"/>
    <w:rsid w:val="00BD2AF1"/>
    <w:rsid w:val="00BD2D56"/>
    <w:rsid w:val="00BD2D60"/>
    <w:rsid w:val="00BD33F2"/>
    <w:rsid w:val="00BD358A"/>
    <w:rsid w:val="00BD372D"/>
    <w:rsid w:val="00BD383F"/>
    <w:rsid w:val="00BD38DE"/>
    <w:rsid w:val="00BD3A9C"/>
    <w:rsid w:val="00BD3E70"/>
    <w:rsid w:val="00BD3FF9"/>
    <w:rsid w:val="00BD4505"/>
    <w:rsid w:val="00BD4A79"/>
    <w:rsid w:val="00BD4E55"/>
    <w:rsid w:val="00BD5114"/>
    <w:rsid w:val="00BD5291"/>
    <w:rsid w:val="00BD54BF"/>
    <w:rsid w:val="00BD55DC"/>
    <w:rsid w:val="00BD5FF1"/>
    <w:rsid w:val="00BD6430"/>
    <w:rsid w:val="00BD65FF"/>
    <w:rsid w:val="00BD69A7"/>
    <w:rsid w:val="00BD6A10"/>
    <w:rsid w:val="00BD6AF0"/>
    <w:rsid w:val="00BD6C20"/>
    <w:rsid w:val="00BD6C4D"/>
    <w:rsid w:val="00BD6F0E"/>
    <w:rsid w:val="00BD709B"/>
    <w:rsid w:val="00BD7175"/>
    <w:rsid w:val="00BD71BB"/>
    <w:rsid w:val="00BD72B1"/>
    <w:rsid w:val="00BD75C7"/>
    <w:rsid w:val="00BD775F"/>
    <w:rsid w:val="00BD7B0C"/>
    <w:rsid w:val="00BD7C31"/>
    <w:rsid w:val="00BD7F87"/>
    <w:rsid w:val="00BE0213"/>
    <w:rsid w:val="00BE0368"/>
    <w:rsid w:val="00BE0A20"/>
    <w:rsid w:val="00BE0A3B"/>
    <w:rsid w:val="00BE0C80"/>
    <w:rsid w:val="00BE0D2F"/>
    <w:rsid w:val="00BE0DC8"/>
    <w:rsid w:val="00BE0DD1"/>
    <w:rsid w:val="00BE0FC2"/>
    <w:rsid w:val="00BE1422"/>
    <w:rsid w:val="00BE1860"/>
    <w:rsid w:val="00BE1997"/>
    <w:rsid w:val="00BE1BFB"/>
    <w:rsid w:val="00BE1C12"/>
    <w:rsid w:val="00BE1D2C"/>
    <w:rsid w:val="00BE1D7B"/>
    <w:rsid w:val="00BE1E67"/>
    <w:rsid w:val="00BE1ECA"/>
    <w:rsid w:val="00BE244A"/>
    <w:rsid w:val="00BE2621"/>
    <w:rsid w:val="00BE268D"/>
    <w:rsid w:val="00BE2DC0"/>
    <w:rsid w:val="00BE3231"/>
    <w:rsid w:val="00BE3441"/>
    <w:rsid w:val="00BE363B"/>
    <w:rsid w:val="00BE36CF"/>
    <w:rsid w:val="00BE36E2"/>
    <w:rsid w:val="00BE40AF"/>
    <w:rsid w:val="00BE4306"/>
    <w:rsid w:val="00BE487F"/>
    <w:rsid w:val="00BE4A06"/>
    <w:rsid w:val="00BE5180"/>
    <w:rsid w:val="00BE544E"/>
    <w:rsid w:val="00BE5713"/>
    <w:rsid w:val="00BE57CE"/>
    <w:rsid w:val="00BE6087"/>
    <w:rsid w:val="00BE60A5"/>
    <w:rsid w:val="00BE6202"/>
    <w:rsid w:val="00BE62C1"/>
    <w:rsid w:val="00BE64E9"/>
    <w:rsid w:val="00BE67D0"/>
    <w:rsid w:val="00BE6906"/>
    <w:rsid w:val="00BE6C43"/>
    <w:rsid w:val="00BE6FAC"/>
    <w:rsid w:val="00BE79D1"/>
    <w:rsid w:val="00BE7B65"/>
    <w:rsid w:val="00BE7B8F"/>
    <w:rsid w:val="00BE7E25"/>
    <w:rsid w:val="00BF00DF"/>
    <w:rsid w:val="00BF00ED"/>
    <w:rsid w:val="00BF00F7"/>
    <w:rsid w:val="00BF0280"/>
    <w:rsid w:val="00BF045B"/>
    <w:rsid w:val="00BF061A"/>
    <w:rsid w:val="00BF0A0D"/>
    <w:rsid w:val="00BF0A37"/>
    <w:rsid w:val="00BF0C62"/>
    <w:rsid w:val="00BF0F5E"/>
    <w:rsid w:val="00BF13A7"/>
    <w:rsid w:val="00BF16F9"/>
    <w:rsid w:val="00BF190D"/>
    <w:rsid w:val="00BF199B"/>
    <w:rsid w:val="00BF19FE"/>
    <w:rsid w:val="00BF1A79"/>
    <w:rsid w:val="00BF1BF3"/>
    <w:rsid w:val="00BF1C05"/>
    <w:rsid w:val="00BF1D56"/>
    <w:rsid w:val="00BF1FAC"/>
    <w:rsid w:val="00BF23AD"/>
    <w:rsid w:val="00BF25E0"/>
    <w:rsid w:val="00BF25F5"/>
    <w:rsid w:val="00BF29B1"/>
    <w:rsid w:val="00BF2B69"/>
    <w:rsid w:val="00BF2C03"/>
    <w:rsid w:val="00BF2C91"/>
    <w:rsid w:val="00BF2E3B"/>
    <w:rsid w:val="00BF2FC9"/>
    <w:rsid w:val="00BF3CAB"/>
    <w:rsid w:val="00BF3EB7"/>
    <w:rsid w:val="00BF3EC8"/>
    <w:rsid w:val="00BF4169"/>
    <w:rsid w:val="00BF43D0"/>
    <w:rsid w:val="00BF457F"/>
    <w:rsid w:val="00BF46F4"/>
    <w:rsid w:val="00BF472E"/>
    <w:rsid w:val="00BF47F9"/>
    <w:rsid w:val="00BF4800"/>
    <w:rsid w:val="00BF4A1A"/>
    <w:rsid w:val="00BF4C75"/>
    <w:rsid w:val="00BF4CAF"/>
    <w:rsid w:val="00BF4E18"/>
    <w:rsid w:val="00BF4E7C"/>
    <w:rsid w:val="00BF4F8A"/>
    <w:rsid w:val="00BF5144"/>
    <w:rsid w:val="00BF5606"/>
    <w:rsid w:val="00BF57C6"/>
    <w:rsid w:val="00BF58BB"/>
    <w:rsid w:val="00BF5979"/>
    <w:rsid w:val="00BF5D08"/>
    <w:rsid w:val="00BF6542"/>
    <w:rsid w:val="00BF6755"/>
    <w:rsid w:val="00BF6B7F"/>
    <w:rsid w:val="00BF6D94"/>
    <w:rsid w:val="00BF6D9A"/>
    <w:rsid w:val="00BF7146"/>
    <w:rsid w:val="00BF71F8"/>
    <w:rsid w:val="00BF72BA"/>
    <w:rsid w:val="00BF7450"/>
    <w:rsid w:val="00BF7665"/>
    <w:rsid w:val="00BF7959"/>
    <w:rsid w:val="00BF7D9D"/>
    <w:rsid w:val="00BF7DFA"/>
    <w:rsid w:val="00C00121"/>
    <w:rsid w:val="00C00125"/>
    <w:rsid w:val="00C00461"/>
    <w:rsid w:val="00C00657"/>
    <w:rsid w:val="00C006EA"/>
    <w:rsid w:val="00C00A13"/>
    <w:rsid w:val="00C00DE6"/>
    <w:rsid w:val="00C00EB9"/>
    <w:rsid w:val="00C00EEE"/>
    <w:rsid w:val="00C01035"/>
    <w:rsid w:val="00C010F8"/>
    <w:rsid w:val="00C01117"/>
    <w:rsid w:val="00C01154"/>
    <w:rsid w:val="00C01256"/>
    <w:rsid w:val="00C012EC"/>
    <w:rsid w:val="00C01359"/>
    <w:rsid w:val="00C015D7"/>
    <w:rsid w:val="00C01719"/>
    <w:rsid w:val="00C02488"/>
    <w:rsid w:val="00C0259B"/>
    <w:rsid w:val="00C02CEB"/>
    <w:rsid w:val="00C02F24"/>
    <w:rsid w:val="00C030CD"/>
    <w:rsid w:val="00C031A5"/>
    <w:rsid w:val="00C0359B"/>
    <w:rsid w:val="00C0376B"/>
    <w:rsid w:val="00C039D4"/>
    <w:rsid w:val="00C03A7F"/>
    <w:rsid w:val="00C03CD1"/>
    <w:rsid w:val="00C03DD6"/>
    <w:rsid w:val="00C03EC7"/>
    <w:rsid w:val="00C03FD5"/>
    <w:rsid w:val="00C0479F"/>
    <w:rsid w:val="00C04CCD"/>
    <w:rsid w:val="00C05075"/>
    <w:rsid w:val="00C0512A"/>
    <w:rsid w:val="00C05429"/>
    <w:rsid w:val="00C058BD"/>
    <w:rsid w:val="00C05A18"/>
    <w:rsid w:val="00C05D68"/>
    <w:rsid w:val="00C05E08"/>
    <w:rsid w:val="00C05FB2"/>
    <w:rsid w:val="00C064D9"/>
    <w:rsid w:val="00C07058"/>
    <w:rsid w:val="00C073AB"/>
    <w:rsid w:val="00C0785F"/>
    <w:rsid w:val="00C07BD7"/>
    <w:rsid w:val="00C07C62"/>
    <w:rsid w:val="00C07DFA"/>
    <w:rsid w:val="00C07F00"/>
    <w:rsid w:val="00C07F8B"/>
    <w:rsid w:val="00C07FE9"/>
    <w:rsid w:val="00C10006"/>
    <w:rsid w:val="00C10281"/>
    <w:rsid w:val="00C108E1"/>
    <w:rsid w:val="00C10CA9"/>
    <w:rsid w:val="00C11068"/>
    <w:rsid w:val="00C11135"/>
    <w:rsid w:val="00C11427"/>
    <w:rsid w:val="00C11584"/>
    <w:rsid w:val="00C11634"/>
    <w:rsid w:val="00C11A86"/>
    <w:rsid w:val="00C11D49"/>
    <w:rsid w:val="00C12141"/>
    <w:rsid w:val="00C12789"/>
    <w:rsid w:val="00C127E6"/>
    <w:rsid w:val="00C129CB"/>
    <w:rsid w:val="00C12A48"/>
    <w:rsid w:val="00C12AC2"/>
    <w:rsid w:val="00C12DF5"/>
    <w:rsid w:val="00C13242"/>
    <w:rsid w:val="00C13339"/>
    <w:rsid w:val="00C13A88"/>
    <w:rsid w:val="00C13ECF"/>
    <w:rsid w:val="00C14470"/>
    <w:rsid w:val="00C1475E"/>
    <w:rsid w:val="00C148E1"/>
    <w:rsid w:val="00C1520B"/>
    <w:rsid w:val="00C1559A"/>
    <w:rsid w:val="00C15726"/>
    <w:rsid w:val="00C15933"/>
    <w:rsid w:val="00C159CF"/>
    <w:rsid w:val="00C15BE7"/>
    <w:rsid w:val="00C15D07"/>
    <w:rsid w:val="00C1641D"/>
    <w:rsid w:val="00C16629"/>
    <w:rsid w:val="00C167E7"/>
    <w:rsid w:val="00C16895"/>
    <w:rsid w:val="00C171E6"/>
    <w:rsid w:val="00C17461"/>
    <w:rsid w:val="00C174E4"/>
    <w:rsid w:val="00C17740"/>
    <w:rsid w:val="00C177C6"/>
    <w:rsid w:val="00C17D32"/>
    <w:rsid w:val="00C2009C"/>
    <w:rsid w:val="00C2010D"/>
    <w:rsid w:val="00C202E6"/>
    <w:rsid w:val="00C204B7"/>
    <w:rsid w:val="00C205A7"/>
    <w:rsid w:val="00C20964"/>
    <w:rsid w:val="00C20B4C"/>
    <w:rsid w:val="00C20CC5"/>
    <w:rsid w:val="00C211AF"/>
    <w:rsid w:val="00C21233"/>
    <w:rsid w:val="00C21371"/>
    <w:rsid w:val="00C21E26"/>
    <w:rsid w:val="00C21F0B"/>
    <w:rsid w:val="00C21F88"/>
    <w:rsid w:val="00C225ED"/>
    <w:rsid w:val="00C22634"/>
    <w:rsid w:val="00C2286E"/>
    <w:rsid w:val="00C22896"/>
    <w:rsid w:val="00C22B01"/>
    <w:rsid w:val="00C22B58"/>
    <w:rsid w:val="00C22C80"/>
    <w:rsid w:val="00C22DAE"/>
    <w:rsid w:val="00C23955"/>
    <w:rsid w:val="00C239C4"/>
    <w:rsid w:val="00C23DE7"/>
    <w:rsid w:val="00C24525"/>
    <w:rsid w:val="00C2494E"/>
    <w:rsid w:val="00C24B31"/>
    <w:rsid w:val="00C24D28"/>
    <w:rsid w:val="00C24E05"/>
    <w:rsid w:val="00C25022"/>
    <w:rsid w:val="00C25872"/>
    <w:rsid w:val="00C2604F"/>
    <w:rsid w:val="00C260E9"/>
    <w:rsid w:val="00C265F2"/>
    <w:rsid w:val="00C2684D"/>
    <w:rsid w:val="00C26C23"/>
    <w:rsid w:val="00C26EA7"/>
    <w:rsid w:val="00C270C5"/>
    <w:rsid w:val="00C27125"/>
    <w:rsid w:val="00C27290"/>
    <w:rsid w:val="00C27634"/>
    <w:rsid w:val="00C27832"/>
    <w:rsid w:val="00C27D47"/>
    <w:rsid w:val="00C27EBB"/>
    <w:rsid w:val="00C30670"/>
    <w:rsid w:val="00C307BD"/>
    <w:rsid w:val="00C309CA"/>
    <w:rsid w:val="00C30B03"/>
    <w:rsid w:val="00C30DD9"/>
    <w:rsid w:val="00C30E14"/>
    <w:rsid w:val="00C31053"/>
    <w:rsid w:val="00C310B7"/>
    <w:rsid w:val="00C31469"/>
    <w:rsid w:val="00C31A8B"/>
    <w:rsid w:val="00C31B58"/>
    <w:rsid w:val="00C31E17"/>
    <w:rsid w:val="00C31EF4"/>
    <w:rsid w:val="00C32163"/>
    <w:rsid w:val="00C3274E"/>
    <w:rsid w:val="00C32A42"/>
    <w:rsid w:val="00C32A4D"/>
    <w:rsid w:val="00C32AD2"/>
    <w:rsid w:val="00C339CC"/>
    <w:rsid w:val="00C33CDB"/>
    <w:rsid w:val="00C33DA4"/>
    <w:rsid w:val="00C33ECD"/>
    <w:rsid w:val="00C34BC0"/>
    <w:rsid w:val="00C3506E"/>
    <w:rsid w:val="00C351B4"/>
    <w:rsid w:val="00C353BE"/>
    <w:rsid w:val="00C35789"/>
    <w:rsid w:val="00C357F5"/>
    <w:rsid w:val="00C359CD"/>
    <w:rsid w:val="00C35C9B"/>
    <w:rsid w:val="00C35FD3"/>
    <w:rsid w:val="00C360AD"/>
    <w:rsid w:val="00C3626B"/>
    <w:rsid w:val="00C362D3"/>
    <w:rsid w:val="00C36C87"/>
    <w:rsid w:val="00C36E5F"/>
    <w:rsid w:val="00C36F74"/>
    <w:rsid w:val="00C36FE1"/>
    <w:rsid w:val="00C37619"/>
    <w:rsid w:val="00C37936"/>
    <w:rsid w:val="00C37C89"/>
    <w:rsid w:val="00C37CD1"/>
    <w:rsid w:val="00C37D59"/>
    <w:rsid w:val="00C400D8"/>
    <w:rsid w:val="00C4041A"/>
    <w:rsid w:val="00C40434"/>
    <w:rsid w:val="00C40704"/>
    <w:rsid w:val="00C40792"/>
    <w:rsid w:val="00C409B9"/>
    <w:rsid w:val="00C40E90"/>
    <w:rsid w:val="00C410E6"/>
    <w:rsid w:val="00C4142E"/>
    <w:rsid w:val="00C4165F"/>
    <w:rsid w:val="00C41671"/>
    <w:rsid w:val="00C4171E"/>
    <w:rsid w:val="00C418B4"/>
    <w:rsid w:val="00C41B0A"/>
    <w:rsid w:val="00C41B49"/>
    <w:rsid w:val="00C41C22"/>
    <w:rsid w:val="00C41F51"/>
    <w:rsid w:val="00C42166"/>
    <w:rsid w:val="00C421CA"/>
    <w:rsid w:val="00C421E9"/>
    <w:rsid w:val="00C4255D"/>
    <w:rsid w:val="00C42601"/>
    <w:rsid w:val="00C426F0"/>
    <w:rsid w:val="00C4286B"/>
    <w:rsid w:val="00C42C49"/>
    <w:rsid w:val="00C42C6C"/>
    <w:rsid w:val="00C42FEB"/>
    <w:rsid w:val="00C433B8"/>
    <w:rsid w:val="00C4344F"/>
    <w:rsid w:val="00C436F8"/>
    <w:rsid w:val="00C43889"/>
    <w:rsid w:val="00C439EB"/>
    <w:rsid w:val="00C43A8D"/>
    <w:rsid w:val="00C43F5E"/>
    <w:rsid w:val="00C4439A"/>
    <w:rsid w:val="00C4443B"/>
    <w:rsid w:val="00C4446E"/>
    <w:rsid w:val="00C446F1"/>
    <w:rsid w:val="00C44809"/>
    <w:rsid w:val="00C44B4E"/>
    <w:rsid w:val="00C44B4F"/>
    <w:rsid w:val="00C44C08"/>
    <w:rsid w:val="00C44D15"/>
    <w:rsid w:val="00C44D7F"/>
    <w:rsid w:val="00C44DE7"/>
    <w:rsid w:val="00C45223"/>
    <w:rsid w:val="00C45295"/>
    <w:rsid w:val="00C459A5"/>
    <w:rsid w:val="00C45C21"/>
    <w:rsid w:val="00C45D6B"/>
    <w:rsid w:val="00C45F88"/>
    <w:rsid w:val="00C46026"/>
    <w:rsid w:val="00C46056"/>
    <w:rsid w:val="00C460AE"/>
    <w:rsid w:val="00C46155"/>
    <w:rsid w:val="00C46409"/>
    <w:rsid w:val="00C46568"/>
    <w:rsid w:val="00C46691"/>
    <w:rsid w:val="00C46995"/>
    <w:rsid w:val="00C46A45"/>
    <w:rsid w:val="00C46CA8"/>
    <w:rsid w:val="00C46D01"/>
    <w:rsid w:val="00C471C5"/>
    <w:rsid w:val="00C47391"/>
    <w:rsid w:val="00C473F0"/>
    <w:rsid w:val="00C47585"/>
    <w:rsid w:val="00C476AD"/>
    <w:rsid w:val="00C4785D"/>
    <w:rsid w:val="00C4787C"/>
    <w:rsid w:val="00C47AB2"/>
    <w:rsid w:val="00C47AB9"/>
    <w:rsid w:val="00C47CDA"/>
    <w:rsid w:val="00C47D9D"/>
    <w:rsid w:val="00C47E29"/>
    <w:rsid w:val="00C47F35"/>
    <w:rsid w:val="00C5001F"/>
    <w:rsid w:val="00C50068"/>
    <w:rsid w:val="00C50264"/>
    <w:rsid w:val="00C504DF"/>
    <w:rsid w:val="00C509C0"/>
    <w:rsid w:val="00C50A94"/>
    <w:rsid w:val="00C50B38"/>
    <w:rsid w:val="00C51189"/>
    <w:rsid w:val="00C513B7"/>
    <w:rsid w:val="00C51441"/>
    <w:rsid w:val="00C5182C"/>
    <w:rsid w:val="00C51900"/>
    <w:rsid w:val="00C51DB7"/>
    <w:rsid w:val="00C51E36"/>
    <w:rsid w:val="00C51ED6"/>
    <w:rsid w:val="00C52276"/>
    <w:rsid w:val="00C52926"/>
    <w:rsid w:val="00C52E17"/>
    <w:rsid w:val="00C53179"/>
    <w:rsid w:val="00C5396A"/>
    <w:rsid w:val="00C53F80"/>
    <w:rsid w:val="00C53F9D"/>
    <w:rsid w:val="00C540E9"/>
    <w:rsid w:val="00C5468D"/>
    <w:rsid w:val="00C54963"/>
    <w:rsid w:val="00C54CCA"/>
    <w:rsid w:val="00C54E34"/>
    <w:rsid w:val="00C5538D"/>
    <w:rsid w:val="00C555CA"/>
    <w:rsid w:val="00C558D3"/>
    <w:rsid w:val="00C55F0C"/>
    <w:rsid w:val="00C5604F"/>
    <w:rsid w:val="00C56520"/>
    <w:rsid w:val="00C56717"/>
    <w:rsid w:val="00C56D9C"/>
    <w:rsid w:val="00C56F3C"/>
    <w:rsid w:val="00C57B6F"/>
    <w:rsid w:val="00C602D0"/>
    <w:rsid w:val="00C607A9"/>
    <w:rsid w:val="00C60BB5"/>
    <w:rsid w:val="00C61099"/>
    <w:rsid w:val="00C61226"/>
    <w:rsid w:val="00C61AAE"/>
    <w:rsid w:val="00C61F40"/>
    <w:rsid w:val="00C6241C"/>
    <w:rsid w:val="00C62BDB"/>
    <w:rsid w:val="00C62C4F"/>
    <w:rsid w:val="00C62D2D"/>
    <w:rsid w:val="00C62E80"/>
    <w:rsid w:val="00C62EC4"/>
    <w:rsid w:val="00C62FA9"/>
    <w:rsid w:val="00C630B2"/>
    <w:rsid w:val="00C6333E"/>
    <w:rsid w:val="00C63463"/>
    <w:rsid w:val="00C63955"/>
    <w:rsid w:val="00C639AB"/>
    <w:rsid w:val="00C63A11"/>
    <w:rsid w:val="00C63A3B"/>
    <w:rsid w:val="00C63BBB"/>
    <w:rsid w:val="00C63BDF"/>
    <w:rsid w:val="00C63F12"/>
    <w:rsid w:val="00C64074"/>
    <w:rsid w:val="00C64179"/>
    <w:rsid w:val="00C6433F"/>
    <w:rsid w:val="00C643AB"/>
    <w:rsid w:val="00C64ACD"/>
    <w:rsid w:val="00C64C5A"/>
    <w:rsid w:val="00C64F7F"/>
    <w:rsid w:val="00C64FED"/>
    <w:rsid w:val="00C64FF4"/>
    <w:rsid w:val="00C6508F"/>
    <w:rsid w:val="00C6518E"/>
    <w:rsid w:val="00C6554E"/>
    <w:rsid w:val="00C65870"/>
    <w:rsid w:val="00C65B28"/>
    <w:rsid w:val="00C65E1A"/>
    <w:rsid w:val="00C65EDC"/>
    <w:rsid w:val="00C6614C"/>
    <w:rsid w:val="00C6637C"/>
    <w:rsid w:val="00C6692C"/>
    <w:rsid w:val="00C66930"/>
    <w:rsid w:val="00C66B98"/>
    <w:rsid w:val="00C66F49"/>
    <w:rsid w:val="00C66FCE"/>
    <w:rsid w:val="00C6782D"/>
    <w:rsid w:val="00C678EE"/>
    <w:rsid w:val="00C67AC7"/>
    <w:rsid w:val="00C67B0E"/>
    <w:rsid w:val="00C67C4A"/>
    <w:rsid w:val="00C67D39"/>
    <w:rsid w:val="00C70318"/>
    <w:rsid w:val="00C7040D"/>
    <w:rsid w:val="00C704A5"/>
    <w:rsid w:val="00C7065B"/>
    <w:rsid w:val="00C707FD"/>
    <w:rsid w:val="00C708E5"/>
    <w:rsid w:val="00C70C0B"/>
    <w:rsid w:val="00C70DEF"/>
    <w:rsid w:val="00C70FBE"/>
    <w:rsid w:val="00C70FFE"/>
    <w:rsid w:val="00C71017"/>
    <w:rsid w:val="00C716CD"/>
    <w:rsid w:val="00C719E6"/>
    <w:rsid w:val="00C72111"/>
    <w:rsid w:val="00C72513"/>
    <w:rsid w:val="00C727B4"/>
    <w:rsid w:val="00C72D03"/>
    <w:rsid w:val="00C72EF9"/>
    <w:rsid w:val="00C730EA"/>
    <w:rsid w:val="00C734EB"/>
    <w:rsid w:val="00C7375F"/>
    <w:rsid w:val="00C73929"/>
    <w:rsid w:val="00C73D36"/>
    <w:rsid w:val="00C73DA3"/>
    <w:rsid w:val="00C73F68"/>
    <w:rsid w:val="00C73FE5"/>
    <w:rsid w:val="00C742CC"/>
    <w:rsid w:val="00C745BD"/>
    <w:rsid w:val="00C74D7C"/>
    <w:rsid w:val="00C753B7"/>
    <w:rsid w:val="00C75479"/>
    <w:rsid w:val="00C756D9"/>
    <w:rsid w:val="00C75794"/>
    <w:rsid w:val="00C75983"/>
    <w:rsid w:val="00C75F13"/>
    <w:rsid w:val="00C760A4"/>
    <w:rsid w:val="00C76214"/>
    <w:rsid w:val="00C76461"/>
    <w:rsid w:val="00C766B9"/>
    <w:rsid w:val="00C76728"/>
    <w:rsid w:val="00C76891"/>
    <w:rsid w:val="00C76A7E"/>
    <w:rsid w:val="00C76EB7"/>
    <w:rsid w:val="00C7719F"/>
    <w:rsid w:val="00C7792B"/>
    <w:rsid w:val="00C77A67"/>
    <w:rsid w:val="00C77B4A"/>
    <w:rsid w:val="00C77B6D"/>
    <w:rsid w:val="00C77C80"/>
    <w:rsid w:val="00C80203"/>
    <w:rsid w:val="00C802E6"/>
    <w:rsid w:val="00C8051A"/>
    <w:rsid w:val="00C8082C"/>
    <w:rsid w:val="00C80DF5"/>
    <w:rsid w:val="00C80E7E"/>
    <w:rsid w:val="00C8129E"/>
    <w:rsid w:val="00C81329"/>
    <w:rsid w:val="00C8133A"/>
    <w:rsid w:val="00C8194A"/>
    <w:rsid w:val="00C819A4"/>
    <w:rsid w:val="00C819DB"/>
    <w:rsid w:val="00C81BD4"/>
    <w:rsid w:val="00C81D45"/>
    <w:rsid w:val="00C81F58"/>
    <w:rsid w:val="00C8247E"/>
    <w:rsid w:val="00C824ED"/>
    <w:rsid w:val="00C82714"/>
    <w:rsid w:val="00C833EF"/>
    <w:rsid w:val="00C83456"/>
    <w:rsid w:val="00C83461"/>
    <w:rsid w:val="00C83503"/>
    <w:rsid w:val="00C83786"/>
    <w:rsid w:val="00C838A7"/>
    <w:rsid w:val="00C83F0D"/>
    <w:rsid w:val="00C842D6"/>
    <w:rsid w:val="00C84853"/>
    <w:rsid w:val="00C84ACA"/>
    <w:rsid w:val="00C84B2D"/>
    <w:rsid w:val="00C8502F"/>
    <w:rsid w:val="00C857B9"/>
    <w:rsid w:val="00C85CCE"/>
    <w:rsid w:val="00C85E93"/>
    <w:rsid w:val="00C86150"/>
    <w:rsid w:val="00C861B5"/>
    <w:rsid w:val="00C867C8"/>
    <w:rsid w:val="00C8683F"/>
    <w:rsid w:val="00C86912"/>
    <w:rsid w:val="00C86C34"/>
    <w:rsid w:val="00C86DC8"/>
    <w:rsid w:val="00C86E98"/>
    <w:rsid w:val="00C87038"/>
    <w:rsid w:val="00C870AF"/>
    <w:rsid w:val="00C8749E"/>
    <w:rsid w:val="00C8764C"/>
    <w:rsid w:val="00C87715"/>
    <w:rsid w:val="00C87930"/>
    <w:rsid w:val="00C87B4E"/>
    <w:rsid w:val="00C903D3"/>
    <w:rsid w:val="00C9076B"/>
    <w:rsid w:val="00C908BF"/>
    <w:rsid w:val="00C90FEE"/>
    <w:rsid w:val="00C910DD"/>
    <w:rsid w:val="00C911B1"/>
    <w:rsid w:val="00C9140A"/>
    <w:rsid w:val="00C91877"/>
    <w:rsid w:val="00C91A53"/>
    <w:rsid w:val="00C91B12"/>
    <w:rsid w:val="00C91CCF"/>
    <w:rsid w:val="00C91F9F"/>
    <w:rsid w:val="00C92029"/>
    <w:rsid w:val="00C9202D"/>
    <w:rsid w:val="00C923AC"/>
    <w:rsid w:val="00C926AF"/>
    <w:rsid w:val="00C929AA"/>
    <w:rsid w:val="00C92A84"/>
    <w:rsid w:val="00C92CE8"/>
    <w:rsid w:val="00C92D48"/>
    <w:rsid w:val="00C9306F"/>
    <w:rsid w:val="00C93222"/>
    <w:rsid w:val="00C93499"/>
    <w:rsid w:val="00C939EF"/>
    <w:rsid w:val="00C93BC0"/>
    <w:rsid w:val="00C93E22"/>
    <w:rsid w:val="00C941FD"/>
    <w:rsid w:val="00C945FE"/>
    <w:rsid w:val="00C94B86"/>
    <w:rsid w:val="00C94D31"/>
    <w:rsid w:val="00C94E23"/>
    <w:rsid w:val="00C94ED4"/>
    <w:rsid w:val="00C94EE1"/>
    <w:rsid w:val="00C95027"/>
    <w:rsid w:val="00C95071"/>
    <w:rsid w:val="00C95200"/>
    <w:rsid w:val="00C953AB"/>
    <w:rsid w:val="00C95407"/>
    <w:rsid w:val="00C9566B"/>
    <w:rsid w:val="00C95822"/>
    <w:rsid w:val="00C9589B"/>
    <w:rsid w:val="00C95B32"/>
    <w:rsid w:val="00C95C98"/>
    <w:rsid w:val="00C962F6"/>
    <w:rsid w:val="00C96338"/>
    <w:rsid w:val="00C96CA8"/>
    <w:rsid w:val="00C96E59"/>
    <w:rsid w:val="00C96E6E"/>
    <w:rsid w:val="00C9730C"/>
    <w:rsid w:val="00C97350"/>
    <w:rsid w:val="00C97462"/>
    <w:rsid w:val="00C976E4"/>
    <w:rsid w:val="00C97D2C"/>
    <w:rsid w:val="00C97FE1"/>
    <w:rsid w:val="00CA06A0"/>
    <w:rsid w:val="00CA07E4"/>
    <w:rsid w:val="00CA088C"/>
    <w:rsid w:val="00CA0BBC"/>
    <w:rsid w:val="00CA10B0"/>
    <w:rsid w:val="00CA16A5"/>
    <w:rsid w:val="00CA17D1"/>
    <w:rsid w:val="00CA17E7"/>
    <w:rsid w:val="00CA1C0E"/>
    <w:rsid w:val="00CA2567"/>
    <w:rsid w:val="00CA27A8"/>
    <w:rsid w:val="00CA27D0"/>
    <w:rsid w:val="00CA29B9"/>
    <w:rsid w:val="00CA29C3"/>
    <w:rsid w:val="00CA2A71"/>
    <w:rsid w:val="00CA2ECE"/>
    <w:rsid w:val="00CA2EE4"/>
    <w:rsid w:val="00CA3714"/>
    <w:rsid w:val="00CA3787"/>
    <w:rsid w:val="00CA3998"/>
    <w:rsid w:val="00CA3BB9"/>
    <w:rsid w:val="00CA3EB1"/>
    <w:rsid w:val="00CA4029"/>
    <w:rsid w:val="00CA429B"/>
    <w:rsid w:val="00CA48D6"/>
    <w:rsid w:val="00CA4B71"/>
    <w:rsid w:val="00CA4F7A"/>
    <w:rsid w:val="00CA529F"/>
    <w:rsid w:val="00CA5801"/>
    <w:rsid w:val="00CA5C99"/>
    <w:rsid w:val="00CA605D"/>
    <w:rsid w:val="00CA6878"/>
    <w:rsid w:val="00CA6A9E"/>
    <w:rsid w:val="00CA72F7"/>
    <w:rsid w:val="00CA767D"/>
    <w:rsid w:val="00CA7746"/>
    <w:rsid w:val="00CA7870"/>
    <w:rsid w:val="00CA7997"/>
    <w:rsid w:val="00CA7B5A"/>
    <w:rsid w:val="00CA7D39"/>
    <w:rsid w:val="00CA7F07"/>
    <w:rsid w:val="00CB0003"/>
    <w:rsid w:val="00CB04F6"/>
    <w:rsid w:val="00CB0CB5"/>
    <w:rsid w:val="00CB0E45"/>
    <w:rsid w:val="00CB14AB"/>
    <w:rsid w:val="00CB1504"/>
    <w:rsid w:val="00CB1909"/>
    <w:rsid w:val="00CB19E6"/>
    <w:rsid w:val="00CB1B5C"/>
    <w:rsid w:val="00CB1E31"/>
    <w:rsid w:val="00CB2209"/>
    <w:rsid w:val="00CB2471"/>
    <w:rsid w:val="00CB24F1"/>
    <w:rsid w:val="00CB2889"/>
    <w:rsid w:val="00CB29E1"/>
    <w:rsid w:val="00CB2A0D"/>
    <w:rsid w:val="00CB2A37"/>
    <w:rsid w:val="00CB2F01"/>
    <w:rsid w:val="00CB2F16"/>
    <w:rsid w:val="00CB31B2"/>
    <w:rsid w:val="00CB3363"/>
    <w:rsid w:val="00CB35EE"/>
    <w:rsid w:val="00CB3977"/>
    <w:rsid w:val="00CB3992"/>
    <w:rsid w:val="00CB3B58"/>
    <w:rsid w:val="00CB3F5F"/>
    <w:rsid w:val="00CB44CD"/>
    <w:rsid w:val="00CB4827"/>
    <w:rsid w:val="00CB4B24"/>
    <w:rsid w:val="00CB4B8A"/>
    <w:rsid w:val="00CB4C72"/>
    <w:rsid w:val="00CB4CFD"/>
    <w:rsid w:val="00CB5792"/>
    <w:rsid w:val="00CB5862"/>
    <w:rsid w:val="00CB5FA3"/>
    <w:rsid w:val="00CB63DD"/>
    <w:rsid w:val="00CB6464"/>
    <w:rsid w:val="00CB6AC7"/>
    <w:rsid w:val="00CB6E74"/>
    <w:rsid w:val="00CB6F6A"/>
    <w:rsid w:val="00CB7108"/>
    <w:rsid w:val="00CB7133"/>
    <w:rsid w:val="00CB715A"/>
    <w:rsid w:val="00CB7349"/>
    <w:rsid w:val="00CB756B"/>
    <w:rsid w:val="00CB75C3"/>
    <w:rsid w:val="00CB76CC"/>
    <w:rsid w:val="00CB7A64"/>
    <w:rsid w:val="00CB7D43"/>
    <w:rsid w:val="00CC0139"/>
    <w:rsid w:val="00CC01CE"/>
    <w:rsid w:val="00CC03B9"/>
    <w:rsid w:val="00CC093F"/>
    <w:rsid w:val="00CC0F06"/>
    <w:rsid w:val="00CC147A"/>
    <w:rsid w:val="00CC19B1"/>
    <w:rsid w:val="00CC1C6D"/>
    <w:rsid w:val="00CC1E9C"/>
    <w:rsid w:val="00CC229A"/>
    <w:rsid w:val="00CC26A5"/>
    <w:rsid w:val="00CC2A51"/>
    <w:rsid w:val="00CC2D8B"/>
    <w:rsid w:val="00CC2DBE"/>
    <w:rsid w:val="00CC318B"/>
    <w:rsid w:val="00CC31A7"/>
    <w:rsid w:val="00CC31F9"/>
    <w:rsid w:val="00CC3280"/>
    <w:rsid w:val="00CC3348"/>
    <w:rsid w:val="00CC33B9"/>
    <w:rsid w:val="00CC3451"/>
    <w:rsid w:val="00CC345C"/>
    <w:rsid w:val="00CC3B5B"/>
    <w:rsid w:val="00CC46AD"/>
    <w:rsid w:val="00CC472C"/>
    <w:rsid w:val="00CC486A"/>
    <w:rsid w:val="00CC4AEC"/>
    <w:rsid w:val="00CC4AF3"/>
    <w:rsid w:val="00CC4D3F"/>
    <w:rsid w:val="00CC4E25"/>
    <w:rsid w:val="00CC50F1"/>
    <w:rsid w:val="00CC5144"/>
    <w:rsid w:val="00CC5155"/>
    <w:rsid w:val="00CC5328"/>
    <w:rsid w:val="00CC56A5"/>
    <w:rsid w:val="00CC577F"/>
    <w:rsid w:val="00CC57D4"/>
    <w:rsid w:val="00CC598F"/>
    <w:rsid w:val="00CC5AE4"/>
    <w:rsid w:val="00CC5B87"/>
    <w:rsid w:val="00CC5E4E"/>
    <w:rsid w:val="00CC5F5D"/>
    <w:rsid w:val="00CC629C"/>
    <w:rsid w:val="00CC65D4"/>
    <w:rsid w:val="00CC66B8"/>
    <w:rsid w:val="00CC691E"/>
    <w:rsid w:val="00CC6A8C"/>
    <w:rsid w:val="00CC6D86"/>
    <w:rsid w:val="00CC7075"/>
    <w:rsid w:val="00CC7112"/>
    <w:rsid w:val="00CC71B9"/>
    <w:rsid w:val="00CC76F0"/>
    <w:rsid w:val="00CC77DB"/>
    <w:rsid w:val="00CC7899"/>
    <w:rsid w:val="00CC78CF"/>
    <w:rsid w:val="00CC7B54"/>
    <w:rsid w:val="00CC7C2A"/>
    <w:rsid w:val="00CC7DCF"/>
    <w:rsid w:val="00CC7EA4"/>
    <w:rsid w:val="00CD046C"/>
    <w:rsid w:val="00CD0731"/>
    <w:rsid w:val="00CD0842"/>
    <w:rsid w:val="00CD0A60"/>
    <w:rsid w:val="00CD0CA2"/>
    <w:rsid w:val="00CD0D18"/>
    <w:rsid w:val="00CD0E5C"/>
    <w:rsid w:val="00CD0E8A"/>
    <w:rsid w:val="00CD0EFF"/>
    <w:rsid w:val="00CD10D6"/>
    <w:rsid w:val="00CD1E2E"/>
    <w:rsid w:val="00CD2056"/>
    <w:rsid w:val="00CD2501"/>
    <w:rsid w:val="00CD2D41"/>
    <w:rsid w:val="00CD3365"/>
    <w:rsid w:val="00CD362B"/>
    <w:rsid w:val="00CD39B2"/>
    <w:rsid w:val="00CD3B11"/>
    <w:rsid w:val="00CD3F51"/>
    <w:rsid w:val="00CD4142"/>
    <w:rsid w:val="00CD4249"/>
    <w:rsid w:val="00CD44AB"/>
    <w:rsid w:val="00CD46F1"/>
    <w:rsid w:val="00CD4E68"/>
    <w:rsid w:val="00CD5032"/>
    <w:rsid w:val="00CD523E"/>
    <w:rsid w:val="00CD5308"/>
    <w:rsid w:val="00CD537D"/>
    <w:rsid w:val="00CD5982"/>
    <w:rsid w:val="00CD5A05"/>
    <w:rsid w:val="00CD5CFD"/>
    <w:rsid w:val="00CD5D29"/>
    <w:rsid w:val="00CD5D90"/>
    <w:rsid w:val="00CD5EE9"/>
    <w:rsid w:val="00CD5F7C"/>
    <w:rsid w:val="00CD63A3"/>
    <w:rsid w:val="00CD63DE"/>
    <w:rsid w:val="00CD6C94"/>
    <w:rsid w:val="00CD6F1D"/>
    <w:rsid w:val="00CD7033"/>
    <w:rsid w:val="00CD7372"/>
    <w:rsid w:val="00CD7A3E"/>
    <w:rsid w:val="00CD7BC9"/>
    <w:rsid w:val="00CD7D71"/>
    <w:rsid w:val="00CD7F8F"/>
    <w:rsid w:val="00CE04E6"/>
    <w:rsid w:val="00CE093A"/>
    <w:rsid w:val="00CE0BEB"/>
    <w:rsid w:val="00CE1229"/>
    <w:rsid w:val="00CE138A"/>
    <w:rsid w:val="00CE1712"/>
    <w:rsid w:val="00CE1B29"/>
    <w:rsid w:val="00CE1FE5"/>
    <w:rsid w:val="00CE2023"/>
    <w:rsid w:val="00CE242A"/>
    <w:rsid w:val="00CE25DA"/>
    <w:rsid w:val="00CE25F8"/>
    <w:rsid w:val="00CE29A0"/>
    <w:rsid w:val="00CE342C"/>
    <w:rsid w:val="00CE3883"/>
    <w:rsid w:val="00CE3B5E"/>
    <w:rsid w:val="00CE3C21"/>
    <w:rsid w:val="00CE3CD3"/>
    <w:rsid w:val="00CE3EA6"/>
    <w:rsid w:val="00CE428D"/>
    <w:rsid w:val="00CE47DD"/>
    <w:rsid w:val="00CE49D7"/>
    <w:rsid w:val="00CE4C56"/>
    <w:rsid w:val="00CE4E5E"/>
    <w:rsid w:val="00CE51AC"/>
    <w:rsid w:val="00CE54EE"/>
    <w:rsid w:val="00CE56F0"/>
    <w:rsid w:val="00CE5A83"/>
    <w:rsid w:val="00CE5D64"/>
    <w:rsid w:val="00CE6654"/>
    <w:rsid w:val="00CE6ACD"/>
    <w:rsid w:val="00CE6B24"/>
    <w:rsid w:val="00CE7070"/>
    <w:rsid w:val="00CE70A1"/>
    <w:rsid w:val="00CE714A"/>
    <w:rsid w:val="00CE751A"/>
    <w:rsid w:val="00CF069B"/>
    <w:rsid w:val="00CF081D"/>
    <w:rsid w:val="00CF08B0"/>
    <w:rsid w:val="00CF09CC"/>
    <w:rsid w:val="00CF0B08"/>
    <w:rsid w:val="00CF0CEB"/>
    <w:rsid w:val="00CF0EB8"/>
    <w:rsid w:val="00CF0F94"/>
    <w:rsid w:val="00CF106B"/>
    <w:rsid w:val="00CF16E1"/>
    <w:rsid w:val="00CF1AE6"/>
    <w:rsid w:val="00CF1E7D"/>
    <w:rsid w:val="00CF1FE5"/>
    <w:rsid w:val="00CF2298"/>
    <w:rsid w:val="00CF2576"/>
    <w:rsid w:val="00CF26A3"/>
    <w:rsid w:val="00CF2736"/>
    <w:rsid w:val="00CF2AA0"/>
    <w:rsid w:val="00CF2B75"/>
    <w:rsid w:val="00CF2D9F"/>
    <w:rsid w:val="00CF300A"/>
    <w:rsid w:val="00CF3122"/>
    <w:rsid w:val="00CF32EF"/>
    <w:rsid w:val="00CF3474"/>
    <w:rsid w:val="00CF3686"/>
    <w:rsid w:val="00CF371D"/>
    <w:rsid w:val="00CF3A2B"/>
    <w:rsid w:val="00CF3B67"/>
    <w:rsid w:val="00CF40B1"/>
    <w:rsid w:val="00CF420C"/>
    <w:rsid w:val="00CF428F"/>
    <w:rsid w:val="00CF429C"/>
    <w:rsid w:val="00CF462D"/>
    <w:rsid w:val="00CF4642"/>
    <w:rsid w:val="00CF46D5"/>
    <w:rsid w:val="00CF4ACE"/>
    <w:rsid w:val="00CF4C77"/>
    <w:rsid w:val="00CF4E8C"/>
    <w:rsid w:val="00CF5191"/>
    <w:rsid w:val="00CF559E"/>
    <w:rsid w:val="00CF5802"/>
    <w:rsid w:val="00CF58E1"/>
    <w:rsid w:val="00CF5ABA"/>
    <w:rsid w:val="00CF5B66"/>
    <w:rsid w:val="00CF5D9A"/>
    <w:rsid w:val="00CF734C"/>
    <w:rsid w:val="00CF74F2"/>
    <w:rsid w:val="00CF75AB"/>
    <w:rsid w:val="00CF7653"/>
    <w:rsid w:val="00CF77E4"/>
    <w:rsid w:val="00CF782F"/>
    <w:rsid w:val="00CF7A0F"/>
    <w:rsid w:val="00CF7E0F"/>
    <w:rsid w:val="00CF7F26"/>
    <w:rsid w:val="00D00705"/>
    <w:rsid w:val="00D008E0"/>
    <w:rsid w:val="00D0096A"/>
    <w:rsid w:val="00D00B57"/>
    <w:rsid w:val="00D0110B"/>
    <w:rsid w:val="00D01234"/>
    <w:rsid w:val="00D01A07"/>
    <w:rsid w:val="00D01D2B"/>
    <w:rsid w:val="00D01E9F"/>
    <w:rsid w:val="00D01F74"/>
    <w:rsid w:val="00D02071"/>
    <w:rsid w:val="00D0208E"/>
    <w:rsid w:val="00D024D9"/>
    <w:rsid w:val="00D0251C"/>
    <w:rsid w:val="00D029A4"/>
    <w:rsid w:val="00D02C8D"/>
    <w:rsid w:val="00D02CD9"/>
    <w:rsid w:val="00D02D74"/>
    <w:rsid w:val="00D02E18"/>
    <w:rsid w:val="00D02F2E"/>
    <w:rsid w:val="00D030EC"/>
    <w:rsid w:val="00D03E16"/>
    <w:rsid w:val="00D040AF"/>
    <w:rsid w:val="00D047B0"/>
    <w:rsid w:val="00D048A7"/>
    <w:rsid w:val="00D049F7"/>
    <w:rsid w:val="00D04CD1"/>
    <w:rsid w:val="00D04D65"/>
    <w:rsid w:val="00D04E52"/>
    <w:rsid w:val="00D0516C"/>
    <w:rsid w:val="00D0520C"/>
    <w:rsid w:val="00D054A2"/>
    <w:rsid w:val="00D0555B"/>
    <w:rsid w:val="00D05994"/>
    <w:rsid w:val="00D05B2F"/>
    <w:rsid w:val="00D05B6A"/>
    <w:rsid w:val="00D05C08"/>
    <w:rsid w:val="00D05C37"/>
    <w:rsid w:val="00D05F08"/>
    <w:rsid w:val="00D06005"/>
    <w:rsid w:val="00D060DE"/>
    <w:rsid w:val="00D0611A"/>
    <w:rsid w:val="00D064A8"/>
    <w:rsid w:val="00D064E2"/>
    <w:rsid w:val="00D065E6"/>
    <w:rsid w:val="00D06624"/>
    <w:rsid w:val="00D0674D"/>
    <w:rsid w:val="00D06E66"/>
    <w:rsid w:val="00D06F8D"/>
    <w:rsid w:val="00D06FF2"/>
    <w:rsid w:val="00D071DF"/>
    <w:rsid w:val="00D077D9"/>
    <w:rsid w:val="00D07E98"/>
    <w:rsid w:val="00D102D3"/>
    <w:rsid w:val="00D103DC"/>
    <w:rsid w:val="00D107A5"/>
    <w:rsid w:val="00D1131B"/>
    <w:rsid w:val="00D1132E"/>
    <w:rsid w:val="00D113B7"/>
    <w:rsid w:val="00D1141F"/>
    <w:rsid w:val="00D11736"/>
    <w:rsid w:val="00D118FF"/>
    <w:rsid w:val="00D11CD2"/>
    <w:rsid w:val="00D1200A"/>
    <w:rsid w:val="00D12887"/>
    <w:rsid w:val="00D12EE3"/>
    <w:rsid w:val="00D1308B"/>
    <w:rsid w:val="00D1348B"/>
    <w:rsid w:val="00D13547"/>
    <w:rsid w:val="00D1362D"/>
    <w:rsid w:val="00D13DB1"/>
    <w:rsid w:val="00D140A4"/>
    <w:rsid w:val="00D14507"/>
    <w:rsid w:val="00D14843"/>
    <w:rsid w:val="00D14AB8"/>
    <w:rsid w:val="00D14C2A"/>
    <w:rsid w:val="00D14C5A"/>
    <w:rsid w:val="00D14C6C"/>
    <w:rsid w:val="00D14FBF"/>
    <w:rsid w:val="00D151CD"/>
    <w:rsid w:val="00D15313"/>
    <w:rsid w:val="00D15755"/>
    <w:rsid w:val="00D15AE0"/>
    <w:rsid w:val="00D15B32"/>
    <w:rsid w:val="00D15E07"/>
    <w:rsid w:val="00D16005"/>
    <w:rsid w:val="00D16492"/>
    <w:rsid w:val="00D16587"/>
    <w:rsid w:val="00D16AAA"/>
    <w:rsid w:val="00D173A5"/>
    <w:rsid w:val="00D174F0"/>
    <w:rsid w:val="00D175E1"/>
    <w:rsid w:val="00D1768C"/>
    <w:rsid w:val="00D17F21"/>
    <w:rsid w:val="00D20003"/>
    <w:rsid w:val="00D20140"/>
    <w:rsid w:val="00D20207"/>
    <w:rsid w:val="00D20232"/>
    <w:rsid w:val="00D20701"/>
    <w:rsid w:val="00D20A29"/>
    <w:rsid w:val="00D20FA6"/>
    <w:rsid w:val="00D21013"/>
    <w:rsid w:val="00D2164D"/>
    <w:rsid w:val="00D2183C"/>
    <w:rsid w:val="00D21A2E"/>
    <w:rsid w:val="00D21A65"/>
    <w:rsid w:val="00D21D34"/>
    <w:rsid w:val="00D21E34"/>
    <w:rsid w:val="00D21E48"/>
    <w:rsid w:val="00D2245F"/>
    <w:rsid w:val="00D227F8"/>
    <w:rsid w:val="00D22DCF"/>
    <w:rsid w:val="00D230D8"/>
    <w:rsid w:val="00D2349B"/>
    <w:rsid w:val="00D2367B"/>
    <w:rsid w:val="00D2391E"/>
    <w:rsid w:val="00D239C7"/>
    <w:rsid w:val="00D239DA"/>
    <w:rsid w:val="00D23E88"/>
    <w:rsid w:val="00D242C0"/>
    <w:rsid w:val="00D243E2"/>
    <w:rsid w:val="00D244DC"/>
    <w:rsid w:val="00D24545"/>
    <w:rsid w:val="00D245E5"/>
    <w:rsid w:val="00D248B7"/>
    <w:rsid w:val="00D249DF"/>
    <w:rsid w:val="00D24BDA"/>
    <w:rsid w:val="00D24E5C"/>
    <w:rsid w:val="00D25006"/>
    <w:rsid w:val="00D2523A"/>
    <w:rsid w:val="00D253F3"/>
    <w:rsid w:val="00D25475"/>
    <w:rsid w:val="00D254A6"/>
    <w:rsid w:val="00D25E57"/>
    <w:rsid w:val="00D2601D"/>
    <w:rsid w:val="00D26287"/>
    <w:rsid w:val="00D262AC"/>
    <w:rsid w:val="00D26447"/>
    <w:rsid w:val="00D267E4"/>
    <w:rsid w:val="00D269B2"/>
    <w:rsid w:val="00D269E0"/>
    <w:rsid w:val="00D27144"/>
    <w:rsid w:val="00D27C83"/>
    <w:rsid w:val="00D27FAA"/>
    <w:rsid w:val="00D30075"/>
    <w:rsid w:val="00D306B6"/>
    <w:rsid w:val="00D3092E"/>
    <w:rsid w:val="00D30B71"/>
    <w:rsid w:val="00D30D72"/>
    <w:rsid w:val="00D3108F"/>
    <w:rsid w:val="00D312F7"/>
    <w:rsid w:val="00D313E8"/>
    <w:rsid w:val="00D31796"/>
    <w:rsid w:val="00D31823"/>
    <w:rsid w:val="00D31858"/>
    <w:rsid w:val="00D31A6A"/>
    <w:rsid w:val="00D31CF9"/>
    <w:rsid w:val="00D31F85"/>
    <w:rsid w:val="00D32341"/>
    <w:rsid w:val="00D323DC"/>
    <w:rsid w:val="00D32609"/>
    <w:rsid w:val="00D326CF"/>
    <w:rsid w:val="00D328FE"/>
    <w:rsid w:val="00D3364D"/>
    <w:rsid w:val="00D33731"/>
    <w:rsid w:val="00D33A8C"/>
    <w:rsid w:val="00D33B99"/>
    <w:rsid w:val="00D3412E"/>
    <w:rsid w:val="00D342A2"/>
    <w:rsid w:val="00D3445C"/>
    <w:rsid w:val="00D3487B"/>
    <w:rsid w:val="00D34981"/>
    <w:rsid w:val="00D34A1A"/>
    <w:rsid w:val="00D35533"/>
    <w:rsid w:val="00D358E5"/>
    <w:rsid w:val="00D35BAF"/>
    <w:rsid w:val="00D35DC1"/>
    <w:rsid w:val="00D35E7E"/>
    <w:rsid w:val="00D35FE3"/>
    <w:rsid w:val="00D3601B"/>
    <w:rsid w:val="00D360D4"/>
    <w:rsid w:val="00D361D8"/>
    <w:rsid w:val="00D361DD"/>
    <w:rsid w:val="00D36700"/>
    <w:rsid w:val="00D36EFD"/>
    <w:rsid w:val="00D37013"/>
    <w:rsid w:val="00D37211"/>
    <w:rsid w:val="00D3745D"/>
    <w:rsid w:val="00D374F3"/>
    <w:rsid w:val="00D379B4"/>
    <w:rsid w:val="00D37B2F"/>
    <w:rsid w:val="00D37B6E"/>
    <w:rsid w:val="00D37D6B"/>
    <w:rsid w:val="00D37DED"/>
    <w:rsid w:val="00D37E22"/>
    <w:rsid w:val="00D37E86"/>
    <w:rsid w:val="00D37F25"/>
    <w:rsid w:val="00D401B4"/>
    <w:rsid w:val="00D40316"/>
    <w:rsid w:val="00D4039D"/>
    <w:rsid w:val="00D406F1"/>
    <w:rsid w:val="00D40787"/>
    <w:rsid w:val="00D40BA8"/>
    <w:rsid w:val="00D40D08"/>
    <w:rsid w:val="00D40DFF"/>
    <w:rsid w:val="00D413BF"/>
    <w:rsid w:val="00D4195B"/>
    <w:rsid w:val="00D419BD"/>
    <w:rsid w:val="00D41AF5"/>
    <w:rsid w:val="00D41B09"/>
    <w:rsid w:val="00D41F36"/>
    <w:rsid w:val="00D42292"/>
    <w:rsid w:val="00D4239D"/>
    <w:rsid w:val="00D426B1"/>
    <w:rsid w:val="00D427E7"/>
    <w:rsid w:val="00D42826"/>
    <w:rsid w:val="00D42845"/>
    <w:rsid w:val="00D42C93"/>
    <w:rsid w:val="00D42F32"/>
    <w:rsid w:val="00D42FB3"/>
    <w:rsid w:val="00D43927"/>
    <w:rsid w:val="00D43A5C"/>
    <w:rsid w:val="00D43BD4"/>
    <w:rsid w:val="00D43C22"/>
    <w:rsid w:val="00D43F5C"/>
    <w:rsid w:val="00D441BA"/>
    <w:rsid w:val="00D444AF"/>
    <w:rsid w:val="00D446C7"/>
    <w:rsid w:val="00D448F3"/>
    <w:rsid w:val="00D44AD6"/>
    <w:rsid w:val="00D44B32"/>
    <w:rsid w:val="00D44C29"/>
    <w:rsid w:val="00D44D09"/>
    <w:rsid w:val="00D44D0C"/>
    <w:rsid w:val="00D45502"/>
    <w:rsid w:val="00D455F6"/>
    <w:rsid w:val="00D4578A"/>
    <w:rsid w:val="00D45AE1"/>
    <w:rsid w:val="00D4602F"/>
    <w:rsid w:val="00D4624A"/>
    <w:rsid w:val="00D46338"/>
    <w:rsid w:val="00D467CD"/>
    <w:rsid w:val="00D469ED"/>
    <w:rsid w:val="00D46D64"/>
    <w:rsid w:val="00D46DC8"/>
    <w:rsid w:val="00D46F33"/>
    <w:rsid w:val="00D47036"/>
    <w:rsid w:val="00D471CF"/>
    <w:rsid w:val="00D47786"/>
    <w:rsid w:val="00D478D7"/>
    <w:rsid w:val="00D47B58"/>
    <w:rsid w:val="00D50264"/>
    <w:rsid w:val="00D502C9"/>
    <w:rsid w:val="00D507F6"/>
    <w:rsid w:val="00D508DF"/>
    <w:rsid w:val="00D5127A"/>
    <w:rsid w:val="00D512DA"/>
    <w:rsid w:val="00D513B3"/>
    <w:rsid w:val="00D51439"/>
    <w:rsid w:val="00D51727"/>
    <w:rsid w:val="00D5188E"/>
    <w:rsid w:val="00D51BD1"/>
    <w:rsid w:val="00D51D30"/>
    <w:rsid w:val="00D51F1B"/>
    <w:rsid w:val="00D520E6"/>
    <w:rsid w:val="00D522AC"/>
    <w:rsid w:val="00D52465"/>
    <w:rsid w:val="00D52630"/>
    <w:rsid w:val="00D52737"/>
    <w:rsid w:val="00D527A0"/>
    <w:rsid w:val="00D527AB"/>
    <w:rsid w:val="00D52919"/>
    <w:rsid w:val="00D52CBC"/>
    <w:rsid w:val="00D53779"/>
    <w:rsid w:val="00D53CC4"/>
    <w:rsid w:val="00D53D65"/>
    <w:rsid w:val="00D5404C"/>
    <w:rsid w:val="00D546F5"/>
    <w:rsid w:val="00D54736"/>
    <w:rsid w:val="00D54B65"/>
    <w:rsid w:val="00D550D3"/>
    <w:rsid w:val="00D55103"/>
    <w:rsid w:val="00D5513D"/>
    <w:rsid w:val="00D55B01"/>
    <w:rsid w:val="00D55B68"/>
    <w:rsid w:val="00D55C60"/>
    <w:rsid w:val="00D55CF8"/>
    <w:rsid w:val="00D55E40"/>
    <w:rsid w:val="00D560A0"/>
    <w:rsid w:val="00D561EE"/>
    <w:rsid w:val="00D569B2"/>
    <w:rsid w:val="00D5754A"/>
    <w:rsid w:val="00D578D9"/>
    <w:rsid w:val="00D57B18"/>
    <w:rsid w:val="00D57D61"/>
    <w:rsid w:val="00D57F68"/>
    <w:rsid w:val="00D6045E"/>
    <w:rsid w:val="00D604FE"/>
    <w:rsid w:val="00D60660"/>
    <w:rsid w:val="00D609B3"/>
    <w:rsid w:val="00D60ACA"/>
    <w:rsid w:val="00D60E33"/>
    <w:rsid w:val="00D615E5"/>
    <w:rsid w:val="00D61717"/>
    <w:rsid w:val="00D617AF"/>
    <w:rsid w:val="00D61963"/>
    <w:rsid w:val="00D619A3"/>
    <w:rsid w:val="00D619A7"/>
    <w:rsid w:val="00D61C77"/>
    <w:rsid w:val="00D61D43"/>
    <w:rsid w:val="00D61F25"/>
    <w:rsid w:val="00D62223"/>
    <w:rsid w:val="00D62225"/>
    <w:rsid w:val="00D623F9"/>
    <w:rsid w:val="00D627F6"/>
    <w:rsid w:val="00D6296D"/>
    <w:rsid w:val="00D62EAE"/>
    <w:rsid w:val="00D62F3C"/>
    <w:rsid w:val="00D6306A"/>
    <w:rsid w:val="00D63A8D"/>
    <w:rsid w:val="00D63BD1"/>
    <w:rsid w:val="00D641E2"/>
    <w:rsid w:val="00D64245"/>
    <w:rsid w:val="00D643A5"/>
    <w:rsid w:val="00D646DE"/>
    <w:rsid w:val="00D64B79"/>
    <w:rsid w:val="00D64E74"/>
    <w:rsid w:val="00D65260"/>
    <w:rsid w:val="00D657C9"/>
    <w:rsid w:val="00D65EAA"/>
    <w:rsid w:val="00D65EC1"/>
    <w:rsid w:val="00D66220"/>
    <w:rsid w:val="00D6666B"/>
    <w:rsid w:val="00D668B8"/>
    <w:rsid w:val="00D66AB3"/>
    <w:rsid w:val="00D66BD7"/>
    <w:rsid w:val="00D66CE6"/>
    <w:rsid w:val="00D67094"/>
    <w:rsid w:val="00D6732D"/>
    <w:rsid w:val="00D67379"/>
    <w:rsid w:val="00D67C32"/>
    <w:rsid w:val="00D70373"/>
    <w:rsid w:val="00D703FE"/>
    <w:rsid w:val="00D70822"/>
    <w:rsid w:val="00D70A80"/>
    <w:rsid w:val="00D70E34"/>
    <w:rsid w:val="00D710DF"/>
    <w:rsid w:val="00D71106"/>
    <w:rsid w:val="00D71389"/>
    <w:rsid w:val="00D7165F"/>
    <w:rsid w:val="00D716EA"/>
    <w:rsid w:val="00D71981"/>
    <w:rsid w:val="00D71F38"/>
    <w:rsid w:val="00D7200B"/>
    <w:rsid w:val="00D725C3"/>
    <w:rsid w:val="00D72933"/>
    <w:rsid w:val="00D72B33"/>
    <w:rsid w:val="00D7317C"/>
    <w:rsid w:val="00D73A8F"/>
    <w:rsid w:val="00D73B49"/>
    <w:rsid w:val="00D743A9"/>
    <w:rsid w:val="00D74601"/>
    <w:rsid w:val="00D7486B"/>
    <w:rsid w:val="00D74B11"/>
    <w:rsid w:val="00D74F5A"/>
    <w:rsid w:val="00D74F63"/>
    <w:rsid w:val="00D750EB"/>
    <w:rsid w:val="00D7515C"/>
    <w:rsid w:val="00D751A6"/>
    <w:rsid w:val="00D7537B"/>
    <w:rsid w:val="00D757BE"/>
    <w:rsid w:val="00D759A9"/>
    <w:rsid w:val="00D759E1"/>
    <w:rsid w:val="00D75A5A"/>
    <w:rsid w:val="00D75B87"/>
    <w:rsid w:val="00D75D82"/>
    <w:rsid w:val="00D760B7"/>
    <w:rsid w:val="00D760D8"/>
    <w:rsid w:val="00D76473"/>
    <w:rsid w:val="00D76A05"/>
    <w:rsid w:val="00D76B4C"/>
    <w:rsid w:val="00D76C86"/>
    <w:rsid w:val="00D77320"/>
    <w:rsid w:val="00D77393"/>
    <w:rsid w:val="00D774B2"/>
    <w:rsid w:val="00D7753D"/>
    <w:rsid w:val="00D77567"/>
    <w:rsid w:val="00D7758D"/>
    <w:rsid w:val="00D77654"/>
    <w:rsid w:val="00D77BBA"/>
    <w:rsid w:val="00D77DFC"/>
    <w:rsid w:val="00D80064"/>
    <w:rsid w:val="00D8010A"/>
    <w:rsid w:val="00D80492"/>
    <w:rsid w:val="00D80D04"/>
    <w:rsid w:val="00D80D55"/>
    <w:rsid w:val="00D80D9D"/>
    <w:rsid w:val="00D80ECA"/>
    <w:rsid w:val="00D80F3E"/>
    <w:rsid w:val="00D8158A"/>
    <w:rsid w:val="00D81805"/>
    <w:rsid w:val="00D8188A"/>
    <w:rsid w:val="00D8190F"/>
    <w:rsid w:val="00D81914"/>
    <w:rsid w:val="00D8199A"/>
    <w:rsid w:val="00D81D5C"/>
    <w:rsid w:val="00D81EA3"/>
    <w:rsid w:val="00D81EFD"/>
    <w:rsid w:val="00D81FAD"/>
    <w:rsid w:val="00D820FF"/>
    <w:rsid w:val="00D826ED"/>
    <w:rsid w:val="00D82B6A"/>
    <w:rsid w:val="00D82C21"/>
    <w:rsid w:val="00D831EC"/>
    <w:rsid w:val="00D83515"/>
    <w:rsid w:val="00D837CF"/>
    <w:rsid w:val="00D8400A"/>
    <w:rsid w:val="00D849C4"/>
    <w:rsid w:val="00D84F30"/>
    <w:rsid w:val="00D84F46"/>
    <w:rsid w:val="00D84F53"/>
    <w:rsid w:val="00D8504C"/>
    <w:rsid w:val="00D851B8"/>
    <w:rsid w:val="00D85447"/>
    <w:rsid w:val="00D8574F"/>
    <w:rsid w:val="00D85852"/>
    <w:rsid w:val="00D858A9"/>
    <w:rsid w:val="00D858CF"/>
    <w:rsid w:val="00D85ADB"/>
    <w:rsid w:val="00D85D30"/>
    <w:rsid w:val="00D8620D"/>
    <w:rsid w:val="00D86EAE"/>
    <w:rsid w:val="00D871B0"/>
    <w:rsid w:val="00D8749A"/>
    <w:rsid w:val="00D877DC"/>
    <w:rsid w:val="00D878CF"/>
    <w:rsid w:val="00D8791C"/>
    <w:rsid w:val="00D87A01"/>
    <w:rsid w:val="00D87D75"/>
    <w:rsid w:val="00D90803"/>
    <w:rsid w:val="00D9082E"/>
    <w:rsid w:val="00D90C11"/>
    <w:rsid w:val="00D91023"/>
    <w:rsid w:val="00D910E5"/>
    <w:rsid w:val="00D910F2"/>
    <w:rsid w:val="00D914E7"/>
    <w:rsid w:val="00D91640"/>
    <w:rsid w:val="00D9177D"/>
    <w:rsid w:val="00D917E2"/>
    <w:rsid w:val="00D91905"/>
    <w:rsid w:val="00D91B73"/>
    <w:rsid w:val="00D91C16"/>
    <w:rsid w:val="00D91E66"/>
    <w:rsid w:val="00D91FD6"/>
    <w:rsid w:val="00D922E0"/>
    <w:rsid w:val="00D923AB"/>
    <w:rsid w:val="00D9251D"/>
    <w:rsid w:val="00D925ED"/>
    <w:rsid w:val="00D92666"/>
    <w:rsid w:val="00D9269D"/>
    <w:rsid w:val="00D9288C"/>
    <w:rsid w:val="00D928F3"/>
    <w:rsid w:val="00D929AE"/>
    <w:rsid w:val="00D929F3"/>
    <w:rsid w:val="00D92C1C"/>
    <w:rsid w:val="00D93508"/>
    <w:rsid w:val="00D9353D"/>
    <w:rsid w:val="00D936C9"/>
    <w:rsid w:val="00D936D6"/>
    <w:rsid w:val="00D936D7"/>
    <w:rsid w:val="00D9380D"/>
    <w:rsid w:val="00D93B9D"/>
    <w:rsid w:val="00D93CC9"/>
    <w:rsid w:val="00D93DB9"/>
    <w:rsid w:val="00D9422D"/>
    <w:rsid w:val="00D943D4"/>
    <w:rsid w:val="00D94459"/>
    <w:rsid w:val="00D944CB"/>
    <w:rsid w:val="00D94967"/>
    <w:rsid w:val="00D94AF5"/>
    <w:rsid w:val="00D94DEE"/>
    <w:rsid w:val="00D9526B"/>
    <w:rsid w:val="00D9599A"/>
    <w:rsid w:val="00D95D07"/>
    <w:rsid w:val="00D95D8F"/>
    <w:rsid w:val="00D95D9D"/>
    <w:rsid w:val="00D96209"/>
    <w:rsid w:val="00D96501"/>
    <w:rsid w:val="00D96CE0"/>
    <w:rsid w:val="00D97033"/>
    <w:rsid w:val="00D9705B"/>
    <w:rsid w:val="00D97244"/>
    <w:rsid w:val="00D97658"/>
    <w:rsid w:val="00D97679"/>
    <w:rsid w:val="00D97C71"/>
    <w:rsid w:val="00DA052A"/>
    <w:rsid w:val="00DA0A20"/>
    <w:rsid w:val="00DA111F"/>
    <w:rsid w:val="00DA1415"/>
    <w:rsid w:val="00DA144D"/>
    <w:rsid w:val="00DA19C5"/>
    <w:rsid w:val="00DA1CB8"/>
    <w:rsid w:val="00DA23EB"/>
    <w:rsid w:val="00DA267D"/>
    <w:rsid w:val="00DA26DF"/>
    <w:rsid w:val="00DA29D9"/>
    <w:rsid w:val="00DA2AA3"/>
    <w:rsid w:val="00DA2C56"/>
    <w:rsid w:val="00DA2D0C"/>
    <w:rsid w:val="00DA2FC4"/>
    <w:rsid w:val="00DA2FEE"/>
    <w:rsid w:val="00DA31A4"/>
    <w:rsid w:val="00DA3322"/>
    <w:rsid w:val="00DA34F4"/>
    <w:rsid w:val="00DA3893"/>
    <w:rsid w:val="00DA3C11"/>
    <w:rsid w:val="00DA414E"/>
    <w:rsid w:val="00DA42E5"/>
    <w:rsid w:val="00DA49DD"/>
    <w:rsid w:val="00DA49E8"/>
    <w:rsid w:val="00DA4BBA"/>
    <w:rsid w:val="00DA4E69"/>
    <w:rsid w:val="00DA4E9F"/>
    <w:rsid w:val="00DA4F72"/>
    <w:rsid w:val="00DA516A"/>
    <w:rsid w:val="00DA55EA"/>
    <w:rsid w:val="00DA5675"/>
    <w:rsid w:val="00DA58BE"/>
    <w:rsid w:val="00DA5A8E"/>
    <w:rsid w:val="00DA5E0E"/>
    <w:rsid w:val="00DA631F"/>
    <w:rsid w:val="00DA6503"/>
    <w:rsid w:val="00DA65B4"/>
    <w:rsid w:val="00DA6727"/>
    <w:rsid w:val="00DA6794"/>
    <w:rsid w:val="00DA6A76"/>
    <w:rsid w:val="00DA6D9D"/>
    <w:rsid w:val="00DA6EC8"/>
    <w:rsid w:val="00DA7353"/>
    <w:rsid w:val="00DA7C97"/>
    <w:rsid w:val="00DA7E22"/>
    <w:rsid w:val="00DA7EC9"/>
    <w:rsid w:val="00DB015E"/>
    <w:rsid w:val="00DB01A8"/>
    <w:rsid w:val="00DB0521"/>
    <w:rsid w:val="00DB0559"/>
    <w:rsid w:val="00DB0653"/>
    <w:rsid w:val="00DB071F"/>
    <w:rsid w:val="00DB0731"/>
    <w:rsid w:val="00DB0C0F"/>
    <w:rsid w:val="00DB0C24"/>
    <w:rsid w:val="00DB0C47"/>
    <w:rsid w:val="00DB0E16"/>
    <w:rsid w:val="00DB0E30"/>
    <w:rsid w:val="00DB1260"/>
    <w:rsid w:val="00DB1518"/>
    <w:rsid w:val="00DB1C9E"/>
    <w:rsid w:val="00DB20E9"/>
    <w:rsid w:val="00DB2229"/>
    <w:rsid w:val="00DB24CE"/>
    <w:rsid w:val="00DB256A"/>
    <w:rsid w:val="00DB26F1"/>
    <w:rsid w:val="00DB2F41"/>
    <w:rsid w:val="00DB3008"/>
    <w:rsid w:val="00DB32C6"/>
    <w:rsid w:val="00DB33F7"/>
    <w:rsid w:val="00DB3439"/>
    <w:rsid w:val="00DB3618"/>
    <w:rsid w:val="00DB36A2"/>
    <w:rsid w:val="00DB3777"/>
    <w:rsid w:val="00DB37EA"/>
    <w:rsid w:val="00DB3816"/>
    <w:rsid w:val="00DB3956"/>
    <w:rsid w:val="00DB3D2C"/>
    <w:rsid w:val="00DB41F5"/>
    <w:rsid w:val="00DB48EE"/>
    <w:rsid w:val="00DB4B09"/>
    <w:rsid w:val="00DB4C9B"/>
    <w:rsid w:val="00DB4F30"/>
    <w:rsid w:val="00DB51F3"/>
    <w:rsid w:val="00DB52C7"/>
    <w:rsid w:val="00DB537B"/>
    <w:rsid w:val="00DB5450"/>
    <w:rsid w:val="00DB5663"/>
    <w:rsid w:val="00DB56EE"/>
    <w:rsid w:val="00DB596C"/>
    <w:rsid w:val="00DB5977"/>
    <w:rsid w:val="00DB5A89"/>
    <w:rsid w:val="00DB5C37"/>
    <w:rsid w:val="00DB6310"/>
    <w:rsid w:val="00DB64D0"/>
    <w:rsid w:val="00DB65B3"/>
    <w:rsid w:val="00DB6823"/>
    <w:rsid w:val="00DB6923"/>
    <w:rsid w:val="00DB6AC9"/>
    <w:rsid w:val="00DB74E7"/>
    <w:rsid w:val="00DB7929"/>
    <w:rsid w:val="00DB7A4C"/>
    <w:rsid w:val="00DB7A8D"/>
    <w:rsid w:val="00DB7BB3"/>
    <w:rsid w:val="00DB7D24"/>
    <w:rsid w:val="00DB7EAD"/>
    <w:rsid w:val="00DB7EF7"/>
    <w:rsid w:val="00DC0108"/>
    <w:rsid w:val="00DC03C9"/>
    <w:rsid w:val="00DC070E"/>
    <w:rsid w:val="00DC0F6E"/>
    <w:rsid w:val="00DC0F91"/>
    <w:rsid w:val="00DC1053"/>
    <w:rsid w:val="00DC1338"/>
    <w:rsid w:val="00DC15F1"/>
    <w:rsid w:val="00DC1685"/>
    <w:rsid w:val="00DC16BA"/>
    <w:rsid w:val="00DC1A19"/>
    <w:rsid w:val="00DC1D3A"/>
    <w:rsid w:val="00DC220C"/>
    <w:rsid w:val="00DC250D"/>
    <w:rsid w:val="00DC26F9"/>
    <w:rsid w:val="00DC2B1E"/>
    <w:rsid w:val="00DC2E01"/>
    <w:rsid w:val="00DC2E6D"/>
    <w:rsid w:val="00DC2F70"/>
    <w:rsid w:val="00DC3019"/>
    <w:rsid w:val="00DC30C0"/>
    <w:rsid w:val="00DC30FA"/>
    <w:rsid w:val="00DC33F0"/>
    <w:rsid w:val="00DC381D"/>
    <w:rsid w:val="00DC3849"/>
    <w:rsid w:val="00DC38AF"/>
    <w:rsid w:val="00DC38D5"/>
    <w:rsid w:val="00DC3D3F"/>
    <w:rsid w:val="00DC4085"/>
    <w:rsid w:val="00DC44AB"/>
    <w:rsid w:val="00DC5058"/>
    <w:rsid w:val="00DC50D6"/>
    <w:rsid w:val="00DC544D"/>
    <w:rsid w:val="00DC5604"/>
    <w:rsid w:val="00DC575C"/>
    <w:rsid w:val="00DC58E4"/>
    <w:rsid w:val="00DC5A47"/>
    <w:rsid w:val="00DC5B5B"/>
    <w:rsid w:val="00DC5BB2"/>
    <w:rsid w:val="00DC5FFD"/>
    <w:rsid w:val="00DC6213"/>
    <w:rsid w:val="00DC6356"/>
    <w:rsid w:val="00DC66A2"/>
    <w:rsid w:val="00DC68B6"/>
    <w:rsid w:val="00DC6E9F"/>
    <w:rsid w:val="00DC6F93"/>
    <w:rsid w:val="00DC75BE"/>
    <w:rsid w:val="00DC7A9A"/>
    <w:rsid w:val="00DC7C51"/>
    <w:rsid w:val="00DC7CEE"/>
    <w:rsid w:val="00DC7DDC"/>
    <w:rsid w:val="00DD002C"/>
    <w:rsid w:val="00DD0473"/>
    <w:rsid w:val="00DD0B1F"/>
    <w:rsid w:val="00DD0B44"/>
    <w:rsid w:val="00DD0B64"/>
    <w:rsid w:val="00DD0D32"/>
    <w:rsid w:val="00DD0EA0"/>
    <w:rsid w:val="00DD0F41"/>
    <w:rsid w:val="00DD1569"/>
    <w:rsid w:val="00DD1725"/>
    <w:rsid w:val="00DD18FF"/>
    <w:rsid w:val="00DD19E2"/>
    <w:rsid w:val="00DD1A3F"/>
    <w:rsid w:val="00DD1CD6"/>
    <w:rsid w:val="00DD1FCF"/>
    <w:rsid w:val="00DD20C9"/>
    <w:rsid w:val="00DD21F9"/>
    <w:rsid w:val="00DD248E"/>
    <w:rsid w:val="00DD281C"/>
    <w:rsid w:val="00DD2D15"/>
    <w:rsid w:val="00DD2D79"/>
    <w:rsid w:val="00DD2E25"/>
    <w:rsid w:val="00DD3028"/>
    <w:rsid w:val="00DD307D"/>
    <w:rsid w:val="00DD37B3"/>
    <w:rsid w:val="00DD3981"/>
    <w:rsid w:val="00DD3B9D"/>
    <w:rsid w:val="00DD3C74"/>
    <w:rsid w:val="00DD4284"/>
    <w:rsid w:val="00DD4417"/>
    <w:rsid w:val="00DD4739"/>
    <w:rsid w:val="00DD4823"/>
    <w:rsid w:val="00DD4888"/>
    <w:rsid w:val="00DD4899"/>
    <w:rsid w:val="00DD4B44"/>
    <w:rsid w:val="00DD4C99"/>
    <w:rsid w:val="00DD51FB"/>
    <w:rsid w:val="00DD53BD"/>
    <w:rsid w:val="00DD5892"/>
    <w:rsid w:val="00DD5AAD"/>
    <w:rsid w:val="00DD5BF5"/>
    <w:rsid w:val="00DD5F9A"/>
    <w:rsid w:val="00DD6034"/>
    <w:rsid w:val="00DD611F"/>
    <w:rsid w:val="00DD690E"/>
    <w:rsid w:val="00DD6F6B"/>
    <w:rsid w:val="00DD70F5"/>
    <w:rsid w:val="00DD7C31"/>
    <w:rsid w:val="00DE0444"/>
    <w:rsid w:val="00DE071B"/>
    <w:rsid w:val="00DE07BA"/>
    <w:rsid w:val="00DE0AA8"/>
    <w:rsid w:val="00DE0C29"/>
    <w:rsid w:val="00DE0C78"/>
    <w:rsid w:val="00DE0E38"/>
    <w:rsid w:val="00DE0E90"/>
    <w:rsid w:val="00DE0FE7"/>
    <w:rsid w:val="00DE1100"/>
    <w:rsid w:val="00DE13D8"/>
    <w:rsid w:val="00DE17AB"/>
    <w:rsid w:val="00DE1A3C"/>
    <w:rsid w:val="00DE2BC5"/>
    <w:rsid w:val="00DE2C94"/>
    <w:rsid w:val="00DE2D38"/>
    <w:rsid w:val="00DE2DFE"/>
    <w:rsid w:val="00DE2E51"/>
    <w:rsid w:val="00DE2EFE"/>
    <w:rsid w:val="00DE3127"/>
    <w:rsid w:val="00DE32D0"/>
    <w:rsid w:val="00DE388E"/>
    <w:rsid w:val="00DE40B4"/>
    <w:rsid w:val="00DE4944"/>
    <w:rsid w:val="00DE4B0A"/>
    <w:rsid w:val="00DE4CD6"/>
    <w:rsid w:val="00DE60AD"/>
    <w:rsid w:val="00DE6142"/>
    <w:rsid w:val="00DE656D"/>
    <w:rsid w:val="00DE6712"/>
    <w:rsid w:val="00DE6C1C"/>
    <w:rsid w:val="00DE6C3C"/>
    <w:rsid w:val="00DE6D9D"/>
    <w:rsid w:val="00DE6EA1"/>
    <w:rsid w:val="00DE7689"/>
    <w:rsid w:val="00DE78A6"/>
    <w:rsid w:val="00DE7A14"/>
    <w:rsid w:val="00DE7B76"/>
    <w:rsid w:val="00DE7D67"/>
    <w:rsid w:val="00DF0290"/>
    <w:rsid w:val="00DF0372"/>
    <w:rsid w:val="00DF04DB"/>
    <w:rsid w:val="00DF04DD"/>
    <w:rsid w:val="00DF04F3"/>
    <w:rsid w:val="00DF08BC"/>
    <w:rsid w:val="00DF098A"/>
    <w:rsid w:val="00DF0E5B"/>
    <w:rsid w:val="00DF1372"/>
    <w:rsid w:val="00DF138D"/>
    <w:rsid w:val="00DF14CC"/>
    <w:rsid w:val="00DF1A1F"/>
    <w:rsid w:val="00DF1F2A"/>
    <w:rsid w:val="00DF2011"/>
    <w:rsid w:val="00DF2022"/>
    <w:rsid w:val="00DF2157"/>
    <w:rsid w:val="00DF2248"/>
    <w:rsid w:val="00DF2489"/>
    <w:rsid w:val="00DF24A2"/>
    <w:rsid w:val="00DF24A7"/>
    <w:rsid w:val="00DF2C8D"/>
    <w:rsid w:val="00DF38CF"/>
    <w:rsid w:val="00DF38D2"/>
    <w:rsid w:val="00DF391E"/>
    <w:rsid w:val="00DF3D2F"/>
    <w:rsid w:val="00DF3DB2"/>
    <w:rsid w:val="00DF3F5D"/>
    <w:rsid w:val="00DF40E7"/>
    <w:rsid w:val="00DF42A1"/>
    <w:rsid w:val="00DF4AC3"/>
    <w:rsid w:val="00DF4FFB"/>
    <w:rsid w:val="00DF518E"/>
    <w:rsid w:val="00DF52CC"/>
    <w:rsid w:val="00DF5496"/>
    <w:rsid w:val="00DF565F"/>
    <w:rsid w:val="00DF5718"/>
    <w:rsid w:val="00DF57F6"/>
    <w:rsid w:val="00DF5B71"/>
    <w:rsid w:val="00DF5BCD"/>
    <w:rsid w:val="00DF5CF3"/>
    <w:rsid w:val="00DF68CF"/>
    <w:rsid w:val="00DF69E9"/>
    <w:rsid w:val="00DF6D19"/>
    <w:rsid w:val="00DF6D21"/>
    <w:rsid w:val="00DF71F4"/>
    <w:rsid w:val="00DF75AA"/>
    <w:rsid w:val="00DF7A37"/>
    <w:rsid w:val="00DF866E"/>
    <w:rsid w:val="00DFAE86"/>
    <w:rsid w:val="00E0017E"/>
    <w:rsid w:val="00E00313"/>
    <w:rsid w:val="00E01434"/>
    <w:rsid w:val="00E017C6"/>
    <w:rsid w:val="00E0181C"/>
    <w:rsid w:val="00E019D8"/>
    <w:rsid w:val="00E019DE"/>
    <w:rsid w:val="00E01AED"/>
    <w:rsid w:val="00E01B25"/>
    <w:rsid w:val="00E01EB8"/>
    <w:rsid w:val="00E01F19"/>
    <w:rsid w:val="00E02186"/>
    <w:rsid w:val="00E02542"/>
    <w:rsid w:val="00E02946"/>
    <w:rsid w:val="00E02BE4"/>
    <w:rsid w:val="00E02C24"/>
    <w:rsid w:val="00E02ED6"/>
    <w:rsid w:val="00E0302C"/>
    <w:rsid w:val="00E0358B"/>
    <w:rsid w:val="00E03601"/>
    <w:rsid w:val="00E0372D"/>
    <w:rsid w:val="00E037CB"/>
    <w:rsid w:val="00E0382F"/>
    <w:rsid w:val="00E03C0E"/>
    <w:rsid w:val="00E03C75"/>
    <w:rsid w:val="00E03DDC"/>
    <w:rsid w:val="00E03FDF"/>
    <w:rsid w:val="00E04766"/>
    <w:rsid w:val="00E049B4"/>
    <w:rsid w:val="00E04A78"/>
    <w:rsid w:val="00E04C4F"/>
    <w:rsid w:val="00E04E97"/>
    <w:rsid w:val="00E0514B"/>
    <w:rsid w:val="00E051FE"/>
    <w:rsid w:val="00E056D9"/>
    <w:rsid w:val="00E05897"/>
    <w:rsid w:val="00E058EA"/>
    <w:rsid w:val="00E05A3F"/>
    <w:rsid w:val="00E05FB1"/>
    <w:rsid w:val="00E06036"/>
    <w:rsid w:val="00E06DAD"/>
    <w:rsid w:val="00E07059"/>
    <w:rsid w:val="00E07544"/>
    <w:rsid w:val="00E0790B"/>
    <w:rsid w:val="00E07DD4"/>
    <w:rsid w:val="00E1013E"/>
    <w:rsid w:val="00E10143"/>
    <w:rsid w:val="00E1016C"/>
    <w:rsid w:val="00E103B0"/>
    <w:rsid w:val="00E10846"/>
    <w:rsid w:val="00E10B18"/>
    <w:rsid w:val="00E1104D"/>
    <w:rsid w:val="00E1107B"/>
    <w:rsid w:val="00E1118C"/>
    <w:rsid w:val="00E112B6"/>
    <w:rsid w:val="00E11418"/>
    <w:rsid w:val="00E1153D"/>
    <w:rsid w:val="00E11810"/>
    <w:rsid w:val="00E119FB"/>
    <w:rsid w:val="00E121AE"/>
    <w:rsid w:val="00E12219"/>
    <w:rsid w:val="00E12587"/>
    <w:rsid w:val="00E12F3D"/>
    <w:rsid w:val="00E12F93"/>
    <w:rsid w:val="00E13575"/>
    <w:rsid w:val="00E13AB7"/>
    <w:rsid w:val="00E13CD8"/>
    <w:rsid w:val="00E1423B"/>
    <w:rsid w:val="00E14530"/>
    <w:rsid w:val="00E147DD"/>
    <w:rsid w:val="00E14886"/>
    <w:rsid w:val="00E14955"/>
    <w:rsid w:val="00E14A2B"/>
    <w:rsid w:val="00E14A75"/>
    <w:rsid w:val="00E14AAD"/>
    <w:rsid w:val="00E1502B"/>
    <w:rsid w:val="00E15239"/>
    <w:rsid w:val="00E153D1"/>
    <w:rsid w:val="00E15564"/>
    <w:rsid w:val="00E1595A"/>
    <w:rsid w:val="00E16078"/>
    <w:rsid w:val="00E163AA"/>
    <w:rsid w:val="00E163B7"/>
    <w:rsid w:val="00E164D0"/>
    <w:rsid w:val="00E16D1C"/>
    <w:rsid w:val="00E16D5B"/>
    <w:rsid w:val="00E16E7C"/>
    <w:rsid w:val="00E16EF3"/>
    <w:rsid w:val="00E172C6"/>
    <w:rsid w:val="00E176A6"/>
    <w:rsid w:val="00E177B3"/>
    <w:rsid w:val="00E17CED"/>
    <w:rsid w:val="00E17F09"/>
    <w:rsid w:val="00E20043"/>
    <w:rsid w:val="00E2066D"/>
    <w:rsid w:val="00E20B08"/>
    <w:rsid w:val="00E20B7B"/>
    <w:rsid w:val="00E20C54"/>
    <w:rsid w:val="00E20CEC"/>
    <w:rsid w:val="00E20EB9"/>
    <w:rsid w:val="00E211A5"/>
    <w:rsid w:val="00E21724"/>
    <w:rsid w:val="00E21958"/>
    <w:rsid w:val="00E21D27"/>
    <w:rsid w:val="00E21DB9"/>
    <w:rsid w:val="00E21E3A"/>
    <w:rsid w:val="00E22538"/>
    <w:rsid w:val="00E2261F"/>
    <w:rsid w:val="00E228F3"/>
    <w:rsid w:val="00E22E7E"/>
    <w:rsid w:val="00E230F9"/>
    <w:rsid w:val="00E2361D"/>
    <w:rsid w:val="00E2392B"/>
    <w:rsid w:val="00E23B4E"/>
    <w:rsid w:val="00E23C78"/>
    <w:rsid w:val="00E23E04"/>
    <w:rsid w:val="00E243BA"/>
    <w:rsid w:val="00E24765"/>
    <w:rsid w:val="00E24B67"/>
    <w:rsid w:val="00E24B8E"/>
    <w:rsid w:val="00E24BBC"/>
    <w:rsid w:val="00E24BCD"/>
    <w:rsid w:val="00E24E15"/>
    <w:rsid w:val="00E250DA"/>
    <w:rsid w:val="00E25378"/>
    <w:rsid w:val="00E25515"/>
    <w:rsid w:val="00E2569F"/>
    <w:rsid w:val="00E260B4"/>
    <w:rsid w:val="00E261AC"/>
    <w:rsid w:val="00E261F6"/>
    <w:rsid w:val="00E264A0"/>
    <w:rsid w:val="00E2655A"/>
    <w:rsid w:val="00E26B68"/>
    <w:rsid w:val="00E26E2E"/>
    <w:rsid w:val="00E26EE6"/>
    <w:rsid w:val="00E27100"/>
    <w:rsid w:val="00E2710C"/>
    <w:rsid w:val="00E2714B"/>
    <w:rsid w:val="00E27207"/>
    <w:rsid w:val="00E27273"/>
    <w:rsid w:val="00E27494"/>
    <w:rsid w:val="00E27AA7"/>
    <w:rsid w:val="00E27AC1"/>
    <w:rsid w:val="00E27F88"/>
    <w:rsid w:val="00E3002D"/>
    <w:rsid w:val="00E301B7"/>
    <w:rsid w:val="00E304B4"/>
    <w:rsid w:val="00E305CD"/>
    <w:rsid w:val="00E308F0"/>
    <w:rsid w:val="00E30B9F"/>
    <w:rsid w:val="00E30C14"/>
    <w:rsid w:val="00E3124D"/>
    <w:rsid w:val="00E314A8"/>
    <w:rsid w:val="00E31587"/>
    <w:rsid w:val="00E31832"/>
    <w:rsid w:val="00E31AFA"/>
    <w:rsid w:val="00E31DD6"/>
    <w:rsid w:val="00E31E80"/>
    <w:rsid w:val="00E322D5"/>
    <w:rsid w:val="00E3251C"/>
    <w:rsid w:val="00E32B63"/>
    <w:rsid w:val="00E32C81"/>
    <w:rsid w:val="00E32D9C"/>
    <w:rsid w:val="00E32E41"/>
    <w:rsid w:val="00E33161"/>
    <w:rsid w:val="00E3346D"/>
    <w:rsid w:val="00E33530"/>
    <w:rsid w:val="00E33685"/>
    <w:rsid w:val="00E3370E"/>
    <w:rsid w:val="00E339CB"/>
    <w:rsid w:val="00E33AFE"/>
    <w:rsid w:val="00E33FE5"/>
    <w:rsid w:val="00E34950"/>
    <w:rsid w:val="00E34A2A"/>
    <w:rsid w:val="00E34AA0"/>
    <w:rsid w:val="00E34C48"/>
    <w:rsid w:val="00E34F2D"/>
    <w:rsid w:val="00E35535"/>
    <w:rsid w:val="00E35738"/>
    <w:rsid w:val="00E35AF0"/>
    <w:rsid w:val="00E35EDC"/>
    <w:rsid w:val="00E35F3C"/>
    <w:rsid w:val="00E35FDF"/>
    <w:rsid w:val="00E362B3"/>
    <w:rsid w:val="00E36685"/>
    <w:rsid w:val="00E36839"/>
    <w:rsid w:val="00E368E5"/>
    <w:rsid w:val="00E36EEA"/>
    <w:rsid w:val="00E36F7C"/>
    <w:rsid w:val="00E372CE"/>
    <w:rsid w:val="00E374EA"/>
    <w:rsid w:val="00E37509"/>
    <w:rsid w:val="00E376B4"/>
    <w:rsid w:val="00E3772C"/>
    <w:rsid w:val="00E378F4"/>
    <w:rsid w:val="00E37BE9"/>
    <w:rsid w:val="00E37D69"/>
    <w:rsid w:val="00E37EBF"/>
    <w:rsid w:val="00E37EE7"/>
    <w:rsid w:val="00E37EF4"/>
    <w:rsid w:val="00E400BF"/>
    <w:rsid w:val="00E40348"/>
    <w:rsid w:val="00E404D1"/>
    <w:rsid w:val="00E405D0"/>
    <w:rsid w:val="00E406C1"/>
    <w:rsid w:val="00E407E8"/>
    <w:rsid w:val="00E408E4"/>
    <w:rsid w:val="00E4091C"/>
    <w:rsid w:val="00E40A95"/>
    <w:rsid w:val="00E40B29"/>
    <w:rsid w:val="00E41829"/>
    <w:rsid w:val="00E41853"/>
    <w:rsid w:val="00E41A21"/>
    <w:rsid w:val="00E41B55"/>
    <w:rsid w:val="00E422E3"/>
    <w:rsid w:val="00E428BB"/>
    <w:rsid w:val="00E42AEB"/>
    <w:rsid w:val="00E42BE9"/>
    <w:rsid w:val="00E43114"/>
    <w:rsid w:val="00E432BA"/>
    <w:rsid w:val="00E435FC"/>
    <w:rsid w:val="00E43668"/>
    <w:rsid w:val="00E43688"/>
    <w:rsid w:val="00E43A4B"/>
    <w:rsid w:val="00E43DF6"/>
    <w:rsid w:val="00E43E2F"/>
    <w:rsid w:val="00E440AA"/>
    <w:rsid w:val="00E44330"/>
    <w:rsid w:val="00E44934"/>
    <w:rsid w:val="00E44C29"/>
    <w:rsid w:val="00E44C73"/>
    <w:rsid w:val="00E44C96"/>
    <w:rsid w:val="00E44C9C"/>
    <w:rsid w:val="00E44E8A"/>
    <w:rsid w:val="00E44EBE"/>
    <w:rsid w:val="00E45105"/>
    <w:rsid w:val="00E45317"/>
    <w:rsid w:val="00E454B4"/>
    <w:rsid w:val="00E45616"/>
    <w:rsid w:val="00E456C6"/>
    <w:rsid w:val="00E456D9"/>
    <w:rsid w:val="00E45B96"/>
    <w:rsid w:val="00E45F33"/>
    <w:rsid w:val="00E463E0"/>
    <w:rsid w:val="00E46ADB"/>
    <w:rsid w:val="00E46B3F"/>
    <w:rsid w:val="00E46DE9"/>
    <w:rsid w:val="00E47526"/>
    <w:rsid w:val="00E479D9"/>
    <w:rsid w:val="00E479F4"/>
    <w:rsid w:val="00E47AAA"/>
    <w:rsid w:val="00E47B5C"/>
    <w:rsid w:val="00E5017A"/>
    <w:rsid w:val="00E5090C"/>
    <w:rsid w:val="00E50C00"/>
    <w:rsid w:val="00E50C72"/>
    <w:rsid w:val="00E50E66"/>
    <w:rsid w:val="00E516A6"/>
    <w:rsid w:val="00E51E08"/>
    <w:rsid w:val="00E5270D"/>
    <w:rsid w:val="00E52720"/>
    <w:rsid w:val="00E5289B"/>
    <w:rsid w:val="00E52A1D"/>
    <w:rsid w:val="00E52D77"/>
    <w:rsid w:val="00E531CE"/>
    <w:rsid w:val="00E5342F"/>
    <w:rsid w:val="00E535D3"/>
    <w:rsid w:val="00E535FA"/>
    <w:rsid w:val="00E53627"/>
    <w:rsid w:val="00E53E8D"/>
    <w:rsid w:val="00E5477A"/>
    <w:rsid w:val="00E5490D"/>
    <w:rsid w:val="00E54A45"/>
    <w:rsid w:val="00E54ABC"/>
    <w:rsid w:val="00E54D72"/>
    <w:rsid w:val="00E54FCD"/>
    <w:rsid w:val="00E54FFC"/>
    <w:rsid w:val="00E55585"/>
    <w:rsid w:val="00E557CA"/>
    <w:rsid w:val="00E55843"/>
    <w:rsid w:val="00E55B3C"/>
    <w:rsid w:val="00E55DCA"/>
    <w:rsid w:val="00E55EDB"/>
    <w:rsid w:val="00E55FF0"/>
    <w:rsid w:val="00E56282"/>
    <w:rsid w:val="00E56319"/>
    <w:rsid w:val="00E563A2"/>
    <w:rsid w:val="00E563C6"/>
    <w:rsid w:val="00E56484"/>
    <w:rsid w:val="00E56A11"/>
    <w:rsid w:val="00E56BA7"/>
    <w:rsid w:val="00E56D83"/>
    <w:rsid w:val="00E56EE3"/>
    <w:rsid w:val="00E56FB9"/>
    <w:rsid w:val="00E56FD7"/>
    <w:rsid w:val="00E57502"/>
    <w:rsid w:val="00E57703"/>
    <w:rsid w:val="00E5771D"/>
    <w:rsid w:val="00E57DBA"/>
    <w:rsid w:val="00E60187"/>
    <w:rsid w:val="00E605A4"/>
    <w:rsid w:val="00E60925"/>
    <w:rsid w:val="00E60CC4"/>
    <w:rsid w:val="00E60D67"/>
    <w:rsid w:val="00E60E88"/>
    <w:rsid w:val="00E60FB8"/>
    <w:rsid w:val="00E610C0"/>
    <w:rsid w:val="00E61326"/>
    <w:rsid w:val="00E61441"/>
    <w:rsid w:val="00E614C3"/>
    <w:rsid w:val="00E61802"/>
    <w:rsid w:val="00E61CCD"/>
    <w:rsid w:val="00E61E57"/>
    <w:rsid w:val="00E61EB2"/>
    <w:rsid w:val="00E61FBD"/>
    <w:rsid w:val="00E62006"/>
    <w:rsid w:val="00E62169"/>
    <w:rsid w:val="00E62616"/>
    <w:rsid w:val="00E628FC"/>
    <w:rsid w:val="00E6299E"/>
    <w:rsid w:val="00E630B8"/>
    <w:rsid w:val="00E63209"/>
    <w:rsid w:val="00E6335A"/>
    <w:rsid w:val="00E63466"/>
    <w:rsid w:val="00E6385D"/>
    <w:rsid w:val="00E63890"/>
    <w:rsid w:val="00E63925"/>
    <w:rsid w:val="00E63FCD"/>
    <w:rsid w:val="00E63FF4"/>
    <w:rsid w:val="00E6413E"/>
    <w:rsid w:val="00E6463A"/>
    <w:rsid w:val="00E649FE"/>
    <w:rsid w:val="00E64F8A"/>
    <w:rsid w:val="00E652F1"/>
    <w:rsid w:val="00E6531F"/>
    <w:rsid w:val="00E6564F"/>
    <w:rsid w:val="00E656CA"/>
    <w:rsid w:val="00E65969"/>
    <w:rsid w:val="00E659F4"/>
    <w:rsid w:val="00E65C61"/>
    <w:rsid w:val="00E66583"/>
    <w:rsid w:val="00E66784"/>
    <w:rsid w:val="00E667EE"/>
    <w:rsid w:val="00E6688D"/>
    <w:rsid w:val="00E66CB6"/>
    <w:rsid w:val="00E671B2"/>
    <w:rsid w:val="00E6720E"/>
    <w:rsid w:val="00E67750"/>
    <w:rsid w:val="00E677E7"/>
    <w:rsid w:val="00E67A5F"/>
    <w:rsid w:val="00E67BC1"/>
    <w:rsid w:val="00E67DFF"/>
    <w:rsid w:val="00E67FE8"/>
    <w:rsid w:val="00E70043"/>
    <w:rsid w:val="00E700D1"/>
    <w:rsid w:val="00E70454"/>
    <w:rsid w:val="00E7076F"/>
    <w:rsid w:val="00E70B2B"/>
    <w:rsid w:val="00E7101C"/>
    <w:rsid w:val="00E71094"/>
    <w:rsid w:val="00E71190"/>
    <w:rsid w:val="00E7153D"/>
    <w:rsid w:val="00E71ED4"/>
    <w:rsid w:val="00E71F8C"/>
    <w:rsid w:val="00E7213D"/>
    <w:rsid w:val="00E7227C"/>
    <w:rsid w:val="00E729C8"/>
    <w:rsid w:val="00E72DDA"/>
    <w:rsid w:val="00E72E0C"/>
    <w:rsid w:val="00E72F62"/>
    <w:rsid w:val="00E73792"/>
    <w:rsid w:val="00E73D6A"/>
    <w:rsid w:val="00E73F33"/>
    <w:rsid w:val="00E73F34"/>
    <w:rsid w:val="00E73F54"/>
    <w:rsid w:val="00E741EA"/>
    <w:rsid w:val="00E74863"/>
    <w:rsid w:val="00E74B1E"/>
    <w:rsid w:val="00E750CA"/>
    <w:rsid w:val="00E7523E"/>
    <w:rsid w:val="00E7543F"/>
    <w:rsid w:val="00E754DD"/>
    <w:rsid w:val="00E756B8"/>
    <w:rsid w:val="00E759E5"/>
    <w:rsid w:val="00E75A54"/>
    <w:rsid w:val="00E75BA0"/>
    <w:rsid w:val="00E75CA7"/>
    <w:rsid w:val="00E75E8A"/>
    <w:rsid w:val="00E7630A"/>
    <w:rsid w:val="00E763F4"/>
    <w:rsid w:val="00E763F5"/>
    <w:rsid w:val="00E76523"/>
    <w:rsid w:val="00E767FD"/>
    <w:rsid w:val="00E76A46"/>
    <w:rsid w:val="00E76B2E"/>
    <w:rsid w:val="00E76B5C"/>
    <w:rsid w:val="00E76C0D"/>
    <w:rsid w:val="00E77270"/>
    <w:rsid w:val="00E7732A"/>
    <w:rsid w:val="00E7745C"/>
    <w:rsid w:val="00E77522"/>
    <w:rsid w:val="00E777A1"/>
    <w:rsid w:val="00E77AF3"/>
    <w:rsid w:val="00E77C39"/>
    <w:rsid w:val="00E77C8D"/>
    <w:rsid w:val="00E80670"/>
    <w:rsid w:val="00E8120C"/>
    <w:rsid w:val="00E8122C"/>
    <w:rsid w:val="00E81D6D"/>
    <w:rsid w:val="00E81EE9"/>
    <w:rsid w:val="00E81EF9"/>
    <w:rsid w:val="00E82193"/>
    <w:rsid w:val="00E82350"/>
    <w:rsid w:val="00E82714"/>
    <w:rsid w:val="00E82B4C"/>
    <w:rsid w:val="00E82E1C"/>
    <w:rsid w:val="00E83200"/>
    <w:rsid w:val="00E83358"/>
    <w:rsid w:val="00E833B1"/>
    <w:rsid w:val="00E833D2"/>
    <w:rsid w:val="00E83521"/>
    <w:rsid w:val="00E836AF"/>
    <w:rsid w:val="00E83750"/>
    <w:rsid w:val="00E83974"/>
    <w:rsid w:val="00E840AE"/>
    <w:rsid w:val="00E840E3"/>
    <w:rsid w:val="00E84BC9"/>
    <w:rsid w:val="00E84BD0"/>
    <w:rsid w:val="00E8504F"/>
    <w:rsid w:val="00E855B6"/>
    <w:rsid w:val="00E85601"/>
    <w:rsid w:val="00E85687"/>
    <w:rsid w:val="00E8583A"/>
    <w:rsid w:val="00E85AB0"/>
    <w:rsid w:val="00E85EF4"/>
    <w:rsid w:val="00E863D8"/>
    <w:rsid w:val="00E86913"/>
    <w:rsid w:val="00E86E91"/>
    <w:rsid w:val="00E86E9C"/>
    <w:rsid w:val="00E86F64"/>
    <w:rsid w:val="00E86F82"/>
    <w:rsid w:val="00E87531"/>
    <w:rsid w:val="00E875CB"/>
    <w:rsid w:val="00E87A69"/>
    <w:rsid w:val="00E87A73"/>
    <w:rsid w:val="00E87E13"/>
    <w:rsid w:val="00E87F4B"/>
    <w:rsid w:val="00E9074F"/>
    <w:rsid w:val="00E907A0"/>
    <w:rsid w:val="00E90935"/>
    <w:rsid w:val="00E90B9F"/>
    <w:rsid w:val="00E90D4D"/>
    <w:rsid w:val="00E91A9C"/>
    <w:rsid w:val="00E91C7F"/>
    <w:rsid w:val="00E91E7E"/>
    <w:rsid w:val="00E920C9"/>
    <w:rsid w:val="00E926F6"/>
    <w:rsid w:val="00E92889"/>
    <w:rsid w:val="00E92CAA"/>
    <w:rsid w:val="00E92F1A"/>
    <w:rsid w:val="00E92F32"/>
    <w:rsid w:val="00E9306B"/>
    <w:rsid w:val="00E93207"/>
    <w:rsid w:val="00E93372"/>
    <w:rsid w:val="00E93524"/>
    <w:rsid w:val="00E935D6"/>
    <w:rsid w:val="00E93657"/>
    <w:rsid w:val="00E936E3"/>
    <w:rsid w:val="00E93902"/>
    <w:rsid w:val="00E93B53"/>
    <w:rsid w:val="00E93CFF"/>
    <w:rsid w:val="00E94117"/>
    <w:rsid w:val="00E9451B"/>
    <w:rsid w:val="00E94566"/>
    <w:rsid w:val="00E94860"/>
    <w:rsid w:val="00E94975"/>
    <w:rsid w:val="00E94A1C"/>
    <w:rsid w:val="00E94C34"/>
    <w:rsid w:val="00E9537F"/>
    <w:rsid w:val="00E9596B"/>
    <w:rsid w:val="00E95AF7"/>
    <w:rsid w:val="00E95B4E"/>
    <w:rsid w:val="00E95E4E"/>
    <w:rsid w:val="00E95F35"/>
    <w:rsid w:val="00E96137"/>
    <w:rsid w:val="00E961D8"/>
    <w:rsid w:val="00E966DF"/>
    <w:rsid w:val="00E968FB"/>
    <w:rsid w:val="00E9711F"/>
    <w:rsid w:val="00E97172"/>
    <w:rsid w:val="00E97711"/>
    <w:rsid w:val="00E97875"/>
    <w:rsid w:val="00E97FB3"/>
    <w:rsid w:val="00EA083C"/>
    <w:rsid w:val="00EA0AA2"/>
    <w:rsid w:val="00EA1421"/>
    <w:rsid w:val="00EA1649"/>
    <w:rsid w:val="00EA178A"/>
    <w:rsid w:val="00EA19C9"/>
    <w:rsid w:val="00EA1A6E"/>
    <w:rsid w:val="00EA1AB2"/>
    <w:rsid w:val="00EA1C44"/>
    <w:rsid w:val="00EA1DF2"/>
    <w:rsid w:val="00EA21E4"/>
    <w:rsid w:val="00EA2A0B"/>
    <w:rsid w:val="00EA2BC6"/>
    <w:rsid w:val="00EA2EE2"/>
    <w:rsid w:val="00EA3870"/>
    <w:rsid w:val="00EA3943"/>
    <w:rsid w:val="00EA3B87"/>
    <w:rsid w:val="00EA4076"/>
    <w:rsid w:val="00EA4286"/>
    <w:rsid w:val="00EA43BC"/>
    <w:rsid w:val="00EA4CD1"/>
    <w:rsid w:val="00EA4E6A"/>
    <w:rsid w:val="00EA4ED1"/>
    <w:rsid w:val="00EA4EEE"/>
    <w:rsid w:val="00EA544A"/>
    <w:rsid w:val="00EA5849"/>
    <w:rsid w:val="00EA5B5B"/>
    <w:rsid w:val="00EA5EFE"/>
    <w:rsid w:val="00EA5F3F"/>
    <w:rsid w:val="00EA6240"/>
    <w:rsid w:val="00EA63A7"/>
    <w:rsid w:val="00EA63BF"/>
    <w:rsid w:val="00EA659F"/>
    <w:rsid w:val="00EA6885"/>
    <w:rsid w:val="00EA6D67"/>
    <w:rsid w:val="00EA6F18"/>
    <w:rsid w:val="00EA7072"/>
    <w:rsid w:val="00EA70FC"/>
    <w:rsid w:val="00EA7173"/>
    <w:rsid w:val="00EA74A7"/>
    <w:rsid w:val="00EA788E"/>
    <w:rsid w:val="00EA795D"/>
    <w:rsid w:val="00EA79B7"/>
    <w:rsid w:val="00EA7B1A"/>
    <w:rsid w:val="00EA7B25"/>
    <w:rsid w:val="00EA7E1F"/>
    <w:rsid w:val="00EA7E3F"/>
    <w:rsid w:val="00EB0341"/>
    <w:rsid w:val="00EB049D"/>
    <w:rsid w:val="00EB08D7"/>
    <w:rsid w:val="00EB08EE"/>
    <w:rsid w:val="00EB0C84"/>
    <w:rsid w:val="00EB11CE"/>
    <w:rsid w:val="00EB14D0"/>
    <w:rsid w:val="00EB1526"/>
    <w:rsid w:val="00EB17DD"/>
    <w:rsid w:val="00EB1A94"/>
    <w:rsid w:val="00EB1D54"/>
    <w:rsid w:val="00EB1E10"/>
    <w:rsid w:val="00EB222B"/>
    <w:rsid w:val="00EB2282"/>
    <w:rsid w:val="00EB22F3"/>
    <w:rsid w:val="00EB236F"/>
    <w:rsid w:val="00EB2517"/>
    <w:rsid w:val="00EB26E0"/>
    <w:rsid w:val="00EB2975"/>
    <w:rsid w:val="00EB2A27"/>
    <w:rsid w:val="00EB2B71"/>
    <w:rsid w:val="00EB2EF6"/>
    <w:rsid w:val="00EB3083"/>
    <w:rsid w:val="00EB3E93"/>
    <w:rsid w:val="00EB3F6E"/>
    <w:rsid w:val="00EB41AA"/>
    <w:rsid w:val="00EB4491"/>
    <w:rsid w:val="00EB4713"/>
    <w:rsid w:val="00EB4EFC"/>
    <w:rsid w:val="00EB5007"/>
    <w:rsid w:val="00EB5020"/>
    <w:rsid w:val="00EB50B1"/>
    <w:rsid w:val="00EB5271"/>
    <w:rsid w:val="00EB55E7"/>
    <w:rsid w:val="00EB5CA3"/>
    <w:rsid w:val="00EB618E"/>
    <w:rsid w:val="00EB61DD"/>
    <w:rsid w:val="00EB62B3"/>
    <w:rsid w:val="00EB671F"/>
    <w:rsid w:val="00EB6731"/>
    <w:rsid w:val="00EB682C"/>
    <w:rsid w:val="00EB6901"/>
    <w:rsid w:val="00EB6A24"/>
    <w:rsid w:val="00EB7547"/>
    <w:rsid w:val="00EB7684"/>
    <w:rsid w:val="00EB79BE"/>
    <w:rsid w:val="00EB7C2F"/>
    <w:rsid w:val="00EC0046"/>
    <w:rsid w:val="00EC008D"/>
    <w:rsid w:val="00EC0104"/>
    <w:rsid w:val="00EC027E"/>
    <w:rsid w:val="00EC07C7"/>
    <w:rsid w:val="00EC09AB"/>
    <w:rsid w:val="00EC0B3E"/>
    <w:rsid w:val="00EC0B9F"/>
    <w:rsid w:val="00EC0DD7"/>
    <w:rsid w:val="00EC12C6"/>
    <w:rsid w:val="00EC1ABE"/>
    <w:rsid w:val="00EC1DC5"/>
    <w:rsid w:val="00EC2011"/>
    <w:rsid w:val="00EC21EC"/>
    <w:rsid w:val="00EC2242"/>
    <w:rsid w:val="00EC22AB"/>
    <w:rsid w:val="00EC25CF"/>
    <w:rsid w:val="00EC2B23"/>
    <w:rsid w:val="00EC2B69"/>
    <w:rsid w:val="00EC2B6B"/>
    <w:rsid w:val="00EC2DDB"/>
    <w:rsid w:val="00EC307B"/>
    <w:rsid w:val="00EC32E9"/>
    <w:rsid w:val="00EC3BA1"/>
    <w:rsid w:val="00EC3BD7"/>
    <w:rsid w:val="00EC4087"/>
    <w:rsid w:val="00EC4095"/>
    <w:rsid w:val="00EC427C"/>
    <w:rsid w:val="00EC42FB"/>
    <w:rsid w:val="00EC44B2"/>
    <w:rsid w:val="00EC44E3"/>
    <w:rsid w:val="00EC48D1"/>
    <w:rsid w:val="00EC4A17"/>
    <w:rsid w:val="00EC4AA6"/>
    <w:rsid w:val="00EC4B76"/>
    <w:rsid w:val="00EC4ECF"/>
    <w:rsid w:val="00EC5363"/>
    <w:rsid w:val="00EC5470"/>
    <w:rsid w:val="00EC5689"/>
    <w:rsid w:val="00EC5710"/>
    <w:rsid w:val="00EC57F8"/>
    <w:rsid w:val="00EC5BCB"/>
    <w:rsid w:val="00EC5E09"/>
    <w:rsid w:val="00EC6084"/>
    <w:rsid w:val="00EC60F0"/>
    <w:rsid w:val="00EC62A7"/>
    <w:rsid w:val="00EC6E51"/>
    <w:rsid w:val="00EC70C3"/>
    <w:rsid w:val="00EC728F"/>
    <w:rsid w:val="00EC7293"/>
    <w:rsid w:val="00EC73FB"/>
    <w:rsid w:val="00EC744D"/>
    <w:rsid w:val="00EC76DD"/>
    <w:rsid w:val="00EC78CF"/>
    <w:rsid w:val="00EC7D11"/>
    <w:rsid w:val="00EC7D6B"/>
    <w:rsid w:val="00EC7D8B"/>
    <w:rsid w:val="00ED0098"/>
    <w:rsid w:val="00ED017D"/>
    <w:rsid w:val="00ED047E"/>
    <w:rsid w:val="00ED04F7"/>
    <w:rsid w:val="00ED0720"/>
    <w:rsid w:val="00ED0D92"/>
    <w:rsid w:val="00ED0E32"/>
    <w:rsid w:val="00ED0EDF"/>
    <w:rsid w:val="00ED10BE"/>
    <w:rsid w:val="00ED13C8"/>
    <w:rsid w:val="00ED1554"/>
    <w:rsid w:val="00ED1A2E"/>
    <w:rsid w:val="00ED1AB4"/>
    <w:rsid w:val="00ED1BE2"/>
    <w:rsid w:val="00ED1D3A"/>
    <w:rsid w:val="00ED256B"/>
    <w:rsid w:val="00ED2692"/>
    <w:rsid w:val="00ED2929"/>
    <w:rsid w:val="00ED2A0C"/>
    <w:rsid w:val="00ED2DA7"/>
    <w:rsid w:val="00ED327C"/>
    <w:rsid w:val="00ED3673"/>
    <w:rsid w:val="00ED3732"/>
    <w:rsid w:val="00ED3751"/>
    <w:rsid w:val="00ED39D0"/>
    <w:rsid w:val="00ED3A82"/>
    <w:rsid w:val="00ED3E1A"/>
    <w:rsid w:val="00ED3E99"/>
    <w:rsid w:val="00ED3EBC"/>
    <w:rsid w:val="00ED4140"/>
    <w:rsid w:val="00ED4170"/>
    <w:rsid w:val="00ED421D"/>
    <w:rsid w:val="00ED44D2"/>
    <w:rsid w:val="00ED4577"/>
    <w:rsid w:val="00ED4968"/>
    <w:rsid w:val="00ED497F"/>
    <w:rsid w:val="00ED4ED3"/>
    <w:rsid w:val="00ED4FEC"/>
    <w:rsid w:val="00ED51E0"/>
    <w:rsid w:val="00ED52B3"/>
    <w:rsid w:val="00ED5350"/>
    <w:rsid w:val="00ED542F"/>
    <w:rsid w:val="00ED5B0B"/>
    <w:rsid w:val="00ED5D2E"/>
    <w:rsid w:val="00ED60B8"/>
    <w:rsid w:val="00ED6164"/>
    <w:rsid w:val="00ED63EF"/>
    <w:rsid w:val="00ED677F"/>
    <w:rsid w:val="00ED6CB8"/>
    <w:rsid w:val="00ED6FCA"/>
    <w:rsid w:val="00ED7108"/>
    <w:rsid w:val="00ED75A3"/>
    <w:rsid w:val="00ED75BE"/>
    <w:rsid w:val="00ED76B6"/>
    <w:rsid w:val="00ED7DD9"/>
    <w:rsid w:val="00ED7FCE"/>
    <w:rsid w:val="00EE0151"/>
    <w:rsid w:val="00EE033F"/>
    <w:rsid w:val="00EE0440"/>
    <w:rsid w:val="00EE04E0"/>
    <w:rsid w:val="00EE08E8"/>
    <w:rsid w:val="00EE0BEC"/>
    <w:rsid w:val="00EE0CFD"/>
    <w:rsid w:val="00EE0F3C"/>
    <w:rsid w:val="00EE0FA4"/>
    <w:rsid w:val="00EE1272"/>
    <w:rsid w:val="00EE15C0"/>
    <w:rsid w:val="00EE1A45"/>
    <w:rsid w:val="00EE1C04"/>
    <w:rsid w:val="00EE1E1E"/>
    <w:rsid w:val="00EE1ECB"/>
    <w:rsid w:val="00EE1F83"/>
    <w:rsid w:val="00EE200E"/>
    <w:rsid w:val="00EE247F"/>
    <w:rsid w:val="00EE254A"/>
    <w:rsid w:val="00EE2806"/>
    <w:rsid w:val="00EE28D6"/>
    <w:rsid w:val="00EE2D76"/>
    <w:rsid w:val="00EE33CD"/>
    <w:rsid w:val="00EE3542"/>
    <w:rsid w:val="00EE369E"/>
    <w:rsid w:val="00EE3CC7"/>
    <w:rsid w:val="00EE3ECC"/>
    <w:rsid w:val="00EE42DE"/>
    <w:rsid w:val="00EE4541"/>
    <w:rsid w:val="00EE48B0"/>
    <w:rsid w:val="00EE4A91"/>
    <w:rsid w:val="00EE4BA2"/>
    <w:rsid w:val="00EE4E19"/>
    <w:rsid w:val="00EE4E6A"/>
    <w:rsid w:val="00EE4EF7"/>
    <w:rsid w:val="00EE56D1"/>
    <w:rsid w:val="00EE5765"/>
    <w:rsid w:val="00EE584A"/>
    <w:rsid w:val="00EE58FF"/>
    <w:rsid w:val="00EE5D2D"/>
    <w:rsid w:val="00EE6196"/>
    <w:rsid w:val="00EE632A"/>
    <w:rsid w:val="00EE6401"/>
    <w:rsid w:val="00EE65FC"/>
    <w:rsid w:val="00EE6600"/>
    <w:rsid w:val="00EE66D6"/>
    <w:rsid w:val="00EE66FC"/>
    <w:rsid w:val="00EE6AC3"/>
    <w:rsid w:val="00EE6BB8"/>
    <w:rsid w:val="00EE750B"/>
    <w:rsid w:val="00EE77A2"/>
    <w:rsid w:val="00EE7A2F"/>
    <w:rsid w:val="00EE7A8A"/>
    <w:rsid w:val="00EE7E9A"/>
    <w:rsid w:val="00EF052B"/>
    <w:rsid w:val="00EF0610"/>
    <w:rsid w:val="00EF0803"/>
    <w:rsid w:val="00EF112E"/>
    <w:rsid w:val="00EF119F"/>
    <w:rsid w:val="00EF1D62"/>
    <w:rsid w:val="00EF20AE"/>
    <w:rsid w:val="00EF20D8"/>
    <w:rsid w:val="00EF225B"/>
    <w:rsid w:val="00EF22D7"/>
    <w:rsid w:val="00EF2A39"/>
    <w:rsid w:val="00EF2EDD"/>
    <w:rsid w:val="00EF31CF"/>
    <w:rsid w:val="00EF326A"/>
    <w:rsid w:val="00EF39C0"/>
    <w:rsid w:val="00EF3A5C"/>
    <w:rsid w:val="00EF3AEB"/>
    <w:rsid w:val="00EF3B76"/>
    <w:rsid w:val="00EF3EF8"/>
    <w:rsid w:val="00EF3FDD"/>
    <w:rsid w:val="00EF41D0"/>
    <w:rsid w:val="00EF41F5"/>
    <w:rsid w:val="00EF4310"/>
    <w:rsid w:val="00EF457C"/>
    <w:rsid w:val="00EF461E"/>
    <w:rsid w:val="00EF478C"/>
    <w:rsid w:val="00EF495D"/>
    <w:rsid w:val="00EF4C0F"/>
    <w:rsid w:val="00EF5230"/>
    <w:rsid w:val="00EF5557"/>
    <w:rsid w:val="00EF55DC"/>
    <w:rsid w:val="00EF5E49"/>
    <w:rsid w:val="00EF6027"/>
    <w:rsid w:val="00EF620A"/>
    <w:rsid w:val="00EF63BE"/>
    <w:rsid w:val="00EF65D1"/>
    <w:rsid w:val="00EF6BCB"/>
    <w:rsid w:val="00EF6F71"/>
    <w:rsid w:val="00EF7692"/>
    <w:rsid w:val="00EF771E"/>
    <w:rsid w:val="00EF77D4"/>
    <w:rsid w:val="00EF796A"/>
    <w:rsid w:val="00EF7D6C"/>
    <w:rsid w:val="00F004B6"/>
    <w:rsid w:val="00F0072D"/>
    <w:rsid w:val="00F00841"/>
    <w:rsid w:val="00F00B32"/>
    <w:rsid w:val="00F00B48"/>
    <w:rsid w:val="00F00BA9"/>
    <w:rsid w:val="00F00DD5"/>
    <w:rsid w:val="00F00EFB"/>
    <w:rsid w:val="00F01236"/>
    <w:rsid w:val="00F0126B"/>
    <w:rsid w:val="00F012A7"/>
    <w:rsid w:val="00F0141D"/>
    <w:rsid w:val="00F01499"/>
    <w:rsid w:val="00F0159D"/>
    <w:rsid w:val="00F017AC"/>
    <w:rsid w:val="00F01927"/>
    <w:rsid w:val="00F01EE9"/>
    <w:rsid w:val="00F01F4A"/>
    <w:rsid w:val="00F022B0"/>
    <w:rsid w:val="00F023AC"/>
    <w:rsid w:val="00F02632"/>
    <w:rsid w:val="00F0273E"/>
    <w:rsid w:val="00F02972"/>
    <w:rsid w:val="00F029F6"/>
    <w:rsid w:val="00F02C10"/>
    <w:rsid w:val="00F02C9A"/>
    <w:rsid w:val="00F033E3"/>
    <w:rsid w:val="00F03678"/>
    <w:rsid w:val="00F03DBC"/>
    <w:rsid w:val="00F040FE"/>
    <w:rsid w:val="00F04380"/>
    <w:rsid w:val="00F04401"/>
    <w:rsid w:val="00F04B3C"/>
    <w:rsid w:val="00F04D02"/>
    <w:rsid w:val="00F04DE7"/>
    <w:rsid w:val="00F054AD"/>
    <w:rsid w:val="00F056B7"/>
    <w:rsid w:val="00F05A67"/>
    <w:rsid w:val="00F05EB1"/>
    <w:rsid w:val="00F0617C"/>
    <w:rsid w:val="00F063A3"/>
    <w:rsid w:val="00F06650"/>
    <w:rsid w:val="00F0667A"/>
    <w:rsid w:val="00F067A4"/>
    <w:rsid w:val="00F06869"/>
    <w:rsid w:val="00F06A9F"/>
    <w:rsid w:val="00F06B22"/>
    <w:rsid w:val="00F06F31"/>
    <w:rsid w:val="00F0726D"/>
    <w:rsid w:val="00F0755E"/>
    <w:rsid w:val="00F0786D"/>
    <w:rsid w:val="00F079E2"/>
    <w:rsid w:val="00F101EE"/>
    <w:rsid w:val="00F10682"/>
    <w:rsid w:val="00F1088E"/>
    <w:rsid w:val="00F10BF0"/>
    <w:rsid w:val="00F10FA8"/>
    <w:rsid w:val="00F11046"/>
    <w:rsid w:val="00F11083"/>
    <w:rsid w:val="00F111B6"/>
    <w:rsid w:val="00F111F7"/>
    <w:rsid w:val="00F123BD"/>
    <w:rsid w:val="00F125C5"/>
    <w:rsid w:val="00F12B95"/>
    <w:rsid w:val="00F12DCE"/>
    <w:rsid w:val="00F12FAD"/>
    <w:rsid w:val="00F13337"/>
    <w:rsid w:val="00F134B3"/>
    <w:rsid w:val="00F13857"/>
    <w:rsid w:val="00F138BC"/>
    <w:rsid w:val="00F13B57"/>
    <w:rsid w:val="00F13D7C"/>
    <w:rsid w:val="00F13E32"/>
    <w:rsid w:val="00F141EC"/>
    <w:rsid w:val="00F142CB"/>
    <w:rsid w:val="00F142F8"/>
    <w:rsid w:val="00F144FE"/>
    <w:rsid w:val="00F14988"/>
    <w:rsid w:val="00F157B2"/>
    <w:rsid w:val="00F15D9E"/>
    <w:rsid w:val="00F16010"/>
    <w:rsid w:val="00F16184"/>
    <w:rsid w:val="00F16840"/>
    <w:rsid w:val="00F169BF"/>
    <w:rsid w:val="00F16A17"/>
    <w:rsid w:val="00F17294"/>
    <w:rsid w:val="00F17314"/>
    <w:rsid w:val="00F176A6"/>
    <w:rsid w:val="00F17A58"/>
    <w:rsid w:val="00F17EDE"/>
    <w:rsid w:val="00F17EE7"/>
    <w:rsid w:val="00F2004B"/>
    <w:rsid w:val="00F2017F"/>
    <w:rsid w:val="00F201C4"/>
    <w:rsid w:val="00F201F2"/>
    <w:rsid w:val="00F20587"/>
    <w:rsid w:val="00F20E96"/>
    <w:rsid w:val="00F2103E"/>
    <w:rsid w:val="00F2115A"/>
    <w:rsid w:val="00F2115E"/>
    <w:rsid w:val="00F21242"/>
    <w:rsid w:val="00F218F1"/>
    <w:rsid w:val="00F21C31"/>
    <w:rsid w:val="00F21C61"/>
    <w:rsid w:val="00F21F00"/>
    <w:rsid w:val="00F21F58"/>
    <w:rsid w:val="00F21FA4"/>
    <w:rsid w:val="00F21FC4"/>
    <w:rsid w:val="00F22432"/>
    <w:rsid w:val="00F2299C"/>
    <w:rsid w:val="00F22ABE"/>
    <w:rsid w:val="00F22B85"/>
    <w:rsid w:val="00F22C33"/>
    <w:rsid w:val="00F231CD"/>
    <w:rsid w:val="00F232DA"/>
    <w:rsid w:val="00F23733"/>
    <w:rsid w:val="00F23C26"/>
    <w:rsid w:val="00F23E69"/>
    <w:rsid w:val="00F24648"/>
    <w:rsid w:val="00F248FE"/>
    <w:rsid w:val="00F24D09"/>
    <w:rsid w:val="00F24E16"/>
    <w:rsid w:val="00F24F6E"/>
    <w:rsid w:val="00F25173"/>
    <w:rsid w:val="00F2559E"/>
    <w:rsid w:val="00F256CB"/>
    <w:rsid w:val="00F25EEE"/>
    <w:rsid w:val="00F260C9"/>
    <w:rsid w:val="00F26205"/>
    <w:rsid w:val="00F26379"/>
    <w:rsid w:val="00F263BA"/>
    <w:rsid w:val="00F26682"/>
    <w:rsid w:val="00F266D2"/>
    <w:rsid w:val="00F269B0"/>
    <w:rsid w:val="00F272AC"/>
    <w:rsid w:val="00F272B2"/>
    <w:rsid w:val="00F2733E"/>
    <w:rsid w:val="00F277FE"/>
    <w:rsid w:val="00F27933"/>
    <w:rsid w:val="00F27C24"/>
    <w:rsid w:val="00F27DB5"/>
    <w:rsid w:val="00F27DE8"/>
    <w:rsid w:val="00F27E26"/>
    <w:rsid w:val="00F3027F"/>
    <w:rsid w:val="00F3040E"/>
    <w:rsid w:val="00F30773"/>
    <w:rsid w:val="00F30B11"/>
    <w:rsid w:val="00F30FE6"/>
    <w:rsid w:val="00F31418"/>
    <w:rsid w:val="00F31642"/>
    <w:rsid w:val="00F31827"/>
    <w:rsid w:val="00F31A48"/>
    <w:rsid w:val="00F31BBE"/>
    <w:rsid w:val="00F31DAA"/>
    <w:rsid w:val="00F31F3E"/>
    <w:rsid w:val="00F32274"/>
    <w:rsid w:val="00F3254D"/>
    <w:rsid w:val="00F32704"/>
    <w:rsid w:val="00F32955"/>
    <w:rsid w:val="00F32C25"/>
    <w:rsid w:val="00F32DEE"/>
    <w:rsid w:val="00F32FDD"/>
    <w:rsid w:val="00F334B6"/>
    <w:rsid w:val="00F3356F"/>
    <w:rsid w:val="00F33591"/>
    <w:rsid w:val="00F3363E"/>
    <w:rsid w:val="00F338CB"/>
    <w:rsid w:val="00F3400B"/>
    <w:rsid w:val="00F344ED"/>
    <w:rsid w:val="00F34519"/>
    <w:rsid w:val="00F3499D"/>
    <w:rsid w:val="00F34ABD"/>
    <w:rsid w:val="00F34B3C"/>
    <w:rsid w:val="00F34CC0"/>
    <w:rsid w:val="00F35094"/>
    <w:rsid w:val="00F35193"/>
    <w:rsid w:val="00F3537D"/>
    <w:rsid w:val="00F353CD"/>
    <w:rsid w:val="00F35476"/>
    <w:rsid w:val="00F357EC"/>
    <w:rsid w:val="00F35998"/>
    <w:rsid w:val="00F35EEC"/>
    <w:rsid w:val="00F3613B"/>
    <w:rsid w:val="00F362DE"/>
    <w:rsid w:val="00F36950"/>
    <w:rsid w:val="00F37166"/>
    <w:rsid w:val="00F371FA"/>
    <w:rsid w:val="00F3722A"/>
    <w:rsid w:val="00F37386"/>
    <w:rsid w:val="00F3752D"/>
    <w:rsid w:val="00F375AE"/>
    <w:rsid w:val="00F379B9"/>
    <w:rsid w:val="00F37ADD"/>
    <w:rsid w:val="00F37C74"/>
    <w:rsid w:val="00F37CF0"/>
    <w:rsid w:val="00F37F45"/>
    <w:rsid w:val="00F4000C"/>
    <w:rsid w:val="00F401B5"/>
    <w:rsid w:val="00F40514"/>
    <w:rsid w:val="00F407DA"/>
    <w:rsid w:val="00F408F1"/>
    <w:rsid w:val="00F40AAD"/>
    <w:rsid w:val="00F40E68"/>
    <w:rsid w:val="00F40F29"/>
    <w:rsid w:val="00F40F45"/>
    <w:rsid w:val="00F4116A"/>
    <w:rsid w:val="00F418D0"/>
    <w:rsid w:val="00F41A2D"/>
    <w:rsid w:val="00F41B92"/>
    <w:rsid w:val="00F41D85"/>
    <w:rsid w:val="00F422C3"/>
    <w:rsid w:val="00F42983"/>
    <w:rsid w:val="00F42B57"/>
    <w:rsid w:val="00F42E85"/>
    <w:rsid w:val="00F431C3"/>
    <w:rsid w:val="00F432DF"/>
    <w:rsid w:val="00F434A3"/>
    <w:rsid w:val="00F43855"/>
    <w:rsid w:val="00F448C9"/>
    <w:rsid w:val="00F44C19"/>
    <w:rsid w:val="00F44F26"/>
    <w:rsid w:val="00F451C8"/>
    <w:rsid w:val="00F453FD"/>
    <w:rsid w:val="00F455C2"/>
    <w:rsid w:val="00F457C3"/>
    <w:rsid w:val="00F459EC"/>
    <w:rsid w:val="00F45C7C"/>
    <w:rsid w:val="00F46289"/>
    <w:rsid w:val="00F46480"/>
    <w:rsid w:val="00F4654B"/>
    <w:rsid w:val="00F467B2"/>
    <w:rsid w:val="00F4699B"/>
    <w:rsid w:val="00F46B0B"/>
    <w:rsid w:val="00F46D8B"/>
    <w:rsid w:val="00F4777B"/>
    <w:rsid w:val="00F4779D"/>
    <w:rsid w:val="00F47822"/>
    <w:rsid w:val="00F47B27"/>
    <w:rsid w:val="00F47C3E"/>
    <w:rsid w:val="00F47CAA"/>
    <w:rsid w:val="00F47FFC"/>
    <w:rsid w:val="00F50038"/>
    <w:rsid w:val="00F50251"/>
    <w:rsid w:val="00F506CF"/>
    <w:rsid w:val="00F50706"/>
    <w:rsid w:val="00F50855"/>
    <w:rsid w:val="00F509AE"/>
    <w:rsid w:val="00F50BBC"/>
    <w:rsid w:val="00F50D38"/>
    <w:rsid w:val="00F50DD8"/>
    <w:rsid w:val="00F50ED3"/>
    <w:rsid w:val="00F51186"/>
    <w:rsid w:val="00F5138F"/>
    <w:rsid w:val="00F51A9A"/>
    <w:rsid w:val="00F51BEF"/>
    <w:rsid w:val="00F52769"/>
    <w:rsid w:val="00F52792"/>
    <w:rsid w:val="00F52949"/>
    <w:rsid w:val="00F53353"/>
    <w:rsid w:val="00F5384A"/>
    <w:rsid w:val="00F5385D"/>
    <w:rsid w:val="00F53AEC"/>
    <w:rsid w:val="00F53B77"/>
    <w:rsid w:val="00F53BC7"/>
    <w:rsid w:val="00F53DE5"/>
    <w:rsid w:val="00F54246"/>
    <w:rsid w:val="00F5444A"/>
    <w:rsid w:val="00F548ED"/>
    <w:rsid w:val="00F54C7E"/>
    <w:rsid w:val="00F54F3E"/>
    <w:rsid w:val="00F550E6"/>
    <w:rsid w:val="00F55401"/>
    <w:rsid w:val="00F55458"/>
    <w:rsid w:val="00F55519"/>
    <w:rsid w:val="00F55793"/>
    <w:rsid w:val="00F557D4"/>
    <w:rsid w:val="00F55E23"/>
    <w:rsid w:val="00F561F3"/>
    <w:rsid w:val="00F56246"/>
    <w:rsid w:val="00F56319"/>
    <w:rsid w:val="00F56426"/>
    <w:rsid w:val="00F567E0"/>
    <w:rsid w:val="00F56C86"/>
    <w:rsid w:val="00F56DAB"/>
    <w:rsid w:val="00F56E5F"/>
    <w:rsid w:val="00F573A4"/>
    <w:rsid w:val="00F575C2"/>
    <w:rsid w:val="00F575D3"/>
    <w:rsid w:val="00F57891"/>
    <w:rsid w:val="00F57BA9"/>
    <w:rsid w:val="00F57C78"/>
    <w:rsid w:val="00F57CB8"/>
    <w:rsid w:val="00F60877"/>
    <w:rsid w:val="00F60AAE"/>
    <w:rsid w:val="00F61095"/>
    <w:rsid w:val="00F610D7"/>
    <w:rsid w:val="00F61E75"/>
    <w:rsid w:val="00F621FD"/>
    <w:rsid w:val="00F623AF"/>
    <w:rsid w:val="00F62694"/>
    <w:rsid w:val="00F62989"/>
    <w:rsid w:val="00F629D2"/>
    <w:rsid w:val="00F63209"/>
    <w:rsid w:val="00F63487"/>
    <w:rsid w:val="00F63831"/>
    <w:rsid w:val="00F6395B"/>
    <w:rsid w:val="00F63AD6"/>
    <w:rsid w:val="00F63C79"/>
    <w:rsid w:val="00F63DB5"/>
    <w:rsid w:val="00F63E3D"/>
    <w:rsid w:val="00F64019"/>
    <w:rsid w:val="00F641B8"/>
    <w:rsid w:val="00F641FA"/>
    <w:rsid w:val="00F645E3"/>
    <w:rsid w:val="00F64978"/>
    <w:rsid w:val="00F6508B"/>
    <w:rsid w:val="00F6550E"/>
    <w:rsid w:val="00F65747"/>
    <w:rsid w:val="00F657D8"/>
    <w:rsid w:val="00F65988"/>
    <w:rsid w:val="00F65AB7"/>
    <w:rsid w:val="00F65FE9"/>
    <w:rsid w:val="00F66254"/>
    <w:rsid w:val="00F6662B"/>
    <w:rsid w:val="00F66F74"/>
    <w:rsid w:val="00F67661"/>
    <w:rsid w:val="00F6795E"/>
    <w:rsid w:val="00F67A18"/>
    <w:rsid w:val="00F67CCC"/>
    <w:rsid w:val="00F67DD9"/>
    <w:rsid w:val="00F67F0A"/>
    <w:rsid w:val="00F67FBC"/>
    <w:rsid w:val="00F7008E"/>
    <w:rsid w:val="00F7009B"/>
    <w:rsid w:val="00F709D3"/>
    <w:rsid w:val="00F70C0E"/>
    <w:rsid w:val="00F70F42"/>
    <w:rsid w:val="00F71075"/>
    <w:rsid w:val="00F710BF"/>
    <w:rsid w:val="00F7137F"/>
    <w:rsid w:val="00F71608"/>
    <w:rsid w:val="00F71792"/>
    <w:rsid w:val="00F717E3"/>
    <w:rsid w:val="00F719B1"/>
    <w:rsid w:val="00F72102"/>
    <w:rsid w:val="00F724E2"/>
    <w:rsid w:val="00F729EA"/>
    <w:rsid w:val="00F72B97"/>
    <w:rsid w:val="00F72BC1"/>
    <w:rsid w:val="00F72BFF"/>
    <w:rsid w:val="00F72F09"/>
    <w:rsid w:val="00F72F19"/>
    <w:rsid w:val="00F731E3"/>
    <w:rsid w:val="00F73835"/>
    <w:rsid w:val="00F73AF9"/>
    <w:rsid w:val="00F73F50"/>
    <w:rsid w:val="00F74278"/>
    <w:rsid w:val="00F742F9"/>
    <w:rsid w:val="00F74303"/>
    <w:rsid w:val="00F74471"/>
    <w:rsid w:val="00F74E0C"/>
    <w:rsid w:val="00F75026"/>
    <w:rsid w:val="00F751F0"/>
    <w:rsid w:val="00F7565F"/>
    <w:rsid w:val="00F75B20"/>
    <w:rsid w:val="00F75C76"/>
    <w:rsid w:val="00F75D6F"/>
    <w:rsid w:val="00F75DD0"/>
    <w:rsid w:val="00F7603A"/>
    <w:rsid w:val="00F761DE"/>
    <w:rsid w:val="00F766A7"/>
    <w:rsid w:val="00F76734"/>
    <w:rsid w:val="00F769AB"/>
    <w:rsid w:val="00F76A4A"/>
    <w:rsid w:val="00F76E0A"/>
    <w:rsid w:val="00F76FDD"/>
    <w:rsid w:val="00F7707A"/>
    <w:rsid w:val="00F771F5"/>
    <w:rsid w:val="00F77342"/>
    <w:rsid w:val="00F773B0"/>
    <w:rsid w:val="00F7764C"/>
    <w:rsid w:val="00F776F3"/>
    <w:rsid w:val="00F7791F"/>
    <w:rsid w:val="00F77A4E"/>
    <w:rsid w:val="00F77B36"/>
    <w:rsid w:val="00F77D0A"/>
    <w:rsid w:val="00F80171"/>
    <w:rsid w:val="00F80295"/>
    <w:rsid w:val="00F804AD"/>
    <w:rsid w:val="00F80653"/>
    <w:rsid w:val="00F807F4"/>
    <w:rsid w:val="00F80A0A"/>
    <w:rsid w:val="00F80A1F"/>
    <w:rsid w:val="00F80EFE"/>
    <w:rsid w:val="00F80F42"/>
    <w:rsid w:val="00F81388"/>
    <w:rsid w:val="00F81963"/>
    <w:rsid w:val="00F819EA"/>
    <w:rsid w:val="00F81B2A"/>
    <w:rsid w:val="00F81DF5"/>
    <w:rsid w:val="00F81EA4"/>
    <w:rsid w:val="00F81EA9"/>
    <w:rsid w:val="00F81F9F"/>
    <w:rsid w:val="00F824CB"/>
    <w:rsid w:val="00F825B8"/>
    <w:rsid w:val="00F825C7"/>
    <w:rsid w:val="00F82744"/>
    <w:rsid w:val="00F828C2"/>
    <w:rsid w:val="00F829C2"/>
    <w:rsid w:val="00F82B59"/>
    <w:rsid w:val="00F82F11"/>
    <w:rsid w:val="00F83196"/>
    <w:rsid w:val="00F83209"/>
    <w:rsid w:val="00F833DE"/>
    <w:rsid w:val="00F8354A"/>
    <w:rsid w:val="00F83D3F"/>
    <w:rsid w:val="00F83D9C"/>
    <w:rsid w:val="00F83E62"/>
    <w:rsid w:val="00F842EA"/>
    <w:rsid w:val="00F848DA"/>
    <w:rsid w:val="00F849CA"/>
    <w:rsid w:val="00F8507F"/>
    <w:rsid w:val="00F8512F"/>
    <w:rsid w:val="00F851BE"/>
    <w:rsid w:val="00F852A6"/>
    <w:rsid w:val="00F85430"/>
    <w:rsid w:val="00F85828"/>
    <w:rsid w:val="00F859A6"/>
    <w:rsid w:val="00F85AA8"/>
    <w:rsid w:val="00F85AAF"/>
    <w:rsid w:val="00F85C53"/>
    <w:rsid w:val="00F8601C"/>
    <w:rsid w:val="00F86033"/>
    <w:rsid w:val="00F864B6"/>
    <w:rsid w:val="00F867CD"/>
    <w:rsid w:val="00F86820"/>
    <w:rsid w:val="00F8684C"/>
    <w:rsid w:val="00F8694F"/>
    <w:rsid w:val="00F870A4"/>
    <w:rsid w:val="00F87224"/>
    <w:rsid w:val="00F873E0"/>
    <w:rsid w:val="00F875D7"/>
    <w:rsid w:val="00F875D9"/>
    <w:rsid w:val="00F87689"/>
    <w:rsid w:val="00F87C83"/>
    <w:rsid w:val="00F87F3B"/>
    <w:rsid w:val="00F90152"/>
    <w:rsid w:val="00F902C1"/>
    <w:rsid w:val="00F9035A"/>
    <w:rsid w:val="00F90544"/>
    <w:rsid w:val="00F9057C"/>
    <w:rsid w:val="00F9058E"/>
    <w:rsid w:val="00F90764"/>
    <w:rsid w:val="00F90A4E"/>
    <w:rsid w:val="00F90DF4"/>
    <w:rsid w:val="00F90E64"/>
    <w:rsid w:val="00F915A8"/>
    <w:rsid w:val="00F91DFA"/>
    <w:rsid w:val="00F91F3C"/>
    <w:rsid w:val="00F92185"/>
    <w:rsid w:val="00F92385"/>
    <w:rsid w:val="00F9254F"/>
    <w:rsid w:val="00F9273E"/>
    <w:rsid w:val="00F92E5A"/>
    <w:rsid w:val="00F92F6B"/>
    <w:rsid w:val="00F931BF"/>
    <w:rsid w:val="00F93A29"/>
    <w:rsid w:val="00F93B36"/>
    <w:rsid w:val="00F93E54"/>
    <w:rsid w:val="00F9421B"/>
    <w:rsid w:val="00F9480D"/>
    <w:rsid w:val="00F9484D"/>
    <w:rsid w:val="00F94B9B"/>
    <w:rsid w:val="00F94C00"/>
    <w:rsid w:val="00F94FF9"/>
    <w:rsid w:val="00F95068"/>
    <w:rsid w:val="00F95AB7"/>
    <w:rsid w:val="00F95B5F"/>
    <w:rsid w:val="00F95D36"/>
    <w:rsid w:val="00F96131"/>
    <w:rsid w:val="00F9630D"/>
    <w:rsid w:val="00F96549"/>
    <w:rsid w:val="00F9665B"/>
    <w:rsid w:val="00F96BB3"/>
    <w:rsid w:val="00F97568"/>
    <w:rsid w:val="00F976AF"/>
    <w:rsid w:val="00F976E1"/>
    <w:rsid w:val="00F977AE"/>
    <w:rsid w:val="00F9785A"/>
    <w:rsid w:val="00F9791A"/>
    <w:rsid w:val="00FA0169"/>
    <w:rsid w:val="00FA0263"/>
    <w:rsid w:val="00FA02D8"/>
    <w:rsid w:val="00FA045A"/>
    <w:rsid w:val="00FA09A8"/>
    <w:rsid w:val="00FA0BE2"/>
    <w:rsid w:val="00FA1375"/>
    <w:rsid w:val="00FA1638"/>
    <w:rsid w:val="00FA1725"/>
    <w:rsid w:val="00FA174E"/>
    <w:rsid w:val="00FA18F7"/>
    <w:rsid w:val="00FA1C9F"/>
    <w:rsid w:val="00FA1E51"/>
    <w:rsid w:val="00FA1EE2"/>
    <w:rsid w:val="00FA20E8"/>
    <w:rsid w:val="00FA2127"/>
    <w:rsid w:val="00FA2258"/>
    <w:rsid w:val="00FA2300"/>
    <w:rsid w:val="00FA2355"/>
    <w:rsid w:val="00FA280B"/>
    <w:rsid w:val="00FA2933"/>
    <w:rsid w:val="00FA2D64"/>
    <w:rsid w:val="00FA2E46"/>
    <w:rsid w:val="00FA309C"/>
    <w:rsid w:val="00FA30D9"/>
    <w:rsid w:val="00FA3483"/>
    <w:rsid w:val="00FA374F"/>
    <w:rsid w:val="00FA3780"/>
    <w:rsid w:val="00FA3903"/>
    <w:rsid w:val="00FA3AEF"/>
    <w:rsid w:val="00FA3B8F"/>
    <w:rsid w:val="00FA3C33"/>
    <w:rsid w:val="00FA3F05"/>
    <w:rsid w:val="00FA41C4"/>
    <w:rsid w:val="00FA44DF"/>
    <w:rsid w:val="00FA45B8"/>
    <w:rsid w:val="00FA4908"/>
    <w:rsid w:val="00FA4994"/>
    <w:rsid w:val="00FA4FB3"/>
    <w:rsid w:val="00FA516F"/>
    <w:rsid w:val="00FA5217"/>
    <w:rsid w:val="00FA5264"/>
    <w:rsid w:val="00FA54B0"/>
    <w:rsid w:val="00FA5608"/>
    <w:rsid w:val="00FA5A88"/>
    <w:rsid w:val="00FA5AE8"/>
    <w:rsid w:val="00FA6140"/>
    <w:rsid w:val="00FA62FF"/>
    <w:rsid w:val="00FA630E"/>
    <w:rsid w:val="00FA676E"/>
    <w:rsid w:val="00FA6A7F"/>
    <w:rsid w:val="00FA6FAE"/>
    <w:rsid w:val="00FA7B6B"/>
    <w:rsid w:val="00FA7F85"/>
    <w:rsid w:val="00FB01B9"/>
    <w:rsid w:val="00FB027E"/>
    <w:rsid w:val="00FB05EA"/>
    <w:rsid w:val="00FB0BE9"/>
    <w:rsid w:val="00FB0FC4"/>
    <w:rsid w:val="00FB103B"/>
    <w:rsid w:val="00FB1099"/>
    <w:rsid w:val="00FB12E6"/>
    <w:rsid w:val="00FB13CD"/>
    <w:rsid w:val="00FB13E4"/>
    <w:rsid w:val="00FB1651"/>
    <w:rsid w:val="00FB187D"/>
    <w:rsid w:val="00FB18F2"/>
    <w:rsid w:val="00FB1B14"/>
    <w:rsid w:val="00FB1F5D"/>
    <w:rsid w:val="00FB20D3"/>
    <w:rsid w:val="00FB23E3"/>
    <w:rsid w:val="00FB27AB"/>
    <w:rsid w:val="00FB2AA2"/>
    <w:rsid w:val="00FB2AE2"/>
    <w:rsid w:val="00FB2B5E"/>
    <w:rsid w:val="00FB2C44"/>
    <w:rsid w:val="00FB2D3C"/>
    <w:rsid w:val="00FB2E45"/>
    <w:rsid w:val="00FB2E4E"/>
    <w:rsid w:val="00FB305B"/>
    <w:rsid w:val="00FB3162"/>
    <w:rsid w:val="00FB367B"/>
    <w:rsid w:val="00FB3764"/>
    <w:rsid w:val="00FB3953"/>
    <w:rsid w:val="00FB3DBD"/>
    <w:rsid w:val="00FB41B1"/>
    <w:rsid w:val="00FB42FE"/>
    <w:rsid w:val="00FB4862"/>
    <w:rsid w:val="00FB4BA5"/>
    <w:rsid w:val="00FB4DB2"/>
    <w:rsid w:val="00FB4DD9"/>
    <w:rsid w:val="00FB4EBF"/>
    <w:rsid w:val="00FB543F"/>
    <w:rsid w:val="00FB54BD"/>
    <w:rsid w:val="00FB5659"/>
    <w:rsid w:val="00FB5878"/>
    <w:rsid w:val="00FB5ACC"/>
    <w:rsid w:val="00FB5B55"/>
    <w:rsid w:val="00FB5B97"/>
    <w:rsid w:val="00FB5F6E"/>
    <w:rsid w:val="00FB5FEA"/>
    <w:rsid w:val="00FB6A48"/>
    <w:rsid w:val="00FB6A8C"/>
    <w:rsid w:val="00FB6B3D"/>
    <w:rsid w:val="00FB701B"/>
    <w:rsid w:val="00FB73DA"/>
    <w:rsid w:val="00FB7559"/>
    <w:rsid w:val="00FB766A"/>
    <w:rsid w:val="00FB7AE3"/>
    <w:rsid w:val="00FB7DCA"/>
    <w:rsid w:val="00FB7ECE"/>
    <w:rsid w:val="00FC022F"/>
    <w:rsid w:val="00FC02B4"/>
    <w:rsid w:val="00FC049C"/>
    <w:rsid w:val="00FC06CE"/>
    <w:rsid w:val="00FC0910"/>
    <w:rsid w:val="00FC0D5C"/>
    <w:rsid w:val="00FC0E90"/>
    <w:rsid w:val="00FC0F9C"/>
    <w:rsid w:val="00FC142F"/>
    <w:rsid w:val="00FC165E"/>
    <w:rsid w:val="00FC19AA"/>
    <w:rsid w:val="00FC1CC5"/>
    <w:rsid w:val="00FC1F2D"/>
    <w:rsid w:val="00FC1FDA"/>
    <w:rsid w:val="00FC22D0"/>
    <w:rsid w:val="00FC23A3"/>
    <w:rsid w:val="00FC256F"/>
    <w:rsid w:val="00FC30A1"/>
    <w:rsid w:val="00FC313E"/>
    <w:rsid w:val="00FC3370"/>
    <w:rsid w:val="00FC33F9"/>
    <w:rsid w:val="00FC3687"/>
    <w:rsid w:val="00FC369E"/>
    <w:rsid w:val="00FC372B"/>
    <w:rsid w:val="00FC3AD9"/>
    <w:rsid w:val="00FC3BD4"/>
    <w:rsid w:val="00FC3C0B"/>
    <w:rsid w:val="00FC3D9C"/>
    <w:rsid w:val="00FC3DE6"/>
    <w:rsid w:val="00FC41C0"/>
    <w:rsid w:val="00FC4361"/>
    <w:rsid w:val="00FC4398"/>
    <w:rsid w:val="00FC43F4"/>
    <w:rsid w:val="00FC4892"/>
    <w:rsid w:val="00FC4D43"/>
    <w:rsid w:val="00FC502C"/>
    <w:rsid w:val="00FC527B"/>
    <w:rsid w:val="00FC54ED"/>
    <w:rsid w:val="00FC55F6"/>
    <w:rsid w:val="00FC5B49"/>
    <w:rsid w:val="00FC5F19"/>
    <w:rsid w:val="00FC5FBA"/>
    <w:rsid w:val="00FC62E0"/>
    <w:rsid w:val="00FC6B18"/>
    <w:rsid w:val="00FC6BA5"/>
    <w:rsid w:val="00FC7185"/>
    <w:rsid w:val="00FC72F3"/>
    <w:rsid w:val="00FC7320"/>
    <w:rsid w:val="00FC7763"/>
    <w:rsid w:val="00FC7ADB"/>
    <w:rsid w:val="00FC7BF0"/>
    <w:rsid w:val="00FC7C80"/>
    <w:rsid w:val="00FD02D3"/>
    <w:rsid w:val="00FD0725"/>
    <w:rsid w:val="00FD0D40"/>
    <w:rsid w:val="00FD148D"/>
    <w:rsid w:val="00FD16A1"/>
    <w:rsid w:val="00FD1739"/>
    <w:rsid w:val="00FD1A08"/>
    <w:rsid w:val="00FD1C3B"/>
    <w:rsid w:val="00FD1CD4"/>
    <w:rsid w:val="00FD1D52"/>
    <w:rsid w:val="00FD1DB2"/>
    <w:rsid w:val="00FD1FEF"/>
    <w:rsid w:val="00FD2446"/>
    <w:rsid w:val="00FD2600"/>
    <w:rsid w:val="00FD2B89"/>
    <w:rsid w:val="00FD2D0E"/>
    <w:rsid w:val="00FD2FCD"/>
    <w:rsid w:val="00FD301D"/>
    <w:rsid w:val="00FD3030"/>
    <w:rsid w:val="00FD33D9"/>
    <w:rsid w:val="00FD34DB"/>
    <w:rsid w:val="00FD4219"/>
    <w:rsid w:val="00FD426E"/>
    <w:rsid w:val="00FD4657"/>
    <w:rsid w:val="00FD46C3"/>
    <w:rsid w:val="00FD476B"/>
    <w:rsid w:val="00FD499D"/>
    <w:rsid w:val="00FD4BF7"/>
    <w:rsid w:val="00FD51DA"/>
    <w:rsid w:val="00FD5319"/>
    <w:rsid w:val="00FD5580"/>
    <w:rsid w:val="00FD55BE"/>
    <w:rsid w:val="00FD598B"/>
    <w:rsid w:val="00FD5A1E"/>
    <w:rsid w:val="00FD6398"/>
    <w:rsid w:val="00FD6527"/>
    <w:rsid w:val="00FD655F"/>
    <w:rsid w:val="00FD696C"/>
    <w:rsid w:val="00FD6BCD"/>
    <w:rsid w:val="00FD72B7"/>
    <w:rsid w:val="00FD73D8"/>
    <w:rsid w:val="00FD76DF"/>
    <w:rsid w:val="00FD78CF"/>
    <w:rsid w:val="00FD7C7F"/>
    <w:rsid w:val="00FD7D52"/>
    <w:rsid w:val="00FE0076"/>
    <w:rsid w:val="00FE02ED"/>
    <w:rsid w:val="00FE0317"/>
    <w:rsid w:val="00FE0CE3"/>
    <w:rsid w:val="00FE0CEB"/>
    <w:rsid w:val="00FE1433"/>
    <w:rsid w:val="00FE16F2"/>
    <w:rsid w:val="00FE1AF5"/>
    <w:rsid w:val="00FE1D91"/>
    <w:rsid w:val="00FE1E10"/>
    <w:rsid w:val="00FE1F69"/>
    <w:rsid w:val="00FE209C"/>
    <w:rsid w:val="00FE2B72"/>
    <w:rsid w:val="00FE33A1"/>
    <w:rsid w:val="00FE343C"/>
    <w:rsid w:val="00FE34D6"/>
    <w:rsid w:val="00FE38BB"/>
    <w:rsid w:val="00FE3A05"/>
    <w:rsid w:val="00FE3A12"/>
    <w:rsid w:val="00FE3CCF"/>
    <w:rsid w:val="00FE41A7"/>
    <w:rsid w:val="00FE42E9"/>
    <w:rsid w:val="00FE4778"/>
    <w:rsid w:val="00FE47DF"/>
    <w:rsid w:val="00FE4844"/>
    <w:rsid w:val="00FE49B3"/>
    <w:rsid w:val="00FE4A10"/>
    <w:rsid w:val="00FE4AD9"/>
    <w:rsid w:val="00FE4B21"/>
    <w:rsid w:val="00FE520C"/>
    <w:rsid w:val="00FE544A"/>
    <w:rsid w:val="00FE6063"/>
    <w:rsid w:val="00FE6248"/>
    <w:rsid w:val="00FE6A4A"/>
    <w:rsid w:val="00FE6F60"/>
    <w:rsid w:val="00FE6F9D"/>
    <w:rsid w:val="00FE7092"/>
    <w:rsid w:val="00FE71A8"/>
    <w:rsid w:val="00FE7357"/>
    <w:rsid w:val="00FE78FA"/>
    <w:rsid w:val="00FE79F5"/>
    <w:rsid w:val="00FE7A08"/>
    <w:rsid w:val="00FF0A8E"/>
    <w:rsid w:val="00FF0C34"/>
    <w:rsid w:val="00FF12ED"/>
    <w:rsid w:val="00FF16AC"/>
    <w:rsid w:val="00FF1714"/>
    <w:rsid w:val="00FF1742"/>
    <w:rsid w:val="00FF1774"/>
    <w:rsid w:val="00FF1B0A"/>
    <w:rsid w:val="00FF1C46"/>
    <w:rsid w:val="00FF1CC2"/>
    <w:rsid w:val="00FF201E"/>
    <w:rsid w:val="00FF2B19"/>
    <w:rsid w:val="00FF2E04"/>
    <w:rsid w:val="00FF3661"/>
    <w:rsid w:val="00FF382D"/>
    <w:rsid w:val="00FF3B41"/>
    <w:rsid w:val="00FF407C"/>
    <w:rsid w:val="00FF4752"/>
    <w:rsid w:val="00FF47FC"/>
    <w:rsid w:val="00FF4D97"/>
    <w:rsid w:val="00FF500D"/>
    <w:rsid w:val="00FF521C"/>
    <w:rsid w:val="00FF5296"/>
    <w:rsid w:val="00FF5537"/>
    <w:rsid w:val="00FF55E4"/>
    <w:rsid w:val="00FF56A1"/>
    <w:rsid w:val="00FF5F19"/>
    <w:rsid w:val="00FF636A"/>
    <w:rsid w:val="00FF6478"/>
    <w:rsid w:val="00FF66CC"/>
    <w:rsid w:val="00FF67AE"/>
    <w:rsid w:val="00FF698A"/>
    <w:rsid w:val="00FF6C92"/>
    <w:rsid w:val="00FF6E33"/>
    <w:rsid w:val="00FF7362"/>
    <w:rsid w:val="00FF7994"/>
    <w:rsid w:val="00FF7B92"/>
    <w:rsid w:val="00FF7DBC"/>
    <w:rsid w:val="010ACDF2"/>
    <w:rsid w:val="01120A22"/>
    <w:rsid w:val="0126B1C3"/>
    <w:rsid w:val="013499E1"/>
    <w:rsid w:val="013C1EE1"/>
    <w:rsid w:val="014912DD"/>
    <w:rsid w:val="016BC748"/>
    <w:rsid w:val="01870A61"/>
    <w:rsid w:val="018E139D"/>
    <w:rsid w:val="0190B8C2"/>
    <w:rsid w:val="01912C55"/>
    <w:rsid w:val="0194BD02"/>
    <w:rsid w:val="01A889E5"/>
    <w:rsid w:val="01D95C52"/>
    <w:rsid w:val="01E8818B"/>
    <w:rsid w:val="01EEDF28"/>
    <w:rsid w:val="01F4ECB0"/>
    <w:rsid w:val="01FE3F88"/>
    <w:rsid w:val="02064447"/>
    <w:rsid w:val="020BFDCA"/>
    <w:rsid w:val="021E3C53"/>
    <w:rsid w:val="0229B035"/>
    <w:rsid w:val="02373F54"/>
    <w:rsid w:val="0239222A"/>
    <w:rsid w:val="02612246"/>
    <w:rsid w:val="02650867"/>
    <w:rsid w:val="02790289"/>
    <w:rsid w:val="027A8383"/>
    <w:rsid w:val="027AA218"/>
    <w:rsid w:val="028B38FE"/>
    <w:rsid w:val="028DA2EC"/>
    <w:rsid w:val="0290C73A"/>
    <w:rsid w:val="02A5AE3E"/>
    <w:rsid w:val="02CA0B38"/>
    <w:rsid w:val="02CB6251"/>
    <w:rsid w:val="02CC73CC"/>
    <w:rsid w:val="02DAF8F1"/>
    <w:rsid w:val="02E2681C"/>
    <w:rsid w:val="02E8E41C"/>
    <w:rsid w:val="02ECBDC6"/>
    <w:rsid w:val="02F6682D"/>
    <w:rsid w:val="032843C8"/>
    <w:rsid w:val="032F6D38"/>
    <w:rsid w:val="0335500E"/>
    <w:rsid w:val="0337871E"/>
    <w:rsid w:val="0348F21F"/>
    <w:rsid w:val="0351C171"/>
    <w:rsid w:val="036406AE"/>
    <w:rsid w:val="0365BB98"/>
    <w:rsid w:val="038E115F"/>
    <w:rsid w:val="0390B009"/>
    <w:rsid w:val="03966FFF"/>
    <w:rsid w:val="03971816"/>
    <w:rsid w:val="03A76DBE"/>
    <w:rsid w:val="03AC7FE3"/>
    <w:rsid w:val="03B15E36"/>
    <w:rsid w:val="03D40009"/>
    <w:rsid w:val="03DB57E8"/>
    <w:rsid w:val="03FC465A"/>
    <w:rsid w:val="03FE568A"/>
    <w:rsid w:val="0402F0AA"/>
    <w:rsid w:val="0403339B"/>
    <w:rsid w:val="04043946"/>
    <w:rsid w:val="040573D3"/>
    <w:rsid w:val="040A06D8"/>
    <w:rsid w:val="040B6911"/>
    <w:rsid w:val="040D2901"/>
    <w:rsid w:val="041D1F1B"/>
    <w:rsid w:val="0420ED25"/>
    <w:rsid w:val="0442AC36"/>
    <w:rsid w:val="0444EC92"/>
    <w:rsid w:val="045D2709"/>
    <w:rsid w:val="046216B1"/>
    <w:rsid w:val="046F2A69"/>
    <w:rsid w:val="04722750"/>
    <w:rsid w:val="04979E6D"/>
    <w:rsid w:val="0498B4D5"/>
    <w:rsid w:val="04AE8574"/>
    <w:rsid w:val="04B80F27"/>
    <w:rsid w:val="04C3DCC2"/>
    <w:rsid w:val="04C9FEC2"/>
    <w:rsid w:val="04E0B6FB"/>
    <w:rsid w:val="04E1FA63"/>
    <w:rsid w:val="04E27004"/>
    <w:rsid w:val="050501AB"/>
    <w:rsid w:val="050513D3"/>
    <w:rsid w:val="051BCC5D"/>
    <w:rsid w:val="051D8D60"/>
    <w:rsid w:val="051F7D17"/>
    <w:rsid w:val="0548B0AF"/>
    <w:rsid w:val="0555C371"/>
    <w:rsid w:val="057415AB"/>
    <w:rsid w:val="05A00C48"/>
    <w:rsid w:val="05C4033D"/>
    <w:rsid w:val="05CF82B8"/>
    <w:rsid w:val="05D2F37E"/>
    <w:rsid w:val="05D3A7E2"/>
    <w:rsid w:val="05DA2B66"/>
    <w:rsid w:val="05E108D0"/>
    <w:rsid w:val="05F6D9E6"/>
    <w:rsid w:val="05F7CC18"/>
    <w:rsid w:val="0601C8DA"/>
    <w:rsid w:val="0616F58C"/>
    <w:rsid w:val="0621B264"/>
    <w:rsid w:val="0622C2C2"/>
    <w:rsid w:val="06432294"/>
    <w:rsid w:val="0647D87D"/>
    <w:rsid w:val="064D0FF8"/>
    <w:rsid w:val="06500DAA"/>
    <w:rsid w:val="068C4C00"/>
    <w:rsid w:val="069D5CFF"/>
    <w:rsid w:val="06A36CA2"/>
    <w:rsid w:val="06CA7D56"/>
    <w:rsid w:val="06D05CC6"/>
    <w:rsid w:val="06D4FD76"/>
    <w:rsid w:val="06E179ED"/>
    <w:rsid w:val="06E8C942"/>
    <w:rsid w:val="06ECE4D0"/>
    <w:rsid w:val="06EE341F"/>
    <w:rsid w:val="06F06269"/>
    <w:rsid w:val="06F4AEFF"/>
    <w:rsid w:val="06FF5259"/>
    <w:rsid w:val="070F203C"/>
    <w:rsid w:val="07280921"/>
    <w:rsid w:val="072D5FC7"/>
    <w:rsid w:val="07477FF9"/>
    <w:rsid w:val="074A7E75"/>
    <w:rsid w:val="0754990F"/>
    <w:rsid w:val="07575F47"/>
    <w:rsid w:val="07627886"/>
    <w:rsid w:val="076AD7D2"/>
    <w:rsid w:val="07877AF7"/>
    <w:rsid w:val="0791929D"/>
    <w:rsid w:val="07982DDD"/>
    <w:rsid w:val="079E2364"/>
    <w:rsid w:val="07ABC21E"/>
    <w:rsid w:val="07C4F857"/>
    <w:rsid w:val="07D6ED19"/>
    <w:rsid w:val="07E46C60"/>
    <w:rsid w:val="07F01115"/>
    <w:rsid w:val="07FC14A6"/>
    <w:rsid w:val="08044AB4"/>
    <w:rsid w:val="08051FD4"/>
    <w:rsid w:val="080559CB"/>
    <w:rsid w:val="0808670D"/>
    <w:rsid w:val="0816A97D"/>
    <w:rsid w:val="08195ED2"/>
    <w:rsid w:val="0825236E"/>
    <w:rsid w:val="08357295"/>
    <w:rsid w:val="084B4F80"/>
    <w:rsid w:val="084F9022"/>
    <w:rsid w:val="0851B285"/>
    <w:rsid w:val="08575DDA"/>
    <w:rsid w:val="0864F2AA"/>
    <w:rsid w:val="086971F0"/>
    <w:rsid w:val="087C4C5D"/>
    <w:rsid w:val="088198BE"/>
    <w:rsid w:val="0894E847"/>
    <w:rsid w:val="089672E6"/>
    <w:rsid w:val="0899B91F"/>
    <w:rsid w:val="089ACEFC"/>
    <w:rsid w:val="08A3EBEA"/>
    <w:rsid w:val="08A6D078"/>
    <w:rsid w:val="08E57284"/>
    <w:rsid w:val="08E83DA6"/>
    <w:rsid w:val="08ED7C5B"/>
    <w:rsid w:val="08EF2029"/>
    <w:rsid w:val="08EF2672"/>
    <w:rsid w:val="08F912F9"/>
    <w:rsid w:val="09097E73"/>
    <w:rsid w:val="091C281B"/>
    <w:rsid w:val="094DD65C"/>
    <w:rsid w:val="0956E6F9"/>
    <w:rsid w:val="0958A49B"/>
    <w:rsid w:val="09677B58"/>
    <w:rsid w:val="096BDCF2"/>
    <w:rsid w:val="096C5716"/>
    <w:rsid w:val="0970398E"/>
    <w:rsid w:val="0986DD7F"/>
    <w:rsid w:val="098B821A"/>
    <w:rsid w:val="098ED5FD"/>
    <w:rsid w:val="0995DF37"/>
    <w:rsid w:val="0996E413"/>
    <w:rsid w:val="099AC29E"/>
    <w:rsid w:val="09A7074E"/>
    <w:rsid w:val="09BE6CCA"/>
    <w:rsid w:val="09C2D4C3"/>
    <w:rsid w:val="09CC0329"/>
    <w:rsid w:val="09CCC089"/>
    <w:rsid w:val="09E96E19"/>
    <w:rsid w:val="09ECA07F"/>
    <w:rsid w:val="09FB188B"/>
    <w:rsid w:val="0A0172DF"/>
    <w:rsid w:val="0A27A999"/>
    <w:rsid w:val="0A326274"/>
    <w:rsid w:val="0A378BBB"/>
    <w:rsid w:val="0A3F34F7"/>
    <w:rsid w:val="0A488312"/>
    <w:rsid w:val="0A56C398"/>
    <w:rsid w:val="0A744563"/>
    <w:rsid w:val="0A7AEDD9"/>
    <w:rsid w:val="0A7C3667"/>
    <w:rsid w:val="0A966895"/>
    <w:rsid w:val="0A990EA3"/>
    <w:rsid w:val="0ABED891"/>
    <w:rsid w:val="0AC9BE59"/>
    <w:rsid w:val="0AD0AD72"/>
    <w:rsid w:val="0AD43907"/>
    <w:rsid w:val="0AD72D77"/>
    <w:rsid w:val="0ADE8CC9"/>
    <w:rsid w:val="0AE2827C"/>
    <w:rsid w:val="0AEECBCD"/>
    <w:rsid w:val="0AFC6B50"/>
    <w:rsid w:val="0B0258DE"/>
    <w:rsid w:val="0B1F3CE0"/>
    <w:rsid w:val="0B20DCF5"/>
    <w:rsid w:val="0B256E87"/>
    <w:rsid w:val="0B317EAC"/>
    <w:rsid w:val="0B468A79"/>
    <w:rsid w:val="0B74295B"/>
    <w:rsid w:val="0B787607"/>
    <w:rsid w:val="0B78F6E8"/>
    <w:rsid w:val="0B8CD1F1"/>
    <w:rsid w:val="0B9A0472"/>
    <w:rsid w:val="0B9D8638"/>
    <w:rsid w:val="0BA79FE7"/>
    <w:rsid w:val="0BB2A973"/>
    <w:rsid w:val="0BB3BA58"/>
    <w:rsid w:val="0BC2C41C"/>
    <w:rsid w:val="0BDF0F09"/>
    <w:rsid w:val="0BF47AAE"/>
    <w:rsid w:val="0BFB1077"/>
    <w:rsid w:val="0C087E12"/>
    <w:rsid w:val="0C33C7C0"/>
    <w:rsid w:val="0C3EA6FC"/>
    <w:rsid w:val="0C52AC91"/>
    <w:rsid w:val="0C6E9214"/>
    <w:rsid w:val="0C8B4756"/>
    <w:rsid w:val="0C9BA443"/>
    <w:rsid w:val="0CA24EFC"/>
    <w:rsid w:val="0CACF3ED"/>
    <w:rsid w:val="0CC24487"/>
    <w:rsid w:val="0CC2DB2A"/>
    <w:rsid w:val="0CC8C80E"/>
    <w:rsid w:val="0CCC5858"/>
    <w:rsid w:val="0CEF185E"/>
    <w:rsid w:val="0CF9D4F4"/>
    <w:rsid w:val="0D0C0332"/>
    <w:rsid w:val="0D134B9E"/>
    <w:rsid w:val="0D1F6CD2"/>
    <w:rsid w:val="0D250DB0"/>
    <w:rsid w:val="0D3DB950"/>
    <w:rsid w:val="0D403226"/>
    <w:rsid w:val="0D463FC7"/>
    <w:rsid w:val="0D4D5619"/>
    <w:rsid w:val="0D52B84B"/>
    <w:rsid w:val="0D81D629"/>
    <w:rsid w:val="0DB1D7C3"/>
    <w:rsid w:val="0DBCA9DE"/>
    <w:rsid w:val="0DBD4195"/>
    <w:rsid w:val="0DC245E6"/>
    <w:rsid w:val="0DC3A30E"/>
    <w:rsid w:val="0DC52902"/>
    <w:rsid w:val="0DCA2571"/>
    <w:rsid w:val="0E226C18"/>
    <w:rsid w:val="0E251B08"/>
    <w:rsid w:val="0E31CCC8"/>
    <w:rsid w:val="0E3960E5"/>
    <w:rsid w:val="0E3B1142"/>
    <w:rsid w:val="0E41C1E9"/>
    <w:rsid w:val="0E478213"/>
    <w:rsid w:val="0E494059"/>
    <w:rsid w:val="0E6194E6"/>
    <w:rsid w:val="0EAAC612"/>
    <w:rsid w:val="0EB046FB"/>
    <w:rsid w:val="0EB23FBE"/>
    <w:rsid w:val="0EC347DD"/>
    <w:rsid w:val="0EC54229"/>
    <w:rsid w:val="0EC6754C"/>
    <w:rsid w:val="0EE2AF18"/>
    <w:rsid w:val="0EFB95DB"/>
    <w:rsid w:val="0F0F171A"/>
    <w:rsid w:val="0F194D02"/>
    <w:rsid w:val="0F32F9AE"/>
    <w:rsid w:val="0F350DCA"/>
    <w:rsid w:val="0F3EEB70"/>
    <w:rsid w:val="0F4B8373"/>
    <w:rsid w:val="0F50A730"/>
    <w:rsid w:val="0F52E0CA"/>
    <w:rsid w:val="0F56B5C4"/>
    <w:rsid w:val="0F7DAE6B"/>
    <w:rsid w:val="0F884A07"/>
    <w:rsid w:val="0F9F2C32"/>
    <w:rsid w:val="0FB31616"/>
    <w:rsid w:val="0FD106C0"/>
    <w:rsid w:val="0FD8FB82"/>
    <w:rsid w:val="0FE2EFB2"/>
    <w:rsid w:val="0FE53310"/>
    <w:rsid w:val="0FFEB120"/>
    <w:rsid w:val="10123CAC"/>
    <w:rsid w:val="104BEFC0"/>
    <w:rsid w:val="104EA240"/>
    <w:rsid w:val="10692F2A"/>
    <w:rsid w:val="10704F7F"/>
    <w:rsid w:val="10713376"/>
    <w:rsid w:val="10729C99"/>
    <w:rsid w:val="108E0B6E"/>
    <w:rsid w:val="1093BADD"/>
    <w:rsid w:val="10A3A7B7"/>
    <w:rsid w:val="10B0D7E8"/>
    <w:rsid w:val="10B38B3B"/>
    <w:rsid w:val="10D1C251"/>
    <w:rsid w:val="10D2532A"/>
    <w:rsid w:val="10E13719"/>
    <w:rsid w:val="10EBA7D9"/>
    <w:rsid w:val="10F17650"/>
    <w:rsid w:val="10F827EB"/>
    <w:rsid w:val="10FBD663"/>
    <w:rsid w:val="11051787"/>
    <w:rsid w:val="1110CF2E"/>
    <w:rsid w:val="113C2E94"/>
    <w:rsid w:val="1157BFC1"/>
    <w:rsid w:val="116A9AC7"/>
    <w:rsid w:val="117E37E8"/>
    <w:rsid w:val="118311EB"/>
    <w:rsid w:val="118DB529"/>
    <w:rsid w:val="1193B0CE"/>
    <w:rsid w:val="1197DB4C"/>
    <w:rsid w:val="11AC1789"/>
    <w:rsid w:val="11D27474"/>
    <w:rsid w:val="11E46D25"/>
    <w:rsid w:val="11F13DE8"/>
    <w:rsid w:val="11F37397"/>
    <w:rsid w:val="11FB55A6"/>
    <w:rsid w:val="12158EAB"/>
    <w:rsid w:val="1217C142"/>
    <w:rsid w:val="12273927"/>
    <w:rsid w:val="122B5346"/>
    <w:rsid w:val="12369302"/>
    <w:rsid w:val="1249CDCE"/>
    <w:rsid w:val="124DD3C8"/>
    <w:rsid w:val="125906F2"/>
    <w:rsid w:val="12651B69"/>
    <w:rsid w:val="126E64D2"/>
    <w:rsid w:val="128DC8D0"/>
    <w:rsid w:val="129EC935"/>
    <w:rsid w:val="12A107FA"/>
    <w:rsid w:val="12A7585B"/>
    <w:rsid w:val="12C3CB5B"/>
    <w:rsid w:val="12C5A316"/>
    <w:rsid w:val="12C7A25B"/>
    <w:rsid w:val="12E07EE5"/>
    <w:rsid w:val="12F3D47D"/>
    <w:rsid w:val="130A132C"/>
    <w:rsid w:val="130FB2A3"/>
    <w:rsid w:val="1310428D"/>
    <w:rsid w:val="131260B6"/>
    <w:rsid w:val="131C97B6"/>
    <w:rsid w:val="131D9B7D"/>
    <w:rsid w:val="1328E248"/>
    <w:rsid w:val="13295318"/>
    <w:rsid w:val="133921B2"/>
    <w:rsid w:val="1340F86C"/>
    <w:rsid w:val="1348D7ED"/>
    <w:rsid w:val="13530A94"/>
    <w:rsid w:val="136359DC"/>
    <w:rsid w:val="1382FEBB"/>
    <w:rsid w:val="138FDDEC"/>
    <w:rsid w:val="13944156"/>
    <w:rsid w:val="139E1A56"/>
    <w:rsid w:val="13A145FA"/>
    <w:rsid w:val="13AEE5E2"/>
    <w:rsid w:val="13C933E7"/>
    <w:rsid w:val="13D8B2DA"/>
    <w:rsid w:val="13DEF42A"/>
    <w:rsid w:val="13E6036C"/>
    <w:rsid w:val="13E8DA84"/>
    <w:rsid w:val="140859C3"/>
    <w:rsid w:val="140AE683"/>
    <w:rsid w:val="141DA284"/>
    <w:rsid w:val="143518C1"/>
    <w:rsid w:val="144AA099"/>
    <w:rsid w:val="1451CF05"/>
    <w:rsid w:val="145F082D"/>
    <w:rsid w:val="1464CFAE"/>
    <w:rsid w:val="146B7A92"/>
    <w:rsid w:val="147C58AE"/>
    <w:rsid w:val="1486A71E"/>
    <w:rsid w:val="14971145"/>
    <w:rsid w:val="149B4DAE"/>
    <w:rsid w:val="14A3A44F"/>
    <w:rsid w:val="14B428B5"/>
    <w:rsid w:val="14B7EB27"/>
    <w:rsid w:val="14DA44D2"/>
    <w:rsid w:val="14DB81D1"/>
    <w:rsid w:val="151DF189"/>
    <w:rsid w:val="152B86CF"/>
    <w:rsid w:val="152CB390"/>
    <w:rsid w:val="1537584A"/>
    <w:rsid w:val="153B1CD4"/>
    <w:rsid w:val="15425425"/>
    <w:rsid w:val="15426B79"/>
    <w:rsid w:val="154C7643"/>
    <w:rsid w:val="1555018A"/>
    <w:rsid w:val="1556C9C6"/>
    <w:rsid w:val="157A6412"/>
    <w:rsid w:val="158430FD"/>
    <w:rsid w:val="1584FB2C"/>
    <w:rsid w:val="15887375"/>
    <w:rsid w:val="15A80F31"/>
    <w:rsid w:val="15A9F05C"/>
    <w:rsid w:val="15B971E8"/>
    <w:rsid w:val="15C1DB07"/>
    <w:rsid w:val="15E28784"/>
    <w:rsid w:val="15E6EECC"/>
    <w:rsid w:val="15F86304"/>
    <w:rsid w:val="16031C6A"/>
    <w:rsid w:val="1608A945"/>
    <w:rsid w:val="160F3A6A"/>
    <w:rsid w:val="16107802"/>
    <w:rsid w:val="162045B7"/>
    <w:rsid w:val="162FE59D"/>
    <w:rsid w:val="1638E1E7"/>
    <w:rsid w:val="16406B0D"/>
    <w:rsid w:val="1641FE49"/>
    <w:rsid w:val="16520970"/>
    <w:rsid w:val="1658CAB9"/>
    <w:rsid w:val="16616F9E"/>
    <w:rsid w:val="1664B2C1"/>
    <w:rsid w:val="166653FE"/>
    <w:rsid w:val="166FC9BA"/>
    <w:rsid w:val="167B6195"/>
    <w:rsid w:val="1699AF4E"/>
    <w:rsid w:val="169FCEE0"/>
    <w:rsid w:val="16BC5BDF"/>
    <w:rsid w:val="16BE79A4"/>
    <w:rsid w:val="16C8AA9C"/>
    <w:rsid w:val="16CE28BF"/>
    <w:rsid w:val="16E739C1"/>
    <w:rsid w:val="16EF4754"/>
    <w:rsid w:val="16F4A77E"/>
    <w:rsid w:val="17123F58"/>
    <w:rsid w:val="1728EDA0"/>
    <w:rsid w:val="172A47BB"/>
    <w:rsid w:val="17303547"/>
    <w:rsid w:val="17323C9A"/>
    <w:rsid w:val="173A90C9"/>
    <w:rsid w:val="174B9357"/>
    <w:rsid w:val="17601789"/>
    <w:rsid w:val="1760D7BC"/>
    <w:rsid w:val="17865695"/>
    <w:rsid w:val="17A6DCAC"/>
    <w:rsid w:val="17AFD045"/>
    <w:rsid w:val="17B623D0"/>
    <w:rsid w:val="17C71F1E"/>
    <w:rsid w:val="17CA593B"/>
    <w:rsid w:val="17CBF079"/>
    <w:rsid w:val="17D3458D"/>
    <w:rsid w:val="17E023D3"/>
    <w:rsid w:val="17E1B8AF"/>
    <w:rsid w:val="17E7BBC1"/>
    <w:rsid w:val="17EE695B"/>
    <w:rsid w:val="17F1CF0A"/>
    <w:rsid w:val="18001B9E"/>
    <w:rsid w:val="180DFA1D"/>
    <w:rsid w:val="181F908E"/>
    <w:rsid w:val="183C919E"/>
    <w:rsid w:val="1849B7FD"/>
    <w:rsid w:val="18591444"/>
    <w:rsid w:val="185C2B32"/>
    <w:rsid w:val="18657614"/>
    <w:rsid w:val="18695152"/>
    <w:rsid w:val="186D1177"/>
    <w:rsid w:val="186DA2B9"/>
    <w:rsid w:val="188CD08F"/>
    <w:rsid w:val="188F0E82"/>
    <w:rsid w:val="1897F79B"/>
    <w:rsid w:val="18A9BC5C"/>
    <w:rsid w:val="18B307DD"/>
    <w:rsid w:val="18BB26D8"/>
    <w:rsid w:val="18D03771"/>
    <w:rsid w:val="18D0569C"/>
    <w:rsid w:val="18E08229"/>
    <w:rsid w:val="18FACBDC"/>
    <w:rsid w:val="1908C59C"/>
    <w:rsid w:val="191D4139"/>
    <w:rsid w:val="1921153E"/>
    <w:rsid w:val="193369A9"/>
    <w:rsid w:val="193E19F3"/>
    <w:rsid w:val="194CD0BA"/>
    <w:rsid w:val="195DAD59"/>
    <w:rsid w:val="1974DB41"/>
    <w:rsid w:val="197BFE6B"/>
    <w:rsid w:val="197EAC64"/>
    <w:rsid w:val="19901FB7"/>
    <w:rsid w:val="199975FC"/>
    <w:rsid w:val="19AF6841"/>
    <w:rsid w:val="19D3C814"/>
    <w:rsid w:val="1A162191"/>
    <w:rsid w:val="1A2BD054"/>
    <w:rsid w:val="1A317DEB"/>
    <w:rsid w:val="1A3D0B3B"/>
    <w:rsid w:val="1A481CC5"/>
    <w:rsid w:val="1A530C50"/>
    <w:rsid w:val="1A732707"/>
    <w:rsid w:val="1A83CFF4"/>
    <w:rsid w:val="1A8E421F"/>
    <w:rsid w:val="1AA60EDC"/>
    <w:rsid w:val="1AC19BD5"/>
    <w:rsid w:val="1AC7C74F"/>
    <w:rsid w:val="1ACBD0C4"/>
    <w:rsid w:val="1ACD4065"/>
    <w:rsid w:val="1ACE00F9"/>
    <w:rsid w:val="1AE6C64B"/>
    <w:rsid w:val="1AF98E2B"/>
    <w:rsid w:val="1B049D13"/>
    <w:rsid w:val="1B2C4BCB"/>
    <w:rsid w:val="1B4DA481"/>
    <w:rsid w:val="1B510459"/>
    <w:rsid w:val="1B83196F"/>
    <w:rsid w:val="1B8C2C50"/>
    <w:rsid w:val="1B949474"/>
    <w:rsid w:val="1B9D5B8F"/>
    <w:rsid w:val="1BAC5FD2"/>
    <w:rsid w:val="1BC2DA55"/>
    <w:rsid w:val="1BEA8AD9"/>
    <w:rsid w:val="1BF1BD12"/>
    <w:rsid w:val="1C030D81"/>
    <w:rsid w:val="1C60E681"/>
    <w:rsid w:val="1C6ACAEB"/>
    <w:rsid w:val="1C749F61"/>
    <w:rsid w:val="1C85291C"/>
    <w:rsid w:val="1C97BF3C"/>
    <w:rsid w:val="1CA22BD8"/>
    <w:rsid w:val="1CBB0B2D"/>
    <w:rsid w:val="1CCDB147"/>
    <w:rsid w:val="1CF185DB"/>
    <w:rsid w:val="1CF9CED2"/>
    <w:rsid w:val="1D1315A8"/>
    <w:rsid w:val="1D26B5AB"/>
    <w:rsid w:val="1D37CA12"/>
    <w:rsid w:val="1D45506C"/>
    <w:rsid w:val="1D4A994E"/>
    <w:rsid w:val="1D6CA977"/>
    <w:rsid w:val="1D731CFB"/>
    <w:rsid w:val="1D8CC733"/>
    <w:rsid w:val="1D978D2F"/>
    <w:rsid w:val="1DC455D5"/>
    <w:rsid w:val="1DEAB299"/>
    <w:rsid w:val="1E0992B0"/>
    <w:rsid w:val="1E34165C"/>
    <w:rsid w:val="1E4BDA86"/>
    <w:rsid w:val="1E5A6625"/>
    <w:rsid w:val="1E5B71D0"/>
    <w:rsid w:val="1E619CA9"/>
    <w:rsid w:val="1E6DE7D1"/>
    <w:rsid w:val="1E76E8FB"/>
    <w:rsid w:val="1E8FA5EE"/>
    <w:rsid w:val="1E99C075"/>
    <w:rsid w:val="1E9CFD66"/>
    <w:rsid w:val="1EA36798"/>
    <w:rsid w:val="1EB3FFC4"/>
    <w:rsid w:val="1EB73E0B"/>
    <w:rsid w:val="1EC06A1C"/>
    <w:rsid w:val="1ECAD04B"/>
    <w:rsid w:val="1ED4C551"/>
    <w:rsid w:val="1F00E36D"/>
    <w:rsid w:val="1F0F9FF9"/>
    <w:rsid w:val="1F19E8FC"/>
    <w:rsid w:val="1F3DDAEC"/>
    <w:rsid w:val="1F4A5F07"/>
    <w:rsid w:val="1F60E247"/>
    <w:rsid w:val="1F6587E6"/>
    <w:rsid w:val="1F696AB2"/>
    <w:rsid w:val="1F738AF1"/>
    <w:rsid w:val="1F857687"/>
    <w:rsid w:val="1F9DFFF0"/>
    <w:rsid w:val="1FCC3B9A"/>
    <w:rsid w:val="1FD1B53A"/>
    <w:rsid w:val="1FD596A3"/>
    <w:rsid w:val="1FD743A6"/>
    <w:rsid w:val="1FDA0021"/>
    <w:rsid w:val="1FDBC5E1"/>
    <w:rsid w:val="1FDE4868"/>
    <w:rsid w:val="1FE6BDE1"/>
    <w:rsid w:val="1FF1E50E"/>
    <w:rsid w:val="2044B914"/>
    <w:rsid w:val="20539231"/>
    <w:rsid w:val="206F045C"/>
    <w:rsid w:val="2074793B"/>
    <w:rsid w:val="207882EB"/>
    <w:rsid w:val="208B8AA9"/>
    <w:rsid w:val="20AD0A7F"/>
    <w:rsid w:val="20B21AF6"/>
    <w:rsid w:val="20C9B30E"/>
    <w:rsid w:val="20DF4B65"/>
    <w:rsid w:val="20DFDC36"/>
    <w:rsid w:val="2111E6FE"/>
    <w:rsid w:val="2112FF50"/>
    <w:rsid w:val="2118A387"/>
    <w:rsid w:val="212F63A8"/>
    <w:rsid w:val="214E845B"/>
    <w:rsid w:val="215951C2"/>
    <w:rsid w:val="216749C3"/>
    <w:rsid w:val="2190323E"/>
    <w:rsid w:val="21A38373"/>
    <w:rsid w:val="21A3E096"/>
    <w:rsid w:val="21A6C4EE"/>
    <w:rsid w:val="21D9E5A5"/>
    <w:rsid w:val="21FB525A"/>
    <w:rsid w:val="2210254E"/>
    <w:rsid w:val="2228182C"/>
    <w:rsid w:val="22369631"/>
    <w:rsid w:val="223D2D87"/>
    <w:rsid w:val="22616FEA"/>
    <w:rsid w:val="2265FCEA"/>
    <w:rsid w:val="2271E937"/>
    <w:rsid w:val="2272B481"/>
    <w:rsid w:val="22799D2A"/>
    <w:rsid w:val="227B973A"/>
    <w:rsid w:val="227F980C"/>
    <w:rsid w:val="22A7C336"/>
    <w:rsid w:val="22ADE3C0"/>
    <w:rsid w:val="22C9730A"/>
    <w:rsid w:val="22D805E8"/>
    <w:rsid w:val="22DD6370"/>
    <w:rsid w:val="2303ADCE"/>
    <w:rsid w:val="23063724"/>
    <w:rsid w:val="2317704A"/>
    <w:rsid w:val="231D5DA5"/>
    <w:rsid w:val="234B685C"/>
    <w:rsid w:val="2358ED40"/>
    <w:rsid w:val="235ED5AA"/>
    <w:rsid w:val="236D006B"/>
    <w:rsid w:val="236DC794"/>
    <w:rsid w:val="23705CE9"/>
    <w:rsid w:val="237E8BFD"/>
    <w:rsid w:val="23A0BB05"/>
    <w:rsid w:val="23A48859"/>
    <w:rsid w:val="23C4DDFF"/>
    <w:rsid w:val="23C951D3"/>
    <w:rsid w:val="23CDA422"/>
    <w:rsid w:val="23FB4F7A"/>
    <w:rsid w:val="240DE49A"/>
    <w:rsid w:val="24193855"/>
    <w:rsid w:val="241C468E"/>
    <w:rsid w:val="242DD4F7"/>
    <w:rsid w:val="243A8C44"/>
    <w:rsid w:val="2445E1B6"/>
    <w:rsid w:val="244BBE84"/>
    <w:rsid w:val="2455CFDA"/>
    <w:rsid w:val="2456F0E3"/>
    <w:rsid w:val="2465A879"/>
    <w:rsid w:val="24753363"/>
    <w:rsid w:val="248B17F4"/>
    <w:rsid w:val="249851D4"/>
    <w:rsid w:val="249B4053"/>
    <w:rsid w:val="24A99876"/>
    <w:rsid w:val="24B6526D"/>
    <w:rsid w:val="24B8E098"/>
    <w:rsid w:val="24BA9CD5"/>
    <w:rsid w:val="24D161B8"/>
    <w:rsid w:val="24D6F13B"/>
    <w:rsid w:val="24F4B596"/>
    <w:rsid w:val="250DF0DC"/>
    <w:rsid w:val="2511DC82"/>
    <w:rsid w:val="25236820"/>
    <w:rsid w:val="252B44F9"/>
    <w:rsid w:val="252F8CD8"/>
    <w:rsid w:val="25398936"/>
    <w:rsid w:val="254E6418"/>
    <w:rsid w:val="255A2C5F"/>
    <w:rsid w:val="255F49DE"/>
    <w:rsid w:val="25606E12"/>
    <w:rsid w:val="2568A06C"/>
    <w:rsid w:val="257A672D"/>
    <w:rsid w:val="25817675"/>
    <w:rsid w:val="25874094"/>
    <w:rsid w:val="258916BC"/>
    <w:rsid w:val="25937906"/>
    <w:rsid w:val="25968C30"/>
    <w:rsid w:val="259A1FB7"/>
    <w:rsid w:val="259D5C2B"/>
    <w:rsid w:val="25B2424D"/>
    <w:rsid w:val="25B27E8D"/>
    <w:rsid w:val="25B69052"/>
    <w:rsid w:val="25DF3564"/>
    <w:rsid w:val="25E66BB9"/>
    <w:rsid w:val="25FAE3AB"/>
    <w:rsid w:val="25FEB15D"/>
    <w:rsid w:val="2622B306"/>
    <w:rsid w:val="262E3A90"/>
    <w:rsid w:val="26397027"/>
    <w:rsid w:val="2646CA5D"/>
    <w:rsid w:val="264E62B9"/>
    <w:rsid w:val="267951C1"/>
    <w:rsid w:val="26872EBF"/>
    <w:rsid w:val="268DC440"/>
    <w:rsid w:val="26947705"/>
    <w:rsid w:val="2694E3FC"/>
    <w:rsid w:val="269551B0"/>
    <w:rsid w:val="26A077FD"/>
    <w:rsid w:val="26A3D19A"/>
    <w:rsid w:val="26B35DD0"/>
    <w:rsid w:val="26B6EFF3"/>
    <w:rsid w:val="26BB0A4E"/>
    <w:rsid w:val="26DAFEAC"/>
    <w:rsid w:val="26DC2E44"/>
    <w:rsid w:val="26DEA66C"/>
    <w:rsid w:val="26E9619E"/>
    <w:rsid w:val="26E9D91B"/>
    <w:rsid w:val="27160CD2"/>
    <w:rsid w:val="2729284E"/>
    <w:rsid w:val="273C7551"/>
    <w:rsid w:val="273E3A70"/>
    <w:rsid w:val="27445CF2"/>
    <w:rsid w:val="2752B23B"/>
    <w:rsid w:val="2757C942"/>
    <w:rsid w:val="2759C743"/>
    <w:rsid w:val="277BB874"/>
    <w:rsid w:val="2783D6BC"/>
    <w:rsid w:val="278D9F6E"/>
    <w:rsid w:val="279D3ECF"/>
    <w:rsid w:val="27C2AC3A"/>
    <w:rsid w:val="27C92B47"/>
    <w:rsid w:val="27D85583"/>
    <w:rsid w:val="27DE5AD2"/>
    <w:rsid w:val="27F62028"/>
    <w:rsid w:val="27FA66CA"/>
    <w:rsid w:val="2800A16E"/>
    <w:rsid w:val="28028050"/>
    <w:rsid w:val="280B17B2"/>
    <w:rsid w:val="280E1672"/>
    <w:rsid w:val="281A8B0F"/>
    <w:rsid w:val="2830E9C5"/>
    <w:rsid w:val="285FB219"/>
    <w:rsid w:val="2860269D"/>
    <w:rsid w:val="28663A57"/>
    <w:rsid w:val="2868DE88"/>
    <w:rsid w:val="28757260"/>
    <w:rsid w:val="28874611"/>
    <w:rsid w:val="288B2DDA"/>
    <w:rsid w:val="289A25ED"/>
    <w:rsid w:val="289CD571"/>
    <w:rsid w:val="28A392D7"/>
    <w:rsid w:val="28B936B8"/>
    <w:rsid w:val="28DA9F05"/>
    <w:rsid w:val="28E84F12"/>
    <w:rsid w:val="28F2A11B"/>
    <w:rsid w:val="292A608A"/>
    <w:rsid w:val="295E882D"/>
    <w:rsid w:val="2977DF71"/>
    <w:rsid w:val="29843DE6"/>
    <w:rsid w:val="29866C75"/>
    <w:rsid w:val="2997A2E1"/>
    <w:rsid w:val="299887FD"/>
    <w:rsid w:val="299F474B"/>
    <w:rsid w:val="29A39A86"/>
    <w:rsid w:val="29C7A0CD"/>
    <w:rsid w:val="29CF057F"/>
    <w:rsid w:val="29D8B288"/>
    <w:rsid w:val="29DE4429"/>
    <w:rsid w:val="29DFE45E"/>
    <w:rsid w:val="29E8FAED"/>
    <w:rsid w:val="2A06DD84"/>
    <w:rsid w:val="2A106322"/>
    <w:rsid w:val="2A1D9785"/>
    <w:rsid w:val="2A22095E"/>
    <w:rsid w:val="2A302B53"/>
    <w:rsid w:val="2A4F91DD"/>
    <w:rsid w:val="2A4FAD1B"/>
    <w:rsid w:val="2A5B666E"/>
    <w:rsid w:val="2A6E8DE4"/>
    <w:rsid w:val="2A746972"/>
    <w:rsid w:val="2A7E05D6"/>
    <w:rsid w:val="2A93B769"/>
    <w:rsid w:val="2AA00CD3"/>
    <w:rsid w:val="2AA7FA8D"/>
    <w:rsid w:val="2AAC6625"/>
    <w:rsid w:val="2AAE5D83"/>
    <w:rsid w:val="2AAE921B"/>
    <w:rsid w:val="2AB4A9EA"/>
    <w:rsid w:val="2ABE8911"/>
    <w:rsid w:val="2ABFBC0D"/>
    <w:rsid w:val="2AC820D9"/>
    <w:rsid w:val="2AD2091A"/>
    <w:rsid w:val="2AF12631"/>
    <w:rsid w:val="2B123EAA"/>
    <w:rsid w:val="2B318295"/>
    <w:rsid w:val="2B32F204"/>
    <w:rsid w:val="2B415DB4"/>
    <w:rsid w:val="2B5653CA"/>
    <w:rsid w:val="2B6F0E3A"/>
    <w:rsid w:val="2B71CFAC"/>
    <w:rsid w:val="2B7638B8"/>
    <w:rsid w:val="2B85B331"/>
    <w:rsid w:val="2BA17A54"/>
    <w:rsid w:val="2BBDDD13"/>
    <w:rsid w:val="2BC394BC"/>
    <w:rsid w:val="2BC9BD11"/>
    <w:rsid w:val="2BD84AC7"/>
    <w:rsid w:val="2BF1C518"/>
    <w:rsid w:val="2BFA4E4E"/>
    <w:rsid w:val="2C0A5D59"/>
    <w:rsid w:val="2C0B1206"/>
    <w:rsid w:val="2C2B0FFD"/>
    <w:rsid w:val="2C3403D7"/>
    <w:rsid w:val="2C4BBC47"/>
    <w:rsid w:val="2C58AEEF"/>
    <w:rsid w:val="2C5951C6"/>
    <w:rsid w:val="2C59F701"/>
    <w:rsid w:val="2C6B89A6"/>
    <w:rsid w:val="2C6EFC42"/>
    <w:rsid w:val="2C764C4F"/>
    <w:rsid w:val="2C8055FE"/>
    <w:rsid w:val="2C8A9E5B"/>
    <w:rsid w:val="2C925924"/>
    <w:rsid w:val="2C983923"/>
    <w:rsid w:val="2C9C8612"/>
    <w:rsid w:val="2CA63472"/>
    <w:rsid w:val="2CA77D94"/>
    <w:rsid w:val="2CA8FBEB"/>
    <w:rsid w:val="2CAA0411"/>
    <w:rsid w:val="2CAA410D"/>
    <w:rsid w:val="2CB4ACA9"/>
    <w:rsid w:val="2CD91ACC"/>
    <w:rsid w:val="2CE59CD7"/>
    <w:rsid w:val="2CF7390C"/>
    <w:rsid w:val="2CFC00DE"/>
    <w:rsid w:val="2D0230C2"/>
    <w:rsid w:val="2D0FF306"/>
    <w:rsid w:val="2D102B49"/>
    <w:rsid w:val="2D1100F0"/>
    <w:rsid w:val="2D11D69D"/>
    <w:rsid w:val="2D1FA862"/>
    <w:rsid w:val="2D271254"/>
    <w:rsid w:val="2D2E8683"/>
    <w:rsid w:val="2D3F42EE"/>
    <w:rsid w:val="2D5A7A99"/>
    <w:rsid w:val="2D5DD801"/>
    <w:rsid w:val="2D6793C9"/>
    <w:rsid w:val="2D6DB137"/>
    <w:rsid w:val="2D875A0B"/>
    <w:rsid w:val="2D8DC8E6"/>
    <w:rsid w:val="2DA0F827"/>
    <w:rsid w:val="2DACE0BF"/>
    <w:rsid w:val="2DAD780C"/>
    <w:rsid w:val="2DBFF68A"/>
    <w:rsid w:val="2DC35868"/>
    <w:rsid w:val="2DCA769A"/>
    <w:rsid w:val="2DCE414D"/>
    <w:rsid w:val="2DDDDF77"/>
    <w:rsid w:val="2DF17926"/>
    <w:rsid w:val="2DFD2227"/>
    <w:rsid w:val="2E0C69FD"/>
    <w:rsid w:val="2E0E6790"/>
    <w:rsid w:val="2E33A161"/>
    <w:rsid w:val="2E3CA78B"/>
    <w:rsid w:val="2E43CAD7"/>
    <w:rsid w:val="2E510DF3"/>
    <w:rsid w:val="2E66070B"/>
    <w:rsid w:val="2E784AD6"/>
    <w:rsid w:val="2E874695"/>
    <w:rsid w:val="2E89BE85"/>
    <w:rsid w:val="2E908218"/>
    <w:rsid w:val="2E9BF543"/>
    <w:rsid w:val="2EB0DC3A"/>
    <w:rsid w:val="2ECAE2A3"/>
    <w:rsid w:val="2ECB019C"/>
    <w:rsid w:val="2ED13508"/>
    <w:rsid w:val="2EDE8C59"/>
    <w:rsid w:val="2EF3072B"/>
    <w:rsid w:val="2EF61703"/>
    <w:rsid w:val="2F050758"/>
    <w:rsid w:val="2F104FE9"/>
    <w:rsid w:val="2F3972FF"/>
    <w:rsid w:val="2F55CBC3"/>
    <w:rsid w:val="2F749436"/>
    <w:rsid w:val="2FA92CE8"/>
    <w:rsid w:val="2FAF9362"/>
    <w:rsid w:val="2FBA557C"/>
    <w:rsid w:val="2FCB9B9D"/>
    <w:rsid w:val="2FD9D31D"/>
    <w:rsid w:val="2FE13FAA"/>
    <w:rsid w:val="2FED0A6E"/>
    <w:rsid w:val="3008DED5"/>
    <w:rsid w:val="301152D6"/>
    <w:rsid w:val="301A47E5"/>
    <w:rsid w:val="3028B423"/>
    <w:rsid w:val="302ED5F3"/>
    <w:rsid w:val="3031FC4F"/>
    <w:rsid w:val="30496CD0"/>
    <w:rsid w:val="3052B455"/>
    <w:rsid w:val="3055D291"/>
    <w:rsid w:val="30616976"/>
    <w:rsid w:val="306672E4"/>
    <w:rsid w:val="306F594B"/>
    <w:rsid w:val="307068B3"/>
    <w:rsid w:val="307D69E6"/>
    <w:rsid w:val="308F6653"/>
    <w:rsid w:val="30966B3C"/>
    <w:rsid w:val="30A5AE7D"/>
    <w:rsid w:val="30AED9D5"/>
    <w:rsid w:val="30B006B2"/>
    <w:rsid w:val="30BCD15D"/>
    <w:rsid w:val="30C57DBF"/>
    <w:rsid w:val="30F5B3B2"/>
    <w:rsid w:val="30F6A146"/>
    <w:rsid w:val="30F6C769"/>
    <w:rsid w:val="30F8D0B7"/>
    <w:rsid w:val="30FA7914"/>
    <w:rsid w:val="310CB917"/>
    <w:rsid w:val="311A12CF"/>
    <w:rsid w:val="3127ED00"/>
    <w:rsid w:val="313268D6"/>
    <w:rsid w:val="31338547"/>
    <w:rsid w:val="31351948"/>
    <w:rsid w:val="315839DB"/>
    <w:rsid w:val="317D633B"/>
    <w:rsid w:val="31810BCE"/>
    <w:rsid w:val="31A67CA8"/>
    <w:rsid w:val="31C364BE"/>
    <w:rsid w:val="31D56238"/>
    <w:rsid w:val="31D64D6C"/>
    <w:rsid w:val="31D965B6"/>
    <w:rsid w:val="31ECD431"/>
    <w:rsid w:val="320B2B8D"/>
    <w:rsid w:val="320C9699"/>
    <w:rsid w:val="32231274"/>
    <w:rsid w:val="3223E67F"/>
    <w:rsid w:val="32410713"/>
    <w:rsid w:val="3251CE67"/>
    <w:rsid w:val="3253765F"/>
    <w:rsid w:val="3253F66F"/>
    <w:rsid w:val="325EBE2C"/>
    <w:rsid w:val="326ADC02"/>
    <w:rsid w:val="32739BD1"/>
    <w:rsid w:val="3282E6C1"/>
    <w:rsid w:val="32842F61"/>
    <w:rsid w:val="328C1D68"/>
    <w:rsid w:val="3295BBC9"/>
    <w:rsid w:val="32A35B2B"/>
    <w:rsid w:val="32AAFD86"/>
    <w:rsid w:val="32AB9776"/>
    <w:rsid w:val="32ADF8FE"/>
    <w:rsid w:val="32BE2CE3"/>
    <w:rsid w:val="32C95826"/>
    <w:rsid w:val="32CE68AB"/>
    <w:rsid w:val="32CEAC14"/>
    <w:rsid w:val="32DB0536"/>
    <w:rsid w:val="32F9DE3A"/>
    <w:rsid w:val="32FAA317"/>
    <w:rsid w:val="32FAFC6D"/>
    <w:rsid w:val="33064FCF"/>
    <w:rsid w:val="330D0B2E"/>
    <w:rsid w:val="3318C899"/>
    <w:rsid w:val="33236B15"/>
    <w:rsid w:val="332408EC"/>
    <w:rsid w:val="33469AD8"/>
    <w:rsid w:val="33486811"/>
    <w:rsid w:val="334DA762"/>
    <w:rsid w:val="33508143"/>
    <w:rsid w:val="33542690"/>
    <w:rsid w:val="33583B94"/>
    <w:rsid w:val="335ACA15"/>
    <w:rsid w:val="336ECE06"/>
    <w:rsid w:val="337195FF"/>
    <w:rsid w:val="33826B68"/>
    <w:rsid w:val="33958D96"/>
    <w:rsid w:val="33963035"/>
    <w:rsid w:val="33A9E161"/>
    <w:rsid w:val="33B358EF"/>
    <w:rsid w:val="33C224F2"/>
    <w:rsid w:val="33CAD0C5"/>
    <w:rsid w:val="33DAB726"/>
    <w:rsid w:val="33DCB5CA"/>
    <w:rsid w:val="33DD61D4"/>
    <w:rsid w:val="33F4BEFE"/>
    <w:rsid w:val="3404BD2F"/>
    <w:rsid w:val="341EEF1E"/>
    <w:rsid w:val="344FEB65"/>
    <w:rsid w:val="346D1D4D"/>
    <w:rsid w:val="347976EE"/>
    <w:rsid w:val="34863EBB"/>
    <w:rsid w:val="34884EA0"/>
    <w:rsid w:val="34B54CAA"/>
    <w:rsid w:val="34D58FD6"/>
    <w:rsid w:val="34D704A0"/>
    <w:rsid w:val="34DCA920"/>
    <w:rsid w:val="34EB1B4B"/>
    <w:rsid w:val="350C92DF"/>
    <w:rsid w:val="35107806"/>
    <w:rsid w:val="3534275E"/>
    <w:rsid w:val="35358C06"/>
    <w:rsid w:val="35426D5C"/>
    <w:rsid w:val="3549F7BB"/>
    <w:rsid w:val="355B8987"/>
    <w:rsid w:val="356BCCF5"/>
    <w:rsid w:val="356DFD7D"/>
    <w:rsid w:val="35703E2E"/>
    <w:rsid w:val="3570F1E0"/>
    <w:rsid w:val="35A7788C"/>
    <w:rsid w:val="35B3CE90"/>
    <w:rsid w:val="35BC90C6"/>
    <w:rsid w:val="35CDCF35"/>
    <w:rsid w:val="35CFE0E9"/>
    <w:rsid w:val="35D4895E"/>
    <w:rsid w:val="35E78B8C"/>
    <w:rsid w:val="35F78A84"/>
    <w:rsid w:val="35F957AC"/>
    <w:rsid w:val="35FE2DD2"/>
    <w:rsid w:val="36113CE9"/>
    <w:rsid w:val="364C3C5D"/>
    <w:rsid w:val="3687D7AB"/>
    <w:rsid w:val="36899188"/>
    <w:rsid w:val="36A19A35"/>
    <w:rsid w:val="36ABECC5"/>
    <w:rsid w:val="36B39B7E"/>
    <w:rsid w:val="36CC0BC8"/>
    <w:rsid w:val="36D8C9C8"/>
    <w:rsid w:val="36DA7E8E"/>
    <w:rsid w:val="36E1E44B"/>
    <w:rsid w:val="36E5AC0A"/>
    <w:rsid w:val="36E67736"/>
    <w:rsid w:val="36ECB90A"/>
    <w:rsid w:val="36F4D4FF"/>
    <w:rsid w:val="36FD4586"/>
    <w:rsid w:val="370991D7"/>
    <w:rsid w:val="370B6A1C"/>
    <w:rsid w:val="370FD86A"/>
    <w:rsid w:val="371B420F"/>
    <w:rsid w:val="3727B64F"/>
    <w:rsid w:val="3729B6E9"/>
    <w:rsid w:val="372C9D44"/>
    <w:rsid w:val="3730C0A3"/>
    <w:rsid w:val="374A7236"/>
    <w:rsid w:val="374B6267"/>
    <w:rsid w:val="3764E958"/>
    <w:rsid w:val="37770254"/>
    <w:rsid w:val="37837EDD"/>
    <w:rsid w:val="3795320E"/>
    <w:rsid w:val="3797CBDD"/>
    <w:rsid w:val="37A04601"/>
    <w:rsid w:val="37A22918"/>
    <w:rsid w:val="37A723DA"/>
    <w:rsid w:val="37AC01C4"/>
    <w:rsid w:val="37AEE2AE"/>
    <w:rsid w:val="37B18826"/>
    <w:rsid w:val="37C41A5A"/>
    <w:rsid w:val="37C93B29"/>
    <w:rsid w:val="37D2D2BA"/>
    <w:rsid w:val="37DB2BCB"/>
    <w:rsid w:val="37E95DA5"/>
    <w:rsid w:val="380481AA"/>
    <w:rsid w:val="3808180E"/>
    <w:rsid w:val="3810AB50"/>
    <w:rsid w:val="38112D0D"/>
    <w:rsid w:val="381292E1"/>
    <w:rsid w:val="3815F397"/>
    <w:rsid w:val="383264FA"/>
    <w:rsid w:val="384FB0BE"/>
    <w:rsid w:val="386890CB"/>
    <w:rsid w:val="38714871"/>
    <w:rsid w:val="3875C430"/>
    <w:rsid w:val="38A91B1F"/>
    <w:rsid w:val="38B107AD"/>
    <w:rsid w:val="38F51CE0"/>
    <w:rsid w:val="38FE5048"/>
    <w:rsid w:val="39164000"/>
    <w:rsid w:val="39271A0E"/>
    <w:rsid w:val="39290AF6"/>
    <w:rsid w:val="392B7E9E"/>
    <w:rsid w:val="3934D0F5"/>
    <w:rsid w:val="39681C47"/>
    <w:rsid w:val="397996FB"/>
    <w:rsid w:val="397A9024"/>
    <w:rsid w:val="3987A9D1"/>
    <w:rsid w:val="3992407C"/>
    <w:rsid w:val="399A4F78"/>
    <w:rsid w:val="39AFA76F"/>
    <w:rsid w:val="39CFE5F3"/>
    <w:rsid w:val="39D02343"/>
    <w:rsid w:val="39DA000F"/>
    <w:rsid w:val="39F82098"/>
    <w:rsid w:val="3A0C03D1"/>
    <w:rsid w:val="3A276D94"/>
    <w:rsid w:val="3A38C931"/>
    <w:rsid w:val="3A5354FB"/>
    <w:rsid w:val="3A60938A"/>
    <w:rsid w:val="3A60E232"/>
    <w:rsid w:val="3A654E41"/>
    <w:rsid w:val="3A6A8C47"/>
    <w:rsid w:val="3A6AF126"/>
    <w:rsid w:val="3A80498A"/>
    <w:rsid w:val="3AA40104"/>
    <w:rsid w:val="3AABE2FF"/>
    <w:rsid w:val="3AB9A2AF"/>
    <w:rsid w:val="3AC3EBAF"/>
    <w:rsid w:val="3AC53507"/>
    <w:rsid w:val="3ACE59BB"/>
    <w:rsid w:val="3AD8D42B"/>
    <w:rsid w:val="3ADF1A17"/>
    <w:rsid w:val="3AF1AF49"/>
    <w:rsid w:val="3AF44E24"/>
    <w:rsid w:val="3AFB0BFD"/>
    <w:rsid w:val="3B2DCDA6"/>
    <w:rsid w:val="3B2FB67E"/>
    <w:rsid w:val="3B342486"/>
    <w:rsid w:val="3B3A4F0A"/>
    <w:rsid w:val="3B485EA9"/>
    <w:rsid w:val="3B73BE90"/>
    <w:rsid w:val="3B7480CE"/>
    <w:rsid w:val="3B85BB03"/>
    <w:rsid w:val="3B87C59E"/>
    <w:rsid w:val="3B88F27A"/>
    <w:rsid w:val="3BA92A61"/>
    <w:rsid w:val="3BAFE7FA"/>
    <w:rsid w:val="3BB39795"/>
    <w:rsid w:val="3BBDF58C"/>
    <w:rsid w:val="3BE6E92B"/>
    <w:rsid w:val="3BFB57DC"/>
    <w:rsid w:val="3BFC85A6"/>
    <w:rsid w:val="3BFF5332"/>
    <w:rsid w:val="3C1513DC"/>
    <w:rsid w:val="3C39CD68"/>
    <w:rsid w:val="3C474449"/>
    <w:rsid w:val="3C563895"/>
    <w:rsid w:val="3C63CEF0"/>
    <w:rsid w:val="3C6CE43F"/>
    <w:rsid w:val="3C79DB34"/>
    <w:rsid w:val="3C860749"/>
    <w:rsid w:val="3C8A062B"/>
    <w:rsid w:val="3C9AC27D"/>
    <w:rsid w:val="3CA48C1A"/>
    <w:rsid w:val="3CC942F0"/>
    <w:rsid w:val="3CD399F1"/>
    <w:rsid w:val="3CE608BE"/>
    <w:rsid w:val="3CEDD25A"/>
    <w:rsid w:val="3CF44AD4"/>
    <w:rsid w:val="3D12E594"/>
    <w:rsid w:val="3D187FE1"/>
    <w:rsid w:val="3D19BF9B"/>
    <w:rsid w:val="3D1C97A4"/>
    <w:rsid w:val="3D1F6533"/>
    <w:rsid w:val="3D373B07"/>
    <w:rsid w:val="3D48C6B2"/>
    <w:rsid w:val="3D5C85FE"/>
    <w:rsid w:val="3D649D98"/>
    <w:rsid w:val="3D80CCF4"/>
    <w:rsid w:val="3D88BD90"/>
    <w:rsid w:val="3D94104A"/>
    <w:rsid w:val="3DAE6747"/>
    <w:rsid w:val="3DB4961D"/>
    <w:rsid w:val="3DB8D686"/>
    <w:rsid w:val="3DB9A68E"/>
    <w:rsid w:val="3DBEA840"/>
    <w:rsid w:val="3DC5B744"/>
    <w:rsid w:val="3DC75C13"/>
    <w:rsid w:val="3DCCB660"/>
    <w:rsid w:val="3DCE47F0"/>
    <w:rsid w:val="3DCF20B2"/>
    <w:rsid w:val="3DD94320"/>
    <w:rsid w:val="3E0827B1"/>
    <w:rsid w:val="3E10EAFF"/>
    <w:rsid w:val="3E32C4A7"/>
    <w:rsid w:val="3E3D6CF5"/>
    <w:rsid w:val="3E3DFD1E"/>
    <w:rsid w:val="3E4DC082"/>
    <w:rsid w:val="3E4EFE70"/>
    <w:rsid w:val="3E6406B9"/>
    <w:rsid w:val="3E66F50D"/>
    <w:rsid w:val="3E723BCF"/>
    <w:rsid w:val="3E78B2B1"/>
    <w:rsid w:val="3E7ABEFF"/>
    <w:rsid w:val="3E7C97F4"/>
    <w:rsid w:val="3EAC9757"/>
    <w:rsid w:val="3ED95F5A"/>
    <w:rsid w:val="3EDCEF7E"/>
    <w:rsid w:val="3F0AB589"/>
    <w:rsid w:val="3F20514A"/>
    <w:rsid w:val="3F29F574"/>
    <w:rsid w:val="3F399AF4"/>
    <w:rsid w:val="3F3A4168"/>
    <w:rsid w:val="3F4FC63A"/>
    <w:rsid w:val="3F5C6707"/>
    <w:rsid w:val="3F629296"/>
    <w:rsid w:val="3F62A900"/>
    <w:rsid w:val="3F795752"/>
    <w:rsid w:val="3F7BBFEE"/>
    <w:rsid w:val="3F7CDF2F"/>
    <w:rsid w:val="3F7D65FD"/>
    <w:rsid w:val="3F977613"/>
    <w:rsid w:val="3FD2B312"/>
    <w:rsid w:val="3FE3865A"/>
    <w:rsid w:val="402D9382"/>
    <w:rsid w:val="404A183E"/>
    <w:rsid w:val="40669AF1"/>
    <w:rsid w:val="4074E311"/>
    <w:rsid w:val="4076B56B"/>
    <w:rsid w:val="4077121D"/>
    <w:rsid w:val="407B639E"/>
    <w:rsid w:val="407DECFF"/>
    <w:rsid w:val="408B8836"/>
    <w:rsid w:val="4090AFE3"/>
    <w:rsid w:val="40A56F73"/>
    <w:rsid w:val="40AEA0C0"/>
    <w:rsid w:val="40B1F630"/>
    <w:rsid w:val="40CB2D71"/>
    <w:rsid w:val="40D08523"/>
    <w:rsid w:val="40D30BE5"/>
    <w:rsid w:val="40D4CB98"/>
    <w:rsid w:val="40F267A7"/>
    <w:rsid w:val="40F83F88"/>
    <w:rsid w:val="41053C9F"/>
    <w:rsid w:val="410BB185"/>
    <w:rsid w:val="412C9825"/>
    <w:rsid w:val="413C9C19"/>
    <w:rsid w:val="4144865A"/>
    <w:rsid w:val="41572E54"/>
    <w:rsid w:val="41952975"/>
    <w:rsid w:val="41AA5973"/>
    <w:rsid w:val="41AE05C7"/>
    <w:rsid w:val="41C91B44"/>
    <w:rsid w:val="41D23439"/>
    <w:rsid w:val="41DFAF2B"/>
    <w:rsid w:val="41EDA06E"/>
    <w:rsid w:val="41EF30EE"/>
    <w:rsid w:val="41F6EB76"/>
    <w:rsid w:val="4211F996"/>
    <w:rsid w:val="4215C00A"/>
    <w:rsid w:val="4222B396"/>
    <w:rsid w:val="422319DD"/>
    <w:rsid w:val="4232DFF7"/>
    <w:rsid w:val="42350A24"/>
    <w:rsid w:val="42365FA9"/>
    <w:rsid w:val="423FA7AA"/>
    <w:rsid w:val="424903A7"/>
    <w:rsid w:val="425F010F"/>
    <w:rsid w:val="428A8E8D"/>
    <w:rsid w:val="428C6871"/>
    <w:rsid w:val="42ABB8E0"/>
    <w:rsid w:val="42AEE977"/>
    <w:rsid w:val="42D14E7B"/>
    <w:rsid w:val="42D64D01"/>
    <w:rsid w:val="42EEDB6E"/>
    <w:rsid w:val="430DDC0C"/>
    <w:rsid w:val="4318065C"/>
    <w:rsid w:val="43224A2B"/>
    <w:rsid w:val="43240CFC"/>
    <w:rsid w:val="433902A0"/>
    <w:rsid w:val="4358AD61"/>
    <w:rsid w:val="435A4C89"/>
    <w:rsid w:val="435ED66C"/>
    <w:rsid w:val="43699685"/>
    <w:rsid w:val="4372331C"/>
    <w:rsid w:val="43824236"/>
    <w:rsid w:val="438E9CD0"/>
    <w:rsid w:val="4393B35B"/>
    <w:rsid w:val="43B74016"/>
    <w:rsid w:val="43BC0CAE"/>
    <w:rsid w:val="43C7FF81"/>
    <w:rsid w:val="43CFA219"/>
    <w:rsid w:val="43E76B6B"/>
    <w:rsid w:val="43EBDA08"/>
    <w:rsid w:val="43F2F0C2"/>
    <w:rsid w:val="44259315"/>
    <w:rsid w:val="442BCEB0"/>
    <w:rsid w:val="442CF052"/>
    <w:rsid w:val="445EB1CA"/>
    <w:rsid w:val="4462A1D6"/>
    <w:rsid w:val="446881E9"/>
    <w:rsid w:val="447CF09A"/>
    <w:rsid w:val="4484479D"/>
    <w:rsid w:val="44904105"/>
    <w:rsid w:val="44932E4C"/>
    <w:rsid w:val="44A594B4"/>
    <w:rsid w:val="44AE0C0E"/>
    <w:rsid w:val="44B81F99"/>
    <w:rsid w:val="44BAAAEB"/>
    <w:rsid w:val="44C51B80"/>
    <w:rsid w:val="44CEC5F8"/>
    <w:rsid w:val="44F0FF65"/>
    <w:rsid w:val="45157874"/>
    <w:rsid w:val="451D4A84"/>
    <w:rsid w:val="4520376B"/>
    <w:rsid w:val="45549B26"/>
    <w:rsid w:val="45560478"/>
    <w:rsid w:val="455964E1"/>
    <w:rsid w:val="4563BEF9"/>
    <w:rsid w:val="45717962"/>
    <w:rsid w:val="45C6C31B"/>
    <w:rsid w:val="45DACF3A"/>
    <w:rsid w:val="45DEB953"/>
    <w:rsid w:val="4614AA62"/>
    <w:rsid w:val="463C447D"/>
    <w:rsid w:val="464E80C0"/>
    <w:rsid w:val="465C1588"/>
    <w:rsid w:val="466490FC"/>
    <w:rsid w:val="46683D67"/>
    <w:rsid w:val="46714E97"/>
    <w:rsid w:val="4695ACC4"/>
    <w:rsid w:val="46CA38B8"/>
    <w:rsid w:val="46F94489"/>
    <w:rsid w:val="47006BF4"/>
    <w:rsid w:val="47020BD1"/>
    <w:rsid w:val="47067B8C"/>
    <w:rsid w:val="4717C25E"/>
    <w:rsid w:val="471FEC3C"/>
    <w:rsid w:val="475764AD"/>
    <w:rsid w:val="476731CF"/>
    <w:rsid w:val="47753332"/>
    <w:rsid w:val="477A10C8"/>
    <w:rsid w:val="47855C2D"/>
    <w:rsid w:val="47AA2DE5"/>
    <w:rsid w:val="47B1C643"/>
    <w:rsid w:val="47B2BA9D"/>
    <w:rsid w:val="47BED42E"/>
    <w:rsid w:val="47F4D453"/>
    <w:rsid w:val="4801322F"/>
    <w:rsid w:val="4805AD58"/>
    <w:rsid w:val="4813C7E8"/>
    <w:rsid w:val="481D1ABA"/>
    <w:rsid w:val="4822FBD7"/>
    <w:rsid w:val="48259548"/>
    <w:rsid w:val="483499DB"/>
    <w:rsid w:val="4849B8DD"/>
    <w:rsid w:val="484A90FC"/>
    <w:rsid w:val="485E32F3"/>
    <w:rsid w:val="4867B662"/>
    <w:rsid w:val="4876EF4F"/>
    <w:rsid w:val="4886F705"/>
    <w:rsid w:val="4887FBC3"/>
    <w:rsid w:val="489C69C4"/>
    <w:rsid w:val="489DDDBF"/>
    <w:rsid w:val="48AA424C"/>
    <w:rsid w:val="48AAFA6D"/>
    <w:rsid w:val="48ACB86B"/>
    <w:rsid w:val="48AF0F76"/>
    <w:rsid w:val="48B83342"/>
    <w:rsid w:val="48D5FC5E"/>
    <w:rsid w:val="48E066B0"/>
    <w:rsid w:val="48EA99EB"/>
    <w:rsid w:val="49023263"/>
    <w:rsid w:val="4905EBF4"/>
    <w:rsid w:val="490C8DCD"/>
    <w:rsid w:val="490DA88C"/>
    <w:rsid w:val="491A57EC"/>
    <w:rsid w:val="49300516"/>
    <w:rsid w:val="4934A7A8"/>
    <w:rsid w:val="4962B2B1"/>
    <w:rsid w:val="496AEE7C"/>
    <w:rsid w:val="496F6028"/>
    <w:rsid w:val="49854F97"/>
    <w:rsid w:val="49904BA6"/>
    <w:rsid w:val="49950307"/>
    <w:rsid w:val="49959DFF"/>
    <w:rsid w:val="49975C5E"/>
    <w:rsid w:val="499B7D9F"/>
    <w:rsid w:val="49AED513"/>
    <w:rsid w:val="49CA9612"/>
    <w:rsid w:val="49E46F8A"/>
    <w:rsid w:val="49F91596"/>
    <w:rsid w:val="4A0C6D4B"/>
    <w:rsid w:val="4A32F0F5"/>
    <w:rsid w:val="4A398A28"/>
    <w:rsid w:val="4A479BF7"/>
    <w:rsid w:val="4A4B9FAB"/>
    <w:rsid w:val="4A52CC31"/>
    <w:rsid w:val="4A53A970"/>
    <w:rsid w:val="4A67E944"/>
    <w:rsid w:val="4A83B10A"/>
    <w:rsid w:val="4A8BD979"/>
    <w:rsid w:val="4A8E45F3"/>
    <w:rsid w:val="4AA587E4"/>
    <w:rsid w:val="4AB9BD03"/>
    <w:rsid w:val="4AC5B95F"/>
    <w:rsid w:val="4ACC7AA2"/>
    <w:rsid w:val="4ACF82B2"/>
    <w:rsid w:val="4B0C376B"/>
    <w:rsid w:val="4B174056"/>
    <w:rsid w:val="4B1C1772"/>
    <w:rsid w:val="4B1EE43E"/>
    <w:rsid w:val="4B297CF0"/>
    <w:rsid w:val="4B346813"/>
    <w:rsid w:val="4B3BC1A7"/>
    <w:rsid w:val="4B4B0CF8"/>
    <w:rsid w:val="4B5E73A2"/>
    <w:rsid w:val="4B5E9C4F"/>
    <w:rsid w:val="4B6125AC"/>
    <w:rsid w:val="4B72D4C4"/>
    <w:rsid w:val="4B94DDCC"/>
    <w:rsid w:val="4B9C9D89"/>
    <w:rsid w:val="4BA59D89"/>
    <w:rsid w:val="4BA78545"/>
    <w:rsid w:val="4BB7A374"/>
    <w:rsid w:val="4BBABFF6"/>
    <w:rsid w:val="4BC6515F"/>
    <w:rsid w:val="4BDDB380"/>
    <w:rsid w:val="4BF20F4F"/>
    <w:rsid w:val="4BF9B982"/>
    <w:rsid w:val="4BFAC221"/>
    <w:rsid w:val="4C02255C"/>
    <w:rsid w:val="4C15F6B9"/>
    <w:rsid w:val="4C212CCE"/>
    <w:rsid w:val="4C249D3E"/>
    <w:rsid w:val="4C3F0018"/>
    <w:rsid w:val="4C40C180"/>
    <w:rsid w:val="4C641ECA"/>
    <w:rsid w:val="4C76B423"/>
    <w:rsid w:val="4C8A85BD"/>
    <w:rsid w:val="4C8F287B"/>
    <w:rsid w:val="4C92F921"/>
    <w:rsid w:val="4C96C710"/>
    <w:rsid w:val="4CA221CA"/>
    <w:rsid w:val="4CA69C61"/>
    <w:rsid w:val="4CB91121"/>
    <w:rsid w:val="4CBB2D28"/>
    <w:rsid w:val="4CBE8647"/>
    <w:rsid w:val="4CBF1C80"/>
    <w:rsid w:val="4CDBA3EE"/>
    <w:rsid w:val="4CDC8AF7"/>
    <w:rsid w:val="4CF75668"/>
    <w:rsid w:val="4D0E23BB"/>
    <w:rsid w:val="4D222583"/>
    <w:rsid w:val="4D2A56B2"/>
    <w:rsid w:val="4D2F93D5"/>
    <w:rsid w:val="4D470C65"/>
    <w:rsid w:val="4D4F31F4"/>
    <w:rsid w:val="4D5AC0F4"/>
    <w:rsid w:val="4D5ADC48"/>
    <w:rsid w:val="4D6B38C4"/>
    <w:rsid w:val="4D824323"/>
    <w:rsid w:val="4D83DC71"/>
    <w:rsid w:val="4D8DDFD0"/>
    <w:rsid w:val="4D963271"/>
    <w:rsid w:val="4DA70B2C"/>
    <w:rsid w:val="4DAA9933"/>
    <w:rsid w:val="4DAC3663"/>
    <w:rsid w:val="4DB8F71A"/>
    <w:rsid w:val="4DD29108"/>
    <w:rsid w:val="4DE6544A"/>
    <w:rsid w:val="4DE9EFFC"/>
    <w:rsid w:val="4DF913CA"/>
    <w:rsid w:val="4E108B40"/>
    <w:rsid w:val="4E12534A"/>
    <w:rsid w:val="4E47E43E"/>
    <w:rsid w:val="4E549D03"/>
    <w:rsid w:val="4EAB8973"/>
    <w:rsid w:val="4EBFECEF"/>
    <w:rsid w:val="4EDF45EE"/>
    <w:rsid w:val="4F062067"/>
    <w:rsid w:val="4F0A14C1"/>
    <w:rsid w:val="4F175D91"/>
    <w:rsid w:val="4F27D1ED"/>
    <w:rsid w:val="4F3046A3"/>
    <w:rsid w:val="4F4B177B"/>
    <w:rsid w:val="4F564133"/>
    <w:rsid w:val="4F76256E"/>
    <w:rsid w:val="4F83D2EF"/>
    <w:rsid w:val="4F83F2C8"/>
    <w:rsid w:val="4F939EF3"/>
    <w:rsid w:val="4FADDCAB"/>
    <w:rsid w:val="4FCBF9BE"/>
    <w:rsid w:val="4FE78D9F"/>
    <w:rsid w:val="4FE888CA"/>
    <w:rsid w:val="4FEB83BB"/>
    <w:rsid w:val="4FF2C8F4"/>
    <w:rsid w:val="50045718"/>
    <w:rsid w:val="5006E283"/>
    <w:rsid w:val="5018CD48"/>
    <w:rsid w:val="501C0896"/>
    <w:rsid w:val="501C5F84"/>
    <w:rsid w:val="50383CE7"/>
    <w:rsid w:val="5038681E"/>
    <w:rsid w:val="504431A6"/>
    <w:rsid w:val="50585952"/>
    <w:rsid w:val="5059F96E"/>
    <w:rsid w:val="505A6AD4"/>
    <w:rsid w:val="5073F6F1"/>
    <w:rsid w:val="50859BAC"/>
    <w:rsid w:val="50C19F59"/>
    <w:rsid w:val="50CCFA5D"/>
    <w:rsid w:val="50D7CE67"/>
    <w:rsid w:val="50F18670"/>
    <w:rsid w:val="50F506D7"/>
    <w:rsid w:val="50FA03EF"/>
    <w:rsid w:val="50FB19B6"/>
    <w:rsid w:val="50FB3D1C"/>
    <w:rsid w:val="5101E10A"/>
    <w:rsid w:val="51054773"/>
    <w:rsid w:val="51066D50"/>
    <w:rsid w:val="510FF814"/>
    <w:rsid w:val="51121DA2"/>
    <w:rsid w:val="51250B2D"/>
    <w:rsid w:val="51562C31"/>
    <w:rsid w:val="515C8931"/>
    <w:rsid w:val="515E51F3"/>
    <w:rsid w:val="5160DE1A"/>
    <w:rsid w:val="51746D65"/>
    <w:rsid w:val="517B59CD"/>
    <w:rsid w:val="517F9752"/>
    <w:rsid w:val="51835043"/>
    <w:rsid w:val="5197BEA7"/>
    <w:rsid w:val="51985499"/>
    <w:rsid w:val="51AB3FD3"/>
    <w:rsid w:val="51CE5178"/>
    <w:rsid w:val="51DE604B"/>
    <w:rsid w:val="51F5253A"/>
    <w:rsid w:val="51FD0212"/>
    <w:rsid w:val="51FFA11E"/>
    <w:rsid w:val="5217002F"/>
    <w:rsid w:val="5217B29B"/>
    <w:rsid w:val="521A82F2"/>
    <w:rsid w:val="521DBDD7"/>
    <w:rsid w:val="521EB84B"/>
    <w:rsid w:val="5241BB71"/>
    <w:rsid w:val="527B624E"/>
    <w:rsid w:val="52820CCC"/>
    <w:rsid w:val="5298F64A"/>
    <w:rsid w:val="529E0BB1"/>
    <w:rsid w:val="52B3355E"/>
    <w:rsid w:val="52C6C562"/>
    <w:rsid w:val="52CDE766"/>
    <w:rsid w:val="52DC843E"/>
    <w:rsid w:val="52E46F78"/>
    <w:rsid w:val="52EBDCFA"/>
    <w:rsid w:val="52EEB6E2"/>
    <w:rsid w:val="52EEF157"/>
    <w:rsid w:val="52FBBB4A"/>
    <w:rsid w:val="52FEF945"/>
    <w:rsid w:val="530A5B45"/>
    <w:rsid w:val="5311E03D"/>
    <w:rsid w:val="5326D43B"/>
    <w:rsid w:val="53307FBE"/>
    <w:rsid w:val="53340175"/>
    <w:rsid w:val="5346A030"/>
    <w:rsid w:val="5347041D"/>
    <w:rsid w:val="535C5F62"/>
    <w:rsid w:val="536CE00B"/>
    <w:rsid w:val="536DF829"/>
    <w:rsid w:val="5387EDBC"/>
    <w:rsid w:val="5392DB42"/>
    <w:rsid w:val="53981BB9"/>
    <w:rsid w:val="53A6C0EF"/>
    <w:rsid w:val="53B39479"/>
    <w:rsid w:val="53B41CF6"/>
    <w:rsid w:val="53B60F7E"/>
    <w:rsid w:val="53C3AF76"/>
    <w:rsid w:val="53D9B01A"/>
    <w:rsid w:val="53DC6114"/>
    <w:rsid w:val="53F5FDF5"/>
    <w:rsid w:val="54069A9B"/>
    <w:rsid w:val="54165BC2"/>
    <w:rsid w:val="541740A6"/>
    <w:rsid w:val="542C8883"/>
    <w:rsid w:val="5434B98E"/>
    <w:rsid w:val="54583590"/>
    <w:rsid w:val="545B816A"/>
    <w:rsid w:val="546CC81B"/>
    <w:rsid w:val="54826873"/>
    <w:rsid w:val="548634D2"/>
    <w:rsid w:val="54948765"/>
    <w:rsid w:val="54B42CD1"/>
    <w:rsid w:val="54B71A7B"/>
    <w:rsid w:val="54C1D4C2"/>
    <w:rsid w:val="54C24C6D"/>
    <w:rsid w:val="54E636D4"/>
    <w:rsid w:val="54E650C8"/>
    <w:rsid w:val="54F6C3F9"/>
    <w:rsid w:val="54FDE7BD"/>
    <w:rsid w:val="55115303"/>
    <w:rsid w:val="55190992"/>
    <w:rsid w:val="55268EEE"/>
    <w:rsid w:val="552838C1"/>
    <w:rsid w:val="55413CAA"/>
    <w:rsid w:val="554C5B4B"/>
    <w:rsid w:val="5563B11C"/>
    <w:rsid w:val="556A11F0"/>
    <w:rsid w:val="556E4C22"/>
    <w:rsid w:val="557DF5C9"/>
    <w:rsid w:val="557F2DB5"/>
    <w:rsid w:val="5590EA7A"/>
    <w:rsid w:val="55A1A170"/>
    <w:rsid w:val="55A5DAA0"/>
    <w:rsid w:val="55A99D8B"/>
    <w:rsid w:val="55B0FD4F"/>
    <w:rsid w:val="55CAD65A"/>
    <w:rsid w:val="55CDA54E"/>
    <w:rsid w:val="55DC847E"/>
    <w:rsid w:val="55F3533B"/>
    <w:rsid w:val="55F4CAA1"/>
    <w:rsid w:val="55FE3203"/>
    <w:rsid w:val="560C2F44"/>
    <w:rsid w:val="56180080"/>
    <w:rsid w:val="56545F39"/>
    <w:rsid w:val="568A72F1"/>
    <w:rsid w:val="568E31C8"/>
    <w:rsid w:val="569039C2"/>
    <w:rsid w:val="569B7218"/>
    <w:rsid w:val="56BF8A94"/>
    <w:rsid w:val="56C60915"/>
    <w:rsid w:val="56DDFD0A"/>
    <w:rsid w:val="57012848"/>
    <w:rsid w:val="570EDD86"/>
    <w:rsid w:val="57105A0A"/>
    <w:rsid w:val="573359C1"/>
    <w:rsid w:val="573A386B"/>
    <w:rsid w:val="5753FEB9"/>
    <w:rsid w:val="575AF1EB"/>
    <w:rsid w:val="576CEAB0"/>
    <w:rsid w:val="5795A562"/>
    <w:rsid w:val="57A83968"/>
    <w:rsid w:val="57B52BEC"/>
    <w:rsid w:val="57C7EDB9"/>
    <w:rsid w:val="57D1B2CC"/>
    <w:rsid w:val="57D81713"/>
    <w:rsid w:val="57D8B146"/>
    <w:rsid w:val="57DEF1DD"/>
    <w:rsid w:val="57E2C353"/>
    <w:rsid w:val="57E5D9AE"/>
    <w:rsid w:val="57EC000F"/>
    <w:rsid w:val="57EE499E"/>
    <w:rsid w:val="580090C0"/>
    <w:rsid w:val="58022533"/>
    <w:rsid w:val="5815BCF3"/>
    <w:rsid w:val="5823F5E5"/>
    <w:rsid w:val="5831D46C"/>
    <w:rsid w:val="5837B4EE"/>
    <w:rsid w:val="584BF126"/>
    <w:rsid w:val="584F9F6A"/>
    <w:rsid w:val="5852627C"/>
    <w:rsid w:val="585C3AE4"/>
    <w:rsid w:val="586AC3F4"/>
    <w:rsid w:val="588618F6"/>
    <w:rsid w:val="5891842B"/>
    <w:rsid w:val="5896CB5A"/>
    <w:rsid w:val="58A5F3C4"/>
    <w:rsid w:val="58B2202F"/>
    <w:rsid w:val="58DD2708"/>
    <w:rsid w:val="58EF01FB"/>
    <w:rsid w:val="58F5633A"/>
    <w:rsid w:val="590EC0C5"/>
    <w:rsid w:val="5925517A"/>
    <w:rsid w:val="59522BC6"/>
    <w:rsid w:val="5955B26C"/>
    <w:rsid w:val="5956F5E1"/>
    <w:rsid w:val="595A543C"/>
    <w:rsid w:val="595C7041"/>
    <w:rsid w:val="595DD95B"/>
    <w:rsid w:val="5973952C"/>
    <w:rsid w:val="5982B7F3"/>
    <w:rsid w:val="59832323"/>
    <w:rsid w:val="599849FB"/>
    <w:rsid w:val="59AB90BA"/>
    <w:rsid w:val="59ABE220"/>
    <w:rsid w:val="59AE501C"/>
    <w:rsid w:val="59B221AB"/>
    <w:rsid w:val="59B69870"/>
    <w:rsid w:val="59CD130A"/>
    <w:rsid w:val="59D9EFF8"/>
    <w:rsid w:val="59E88C59"/>
    <w:rsid w:val="59EC4C35"/>
    <w:rsid w:val="59EE3DB9"/>
    <w:rsid w:val="59F0FD79"/>
    <w:rsid w:val="5A0426BC"/>
    <w:rsid w:val="5A14F420"/>
    <w:rsid w:val="5A17F12E"/>
    <w:rsid w:val="5A24A759"/>
    <w:rsid w:val="5A4624AF"/>
    <w:rsid w:val="5A48DC3D"/>
    <w:rsid w:val="5A53A13F"/>
    <w:rsid w:val="5A54CD86"/>
    <w:rsid w:val="5A6D5C52"/>
    <w:rsid w:val="5A78B598"/>
    <w:rsid w:val="5A8F3B67"/>
    <w:rsid w:val="5A92AC3D"/>
    <w:rsid w:val="5A9314E3"/>
    <w:rsid w:val="5A9DE41A"/>
    <w:rsid w:val="5AAAEC40"/>
    <w:rsid w:val="5AB3AF39"/>
    <w:rsid w:val="5AB731AC"/>
    <w:rsid w:val="5AD2968C"/>
    <w:rsid w:val="5ADD1D37"/>
    <w:rsid w:val="5AF10D3E"/>
    <w:rsid w:val="5AF5FCF2"/>
    <w:rsid w:val="5B00CDA5"/>
    <w:rsid w:val="5B0104EC"/>
    <w:rsid w:val="5B07CEA7"/>
    <w:rsid w:val="5B09138A"/>
    <w:rsid w:val="5B140E8A"/>
    <w:rsid w:val="5B1FAE55"/>
    <w:rsid w:val="5B2E4F60"/>
    <w:rsid w:val="5B312747"/>
    <w:rsid w:val="5B35A9CC"/>
    <w:rsid w:val="5B37B48D"/>
    <w:rsid w:val="5B3EB34A"/>
    <w:rsid w:val="5B3FE3F5"/>
    <w:rsid w:val="5B40C39C"/>
    <w:rsid w:val="5B575DD1"/>
    <w:rsid w:val="5B5913C7"/>
    <w:rsid w:val="5B59EEDD"/>
    <w:rsid w:val="5B67F0D6"/>
    <w:rsid w:val="5B6CC3A6"/>
    <w:rsid w:val="5B7ABFDF"/>
    <w:rsid w:val="5B87DEFA"/>
    <w:rsid w:val="5B9BB562"/>
    <w:rsid w:val="5BAD9A00"/>
    <w:rsid w:val="5BB1A738"/>
    <w:rsid w:val="5BD200A4"/>
    <w:rsid w:val="5BE7ABDB"/>
    <w:rsid w:val="5BEE3E04"/>
    <w:rsid w:val="5C1F80DA"/>
    <w:rsid w:val="5C38CD1B"/>
    <w:rsid w:val="5C41D5A6"/>
    <w:rsid w:val="5C49DF4F"/>
    <w:rsid w:val="5C4DDB1F"/>
    <w:rsid w:val="5C5B9949"/>
    <w:rsid w:val="5C6711ED"/>
    <w:rsid w:val="5C723296"/>
    <w:rsid w:val="5C8C441F"/>
    <w:rsid w:val="5C8CFFB6"/>
    <w:rsid w:val="5C94A991"/>
    <w:rsid w:val="5CAA8F6E"/>
    <w:rsid w:val="5CBC08D5"/>
    <w:rsid w:val="5CC7D308"/>
    <w:rsid w:val="5CDBAEC4"/>
    <w:rsid w:val="5CF19515"/>
    <w:rsid w:val="5D01AF3E"/>
    <w:rsid w:val="5D2838A0"/>
    <w:rsid w:val="5D29570F"/>
    <w:rsid w:val="5D29EBBD"/>
    <w:rsid w:val="5D2C9F22"/>
    <w:rsid w:val="5D2EC76F"/>
    <w:rsid w:val="5D390596"/>
    <w:rsid w:val="5D5CCB43"/>
    <w:rsid w:val="5D5DF9FF"/>
    <w:rsid w:val="5D601C88"/>
    <w:rsid w:val="5D75032A"/>
    <w:rsid w:val="5D7844CA"/>
    <w:rsid w:val="5D788B90"/>
    <w:rsid w:val="5D7C5A7D"/>
    <w:rsid w:val="5D7FD213"/>
    <w:rsid w:val="5D8F46A0"/>
    <w:rsid w:val="5DA7E8BE"/>
    <w:rsid w:val="5DC0DCA1"/>
    <w:rsid w:val="5DCE9E77"/>
    <w:rsid w:val="5DE0B0B4"/>
    <w:rsid w:val="5DE3DA3E"/>
    <w:rsid w:val="5DE48754"/>
    <w:rsid w:val="5DE916F9"/>
    <w:rsid w:val="5DFDED14"/>
    <w:rsid w:val="5E038660"/>
    <w:rsid w:val="5E19E70B"/>
    <w:rsid w:val="5E2E97B5"/>
    <w:rsid w:val="5E310CDC"/>
    <w:rsid w:val="5E3D4F37"/>
    <w:rsid w:val="5E475A08"/>
    <w:rsid w:val="5E4961C5"/>
    <w:rsid w:val="5E510D68"/>
    <w:rsid w:val="5E514D73"/>
    <w:rsid w:val="5E569B2D"/>
    <w:rsid w:val="5E5E6240"/>
    <w:rsid w:val="5E7E3F3B"/>
    <w:rsid w:val="5E809153"/>
    <w:rsid w:val="5EA9795A"/>
    <w:rsid w:val="5EA9AB55"/>
    <w:rsid w:val="5EACCED4"/>
    <w:rsid w:val="5EB85CAB"/>
    <w:rsid w:val="5EB8706B"/>
    <w:rsid w:val="5EC4D0C6"/>
    <w:rsid w:val="5ECC2D9B"/>
    <w:rsid w:val="5ED7025D"/>
    <w:rsid w:val="5EDAE884"/>
    <w:rsid w:val="5EE993EA"/>
    <w:rsid w:val="5F07F8C8"/>
    <w:rsid w:val="5F30DF71"/>
    <w:rsid w:val="5F43C4A0"/>
    <w:rsid w:val="5F4688AA"/>
    <w:rsid w:val="5F4A23F1"/>
    <w:rsid w:val="5F653C0A"/>
    <w:rsid w:val="5F733BF2"/>
    <w:rsid w:val="5F779561"/>
    <w:rsid w:val="5F79177D"/>
    <w:rsid w:val="5F934BD9"/>
    <w:rsid w:val="5FB77E30"/>
    <w:rsid w:val="5FC013C4"/>
    <w:rsid w:val="5FD44F71"/>
    <w:rsid w:val="60129C57"/>
    <w:rsid w:val="6013F856"/>
    <w:rsid w:val="6022A31D"/>
    <w:rsid w:val="602559EA"/>
    <w:rsid w:val="60301718"/>
    <w:rsid w:val="60361C7B"/>
    <w:rsid w:val="605407E2"/>
    <w:rsid w:val="6057B63B"/>
    <w:rsid w:val="609DA668"/>
    <w:rsid w:val="609F8511"/>
    <w:rsid w:val="60A24068"/>
    <w:rsid w:val="60A99725"/>
    <w:rsid w:val="60B81FE9"/>
    <w:rsid w:val="60EFC682"/>
    <w:rsid w:val="60F38E26"/>
    <w:rsid w:val="60FA376E"/>
    <w:rsid w:val="611B67B2"/>
    <w:rsid w:val="613F4FC8"/>
    <w:rsid w:val="615ADE87"/>
    <w:rsid w:val="617FC353"/>
    <w:rsid w:val="61809EAE"/>
    <w:rsid w:val="6192D050"/>
    <w:rsid w:val="61BE0309"/>
    <w:rsid w:val="61BF5DEC"/>
    <w:rsid w:val="61C192CE"/>
    <w:rsid w:val="61CC91D7"/>
    <w:rsid w:val="61CDCDE0"/>
    <w:rsid w:val="61EF062E"/>
    <w:rsid w:val="61F9B2B3"/>
    <w:rsid w:val="61FB3F99"/>
    <w:rsid w:val="61FE9196"/>
    <w:rsid w:val="6218C114"/>
    <w:rsid w:val="6222A9B8"/>
    <w:rsid w:val="62319741"/>
    <w:rsid w:val="62321C02"/>
    <w:rsid w:val="623A248F"/>
    <w:rsid w:val="623D6D5A"/>
    <w:rsid w:val="62493FFC"/>
    <w:rsid w:val="624D3BBA"/>
    <w:rsid w:val="62556E50"/>
    <w:rsid w:val="62567D53"/>
    <w:rsid w:val="625990CE"/>
    <w:rsid w:val="625D31E8"/>
    <w:rsid w:val="62729C6D"/>
    <w:rsid w:val="627A98C3"/>
    <w:rsid w:val="62927FC0"/>
    <w:rsid w:val="6296B156"/>
    <w:rsid w:val="6296F1BB"/>
    <w:rsid w:val="629F1920"/>
    <w:rsid w:val="629FA9A8"/>
    <w:rsid w:val="629FF5C9"/>
    <w:rsid w:val="62C765D5"/>
    <w:rsid w:val="62CC3232"/>
    <w:rsid w:val="62D068B2"/>
    <w:rsid w:val="62E210E0"/>
    <w:rsid w:val="62EE6493"/>
    <w:rsid w:val="6308F536"/>
    <w:rsid w:val="63187048"/>
    <w:rsid w:val="631DAC94"/>
    <w:rsid w:val="633A6D10"/>
    <w:rsid w:val="63470EBC"/>
    <w:rsid w:val="634BFF07"/>
    <w:rsid w:val="6351AD46"/>
    <w:rsid w:val="6351C58A"/>
    <w:rsid w:val="6353F4FD"/>
    <w:rsid w:val="635E6043"/>
    <w:rsid w:val="636FF0D9"/>
    <w:rsid w:val="63A4D4AE"/>
    <w:rsid w:val="63B19D59"/>
    <w:rsid w:val="63B51734"/>
    <w:rsid w:val="63BA1B35"/>
    <w:rsid w:val="63E6586A"/>
    <w:rsid w:val="63EA118F"/>
    <w:rsid w:val="6403F00A"/>
    <w:rsid w:val="64060B9E"/>
    <w:rsid w:val="64117217"/>
    <w:rsid w:val="641924D5"/>
    <w:rsid w:val="6430944E"/>
    <w:rsid w:val="6447373E"/>
    <w:rsid w:val="64505C88"/>
    <w:rsid w:val="645F4419"/>
    <w:rsid w:val="64698EBA"/>
    <w:rsid w:val="647E7023"/>
    <w:rsid w:val="647F5EC0"/>
    <w:rsid w:val="6486922E"/>
    <w:rsid w:val="64905C6E"/>
    <w:rsid w:val="649E2A52"/>
    <w:rsid w:val="64AC6C8A"/>
    <w:rsid w:val="64B0A6B5"/>
    <w:rsid w:val="64E0CC5C"/>
    <w:rsid w:val="64F7DDCD"/>
    <w:rsid w:val="650B6CE1"/>
    <w:rsid w:val="653DCFA1"/>
    <w:rsid w:val="656B212E"/>
    <w:rsid w:val="65776C22"/>
    <w:rsid w:val="65829AE1"/>
    <w:rsid w:val="65920A04"/>
    <w:rsid w:val="65A4D3A2"/>
    <w:rsid w:val="65B6B5B9"/>
    <w:rsid w:val="65C02F4C"/>
    <w:rsid w:val="65D689C2"/>
    <w:rsid w:val="65E306DB"/>
    <w:rsid w:val="65E9B6B5"/>
    <w:rsid w:val="65ECEBD6"/>
    <w:rsid w:val="6607D462"/>
    <w:rsid w:val="663B6A52"/>
    <w:rsid w:val="66421345"/>
    <w:rsid w:val="6642E688"/>
    <w:rsid w:val="6660E52B"/>
    <w:rsid w:val="6662C097"/>
    <w:rsid w:val="666439AA"/>
    <w:rsid w:val="6664ACDB"/>
    <w:rsid w:val="666B77F8"/>
    <w:rsid w:val="666C1DA8"/>
    <w:rsid w:val="666D71E1"/>
    <w:rsid w:val="667D7834"/>
    <w:rsid w:val="6699352C"/>
    <w:rsid w:val="66A5FE99"/>
    <w:rsid w:val="66ACF080"/>
    <w:rsid w:val="66BCEBDC"/>
    <w:rsid w:val="66DA74D5"/>
    <w:rsid w:val="66E9C32C"/>
    <w:rsid w:val="66FD5996"/>
    <w:rsid w:val="670304D8"/>
    <w:rsid w:val="673399F2"/>
    <w:rsid w:val="67484D72"/>
    <w:rsid w:val="6749D7D9"/>
    <w:rsid w:val="6749F9AF"/>
    <w:rsid w:val="675A06C0"/>
    <w:rsid w:val="677B7352"/>
    <w:rsid w:val="6785DD13"/>
    <w:rsid w:val="67A7736A"/>
    <w:rsid w:val="67BBFD3A"/>
    <w:rsid w:val="67DDED24"/>
    <w:rsid w:val="6800B562"/>
    <w:rsid w:val="6802D2FC"/>
    <w:rsid w:val="680B2223"/>
    <w:rsid w:val="680EE4BC"/>
    <w:rsid w:val="68194782"/>
    <w:rsid w:val="68594A33"/>
    <w:rsid w:val="68758460"/>
    <w:rsid w:val="687877C0"/>
    <w:rsid w:val="689319FF"/>
    <w:rsid w:val="68B168A8"/>
    <w:rsid w:val="68C0E8C6"/>
    <w:rsid w:val="68C643A5"/>
    <w:rsid w:val="68C99CF7"/>
    <w:rsid w:val="68DDEF11"/>
    <w:rsid w:val="6900018D"/>
    <w:rsid w:val="6900D3BD"/>
    <w:rsid w:val="6933D19E"/>
    <w:rsid w:val="6937752B"/>
    <w:rsid w:val="693D573C"/>
    <w:rsid w:val="693E559B"/>
    <w:rsid w:val="694F0662"/>
    <w:rsid w:val="6952411B"/>
    <w:rsid w:val="696026D3"/>
    <w:rsid w:val="6965A515"/>
    <w:rsid w:val="697030C5"/>
    <w:rsid w:val="697CCC56"/>
    <w:rsid w:val="6980806E"/>
    <w:rsid w:val="69812434"/>
    <w:rsid w:val="69897DD7"/>
    <w:rsid w:val="6991E256"/>
    <w:rsid w:val="69BB4C0A"/>
    <w:rsid w:val="69C985BC"/>
    <w:rsid w:val="69D28B9B"/>
    <w:rsid w:val="69E70851"/>
    <w:rsid w:val="69E779C3"/>
    <w:rsid w:val="69F475DB"/>
    <w:rsid w:val="69F8061D"/>
    <w:rsid w:val="69FB3FF4"/>
    <w:rsid w:val="69FCFDAC"/>
    <w:rsid w:val="6A02177E"/>
    <w:rsid w:val="6A398200"/>
    <w:rsid w:val="6A3E187F"/>
    <w:rsid w:val="6A547A44"/>
    <w:rsid w:val="6A6AF236"/>
    <w:rsid w:val="6A7A5AAB"/>
    <w:rsid w:val="6A81DD71"/>
    <w:rsid w:val="6A9A3FAD"/>
    <w:rsid w:val="6A9C78F9"/>
    <w:rsid w:val="6AA762BC"/>
    <w:rsid w:val="6AA8441D"/>
    <w:rsid w:val="6ABA2775"/>
    <w:rsid w:val="6AC35E5A"/>
    <w:rsid w:val="6AE22401"/>
    <w:rsid w:val="6AEAB732"/>
    <w:rsid w:val="6AEC50AF"/>
    <w:rsid w:val="6AF62458"/>
    <w:rsid w:val="6AF87E39"/>
    <w:rsid w:val="6B0DAECB"/>
    <w:rsid w:val="6B128332"/>
    <w:rsid w:val="6B13A440"/>
    <w:rsid w:val="6B2DCE88"/>
    <w:rsid w:val="6B316207"/>
    <w:rsid w:val="6B3E3758"/>
    <w:rsid w:val="6B4817F6"/>
    <w:rsid w:val="6B50181C"/>
    <w:rsid w:val="6B57634A"/>
    <w:rsid w:val="6B722B4A"/>
    <w:rsid w:val="6B79D646"/>
    <w:rsid w:val="6B9C5B27"/>
    <w:rsid w:val="6BC6CF97"/>
    <w:rsid w:val="6BD669DA"/>
    <w:rsid w:val="6BFCC742"/>
    <w:rsid w:val="6C04A93C"/>
    <w:rsid w:val="6C18E4DA"/>
    <w:rsid w:val="6C254E10"/>
    <w:rsid w:val="6C386CDF"/>
    <w:rsid w:val="6C446871"/>
    <w:rsid w:val="6C70F84A"/>
    <w:rsid w:val="6C7CF70B"/>
    <w:rsid w:val="6C854CBB"/>
    <w:rsid w:val="6C8BC85C"/>
    <w:rsid w:val="6C8E0281"/>
    <w:rsid w:val="6CB1614B"/>
    <w:rsid w:val="6CBDAE18"/>
    <w:rsid w:val="6CC3CCB3"/>
    <w:rsid w:val="6CC56287"/>
    <w:rsid w:val="6CCC2686"/>
    <w:rsid w:val="6CD595B9"/>
    <w:rsid w:val="6CDFAB13"/>
    <w:rsid w:val="6CE2B655"/>
    <w:rsid w:val="6CE3C6B7"/>
    <w:rsid w:val="6CF19644"/>
    <w:rsid w:val="6CFE0435"/>
    <w:rsid w:val="6D013561"/>
    <w:rsid w:val="6D029CE1"/>
    <w:rsid w:val="6D0E19AD"/>
    <w:rsid w:val="6D264E46"/>
    <w:rsid w:val="6D3680C1"/>
    <w:rsid w:val="6D490B0B"/>
    <w:rsid w:val="6D67E9FC"/>
    <w:rsid w:val="6D68C5BB"/>
    <w:rsid w:val="6D7C49C2"/>
    <w:rsid w:val="6D7E9D17"/>
    <w:rsid w:val="6D819B9C"/>
    <w:rsid w:val="6DA07D53"/>
    <w:rsid w:val="6DA24EA7"/>
    <w:rsid w:val="6DB771A0"/>
    <w:rsid w:val="6DC05F15"/>
    <w:rsid w:val="6DD84E33"/>
    <w:rsid w:val="6DECD0EB"/>
    <w:rsid w:val="6E07911B"/>
    <w:rsid w:val="6E0B0369"/>
    <w:rsid w:val="6E0F144B"/>
    <w:rsid w:val="6E12F719"/>
    <w:rsid w:val="6E25AB40"/>
    <w:rsid w:val="6E26C63E"/>
    <w:rsid w:val="6E2C5451"/>
    <w:rsid w:val="6E2CA92D"/>
    <w:rsid w:val="6E2DB590"/>
    <w:rsid w:val="6E3C39A8"/>
    <w:rsid w:val="6E47EFAD"/>
    <w:rsid w:val="6E620172"/>
    <w:rsid w:val="6E6E2171"/>
    <w:rsid w:val="6E725CFB"/>
    <w:rsid w:val="6E7F2A08"/>
    <w:rsid w:val="6E854EBA"/>
    <w:rsid w:val="6E871890"/>
    <w:rsid w:val="6E8B76C5"/>
    <w:rsid w:val="6E99AB32"/>
    <w:rsid w:val="6EB4B5FC"/>
    <w:rsid w:val="6EBB30E5"/>
    <w:rsid w:val="6EBEEED1"/>
    <w:rsid w:val="6ED3FB15"/>
    <w:rsid w:val="6EF345A0"/>
    <w:rsid w:val="6EF9539A"/>
    <w:rsid w:val="6EF96B3D"/>
    <w:rsid w:val="6F0100CF"/>
    <w:rsid w:val="6F2B7BF3"/>
    <w:rsid w:val="6F2DF1CB"/>
    <w:rsid w:val="6F47024E"/>
    <w:rsid w:val="6F4AADC8"/>
    <w:rsid w:val="6F5F7EE0"/>
    <w:rsid w:val="6F888F8A"/>
    <w:rsid w:val="6F8F1288"/>
    <w:rsid w:val="6F9016E0"/>
    <w:rsid w:val="6F9B197C"/>
    <w:rsid w:val="6FA32960"/>
    <w:rsid w:val="6FA650C8"/>
    <w:rsid w:val="6FB7808D"/>
    <w:rsid w:val="6FBE5960"/>
    <w:rsid w:val="6FD5153C"/>
    <w:rsid w:val="6FE306B1"/>
    <w:rsid w:val="6FF855A8"/>
    <w:rsid w:val="700AAE62"/>
    <w:rsid w:val="700AE57D"/>
    <w:rsid w:val="70174BD5"/>
    <w:rsid w:val="70324C74"/>
    <w:rsid w:val="7036AC52"/>
    <w:rsid w:val="703BE9AD"/>
    <w:rsid w:val="70803554"/>
    <w:rsid w:val="7084E800"/>
    <w:rsid w:val="70967A2B"/>
    <w:rsid w:val="709ACAF2"/>
    <w:rsid w:val="70AC65A0"/>
    <w:rsid w:val="70B00838"/>
    <w:rsid w:val="70BA67C7"/>
    <w:rsid w:val="70DE6E0E"/>
    <w:rsid w:val="70E0D195"/>
    <w:rsid w:val="70E8667E"/>
    <w:rsid w:val="70F2E43C"/>
    <w:rsid w:val="70FE0F3A"/>
    <w:rsid w:val="70FF27D5"/>
    <w:rsid w:val="71028F9E"/>
    <w:rsid w:val="711851BA"/>
    <w:rsid w:val="711F51C2"/>
    <w:rsid w:val="71224650"/>
    <w:rsid w:val="712D157A"/>
    <w:rsid w:val="714ECDF9"/>
    <w:rsid w:val="7157F0F4"/>
    <w:rsid w:val="715A577D"/>
    <w:rsid w:val="715FBB88"/>
    <w:rsid w:val="716A3B3F"/>
    <w:rsid w:val="717A2627"/>
    <w:rsid w:val="718A0302"/>
    <w:rsid w:val="71993BAF"/>
    <w:rsid w:val="719ADFC8"/>
    <w:rsid w:val="71A072D5"/>
    <w:rsid w:val="71A452C5"/>
    <w:rsid w:val="71A56B53"/>
    <w:rsid w:val="71A5B4E1"/>
    <w:rsid w:val="71A6E6DF"/>
    <w:rsid w:val="71A75151"/>
    <w:rsid w:val="71A7647B"/>
    <w:rsid w:val="71A95FE9"/>
    <w:rsid w:val="71D6E002"/>
    <w:rsid w:val="71E64641"/>
    <w:rsid w:val="71FC0408"/>
    <w:rsid w:val="720C14A0"/>
    <w:rsid w:val="721EC2C1"/>
    <w:rsid w:val="72348112"/>
    <w:rsid w:val="7237AFD1"/>
    <w:rsid w:val="72542825"/>
    <w:rsid w:val="72557487"/>
    <w:rsid w:val="725C7CB2"/>
    <w:rsid w:val="72770A0C"/>
    <w:rsid w:val="727E2B7D"/>
    <w:rsid w:val="727F1B54"/>
    <w:rsid w:val="72954766"/>
    <w:rsid w:val="729E93BB"/>
    <w:rsid w:val="72B8FC02"/>
    <w:rsid w:val="72C368A0"/>
    <w:rsid w:val="72D32805"/>
    <w:rsid w:val="72D8345B"/>
    <w:rsid w:val="72D86D83"/>
    <w:rsid w:val="72E71700"/>
    <w:rsid w:val="72EF0599"/>
    <w:rsid w:val="72F83696"/>
    <w:rsid w:val="731FBFE0"/>
    <w:rsid w:val="732645B7"/>
    <w:rsid w:val="73288FEF"/>
    <w:rsid w:val="7328D07D"/>
    <w:rsid w:val="733A2D4A"/>
    <w:rsid w:val="7345D7B0"/>
    <w:rsid w:val="734E3BBB"/>
    <w:rsid w:val="734F1E85"/>
    <w:rsid w:val="7362D222"/>
    <w:rsid w:val="7366F84A"/>
    <w:rsid w:val="736FE4AA"/>
    <w:rsid w:val="7371BAA5"/>
    <w:rsid w:val="7371FC81"/>
    <w:rsid w:val="73820FE6"/>
    <w:rsid w:val="73AB3A99"/>
    <w:rsid w:val="73C07673"/>
    <w:rsid w:val="73D26852"/>
    <w:rsid w:val="73E5C93F"/>
    <w:rsid w:val="73E83B08"/>
    <w:rsid w:val="7401C5D6"/>
    <w:rsid w:val="7428D5AA"/>
    <w:rsid w:val="74333995"/>
    <w:rsid w:val="7434AA91"/>
    <w:rsid w:val="7454DA10"/>
    <w:rsid w:val="7456FB7D"/>
    <w:rsid w:val="7462766E"/>
    <w:rsid w:val="746F9BDC"/>
    <w:rsid w:val="748BDDAF"/>
    <w:rsid w:val="749ED5A7"/>
    <w:rsid w:val="74A75CD9"/>
    <w:rsid w:val="74E18DBA"/>
    <w:rsid w:val="74EB64DB"/>
    <w:rsid w:val="74FD8A70"/>
    <w:rsid w:val="75061C5C"/>
    <w:rsid w:val="75104F6A"/>
    <w:rsid w:val="751D3E82"/>
    <w:rsid w:val="752834CF"/>
    <w:rsid w:val="752A99CB"/>
    <w:rsid w:val="752F480B"/>
    <w:rsid w:val="7544EDB9"/>
    <w:rsid w:val="7575E09D"/>
    <w:rsid w:val="75936531"/>
    <w:rsid w:val="75A92B9B"/>
    <w:rsid w:val="75AB2F3D"/>
    <w:rsid w:val="75BCEAAA"/>
    <w:rsid w:val="75C33ABE"/>
    <w:rsid w:val="75CADAD3"/>
    <w:rsid w:val="75CD2EE3"/>
    <w:rsid w:val="75ECF942"/>
    <w:rsid w:val="76031593"/>
    <w:rsid w:val="761193B9"/>
    <w:rsid w:val="761346F3"/>
    <w:rsid w:val="761D555B"/>
    <w:rsid w:val="76309A16"/>
    <w:rsid w:val="7636703D"/>
    <w:rsid w:val="76402D7E"/>
    <w:rsid w:val="764CE8CA"/>
    <w:rsid w:val="76501418"/>
    <w:rsid w:val="767213F9"/>
    <w:rsid w:val="769F6832"/>
    <w:rsid w:val="76AD23F9"/>
    <w:rsid w:val="76B1C886"/>
    <w:rsid w:val="76C9C4F1"/>
    <w:rsid w:val="76CCC882"/>
    <w:rsid w:val="76D60DF4"/>
    <w:rsid w:val="77368977"/>
    <w:rsid w:val="77372535"/>
    <w:rsid w:val="77396B2F"/>
    <w:rsid w:val="7746BBF5"/>
    <w:rsid w:val="77599336"/>
    <w:rsid w:val="775D6337"/>
    <w:rsid w:val="77610BAE"/>
    <w:rsid w:val="7773F9F5"/>
    <w:rsid w:val="777D941A"/>
    <w:rsid w:val="7799AA8E"/>
    <w:rsid w:val="779C079E"/>
    <w:rsid w:val="779C781A"/>
    <w:rsid w:val="77ADEE55"/>
    <w:rsid w:val="77C6FC78"/>
    <w:rsid w:val="77CADB52"/>
    <w:rsid w:val="77E61FB0"/>
    <w:rsid w:val="780B01F3"/>
    <w:rsid w:val="781CF0C0"/>
    <w:rsid w:val="7831F57F"/>
    <w:rsid w:val="783C2072"/>
    <w:rsid w:val="78568DDD"/>
    <w:rsid w:val="7858D040"/>
    <w:rsid w:val="7863EFA8"/>
    <w:rsid w:val="7864C143"/>
    <w:rsid w:val="786B9FD6"/>
    <w:rsid w:val="7871B80B"/>
    <w:rsid w:val="78727456"/>
    <w:rsid w:val="78B0053B"/>
    <w:rsid w:val="78BDEE7A"/>
    <w:rsid w:val="78CFC4C7"/>
    <w:rsid w:val="78F3C037"/>
    <w:rsid w:val="78FA1836"/>
    <w:rsid w:val="78FA758A"/>
    <w:rsid w:val="790D29BE"/>
    <w:rsid w:val="7911D7D5"/>
    <w:rsid w:val="7949289D"/>
    <w:rsid w:val="794B30F2"/>
    <w:rsid w:val="796B0EA6"/>
    <w:rsid w:val="79C358CC"/>
    <w:rsid w:val="79C70A15"/>
    <w:rsid w:val="79EEFE4E"/>
    <w:rsid w:val="7A127D82"/>
    <w:rsid w:val="7A132705"/>
    <w:rsid w:val="7A19C851"/>
    <w:rsid w:val="7A1D4D75"/>
    <w:rsid w:val="7A6465A6"/>
    <w:rsid w:val="7A7513BF"/>
    <w:rsid w:val="7A829288"/>
    <w:rsid w:val="7AA953E1"/>
    <w:rsid w:val="7ABDA96E"/>
    <w:rsid w:val="7AC83A3C"/>
    <w:rsid w:val="7ACB2A97"/>
    <w:rsid w:val="7ADA6551"/>
    <w:rsid w:val="7B03BAED"/>
    <w:rsid w:val="7B1CF463"/>
    <w:rsid w:val="7B1FC965"/>
    <w:rsid w:val="7B29CF5E"/>
    <w:rsid w:val="7B30D63B"/>
    <w:rsid w:val="7B3AC2BD"/>
    <w:rsid w:val="7B5A274E"/>
    <w:rsid w:val="7B5A4ED2"/>
    <w:rsid w:val="7B701FA2"/>
    <w:rsid w:val="7B7FED20"/>
    <w:rsid w:val="7B902378"/>
    <w:rsid w:val="7B99CED1"/>
    <w:rsid w:val="7BA6F8AF"/>
    <w:rsid w:val="7BC1F915"/>
    <w:rsid w:val="7BD933B9"/>
    <w:rsid w:val="7BDE270E"/>
    <w:rsid w:val="7BE35EC0"/>
    <w:rsid w:val="7BFA20BA"/>
    <w:rsid w:val="7C0115A7"/>
    <w:rsid w:val="7C0C3514"/>
    <w:rsid w:val="7C33C22A"/>
    <w:rsid w:val="7C64747A"/>
    <w:rsid w:val="7C668DBF"/>
    <w:rsid w:val="7C757CAC"/>
    <w:rsid w:val="7C7A9250"/>
    <w:rsid w:val="7CB38275"/>
    <w:rsid w:val="7CBB2876"/>
    <w:rsid w:val="7CBBFF9F"/>
    <w:rsid w:val="7CBC961E"/>
    <w:rsid w:val="7CD825E6"/>
    <w:rsid w:val="7D06C8C8"/>
    <w:rsid w:val="7D074137"/>
    <w:rsid w:val="7D0BAD4D"/>
    <w:rsid w:val="7D1510D5"/>
    <w:rsid w:val="7D156EE9"/>
    <w:rsid w:val="7D3E1E2F"/>
    <w:rsid w:val="7D407964"/>
    <w:rsid w:val="7D416594"/>
    <w:rsid w:val="7D4F8D60"/>
    <w:rsid w:val="7D65E802"/>
    <w:rsid w:val="7D706C92"/>
    <w:rsid w:val="7D7483A5"/>
    <w:rsid w:val="7D8DD6F4"/>
    <w:rsid w:val="7D95EE33"/>
    <w:rsid w:val="7DA51669"/>
    <w:rsid w:val="7DA9448C"/>
    <w:rsid w:val="7DAC2217"/>
    <w:rsid w:val="7DAF8CFF"/>
    <w:rsid w:val="7DCE21A3"/>
    <w:rsid w:val="7DCE99C9"/>
    <w:rsid w:val="7DD77341"/>
    <w:rsid w:val="7DD886C2"/>
    <w:rsid w:val="7DF7EDB8"/>
    <w:rsid w:val="7E039220"/>
    <w:rsid w:val="7E0BE529"/>
    <w:rsid w:val="7E139A62"/>
    <w:rsid w:val="7E14EEBA"/>
    <w:rsid w:val="7E1D5C79"/>
    <w:rsid w:val="7E2100BC"/>
    <w:rsid w:val="7E42344C"/>
    <w:rsid w:val="7E58870A"/>
    <w:rsid w:val="7E58EA45"/>
    <w:rsid w:val="7E61757B"/>
    <w:rsid w:val="7E85521E"/>
    <w:rsid w:val="7E93AAC6"/>
    <w:rsid w:val="7EA66F0A"/>
    <w:rsid w:val="7EB053C4"/>
    <w:rsid w:val="7EBBE355"/>
    <w:rsid w:val="7EC4CC16"/>
    <w:rsid w:val="7EC5D2C1"/>
    <w:rsid w:val="7ED36410"/>
    <w:rsid w:val="7EDBB98F"/>
    <w:rsid w:val="7EEDED0D"/>
    <w:rsid w:val="7EF3490D"/>
    <w:rsid w:val="7F2EAA35"/>
    <w:rsid w:val="7F39A584"/>
    <w:rsid w:val="7F4F2ACE"/>
    <w:rsid w:val="7F905580"/>
    <w:rsid w:val="7F908B8C"/>
    <w:rsid w:val="7FAC80F1"/>
    <w:rsid w:val="7FB495C7"/>
    <w:rsid w:val="7FC47233"/>
    <w:rsid w:val="7FDD5160"/>
    <w:rsid w:val="7FE33686"/>
    <w:rsid w:val="7FE7F540"/>
    <w:rsid w:val="7FFD32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09F6FB"/>
  <w15:docId w15:val="{03345E04-54F8-4B56-8ED6-E4C9ACA1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5F6E"/>
    <w:pPr>
      <w:suppressAutoHyphens/>
      <w:spacing w:line="240" w:lineRule="exact"/>
    </w:pPr>
    <w:rPr>
      <w:spacing w:val="4"/>
      <w:w w:val="103"/>
      <w:kern w:val="14"/>
      <w:lang w:val="en-GB"/>
    </w:rPr>
  </w:style>
  <w:style w:type="paragraph" w:styleId="Heading1">
    <w:name w:val="heading 1"/>
    <w:basedOn w:val="Normal"/>
    <w:next w:val="Normal"/>
    <w:link w:val="Heading1Char"/>
    <w:qFormat/>
    <w:rsid w:val="00321CF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semiHidden/>
    <w:unhideWhenUsed/>
    <w:qFormat/>
    <w:rsid w:val="00E605A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E605A4"/>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E605A4"/>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Normal"/>
    <w:link w:val="H23Char"/>
    <w:rsid w:val="00E049B4"/>
    <w:pPr>
      <w:spacing w:line="240" w:lineRule="exact"/>
      <w:outlineLvl w:val="1"/>
    </w:pPr>
    <w:rPr>
      <w:spacing w:val="2"/>
      <w:sz w:val="20"/>
    </w:rPr>
  </w:style>
  <w:style w:type="paragraph" w:customStyle="1" w:styleId="H4">
    <w:name w:val="_ H_4"/>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link w:val="SingleTxtChar"/>
    <w:qFormat/>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rsid w:val="00546F5D"/>
    <w:rPr>
      <w:sz w:val="6"/>
    </w:rPr>
  </w:style>
  <w:style w:type="character" w:styleId="FootnoteReference">
    <w:name w:val="footnote reference"/>
    <w:aliases w:val="ftref,Carattere Char1,Carattere Char Char Carattere Carattere Char Char, Carattere Char1, Carattere Char Char Carattere Carattere Char Char,16 Point,Superscript 6 Point,fr,referencia nota al pie,Ref. de nota al pie2,BVI fnr,heading1"/>
    <w:link w:val="BVIfnrCarCar"/>
    <w:uiPriority w:val="99"/>
    <w:qFormat/>
    <w:rsid w:val="009956B4"/>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956B4"/>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Footnote Text Char1,Footnote Text Char2,Footnote Text Char1 Char1,Footnote Text Char Char Char1,Footnote Text Char1 Char Char,Footnote Text Char Char Char Char,Footnote Text Char Char1 Char,Footnote Text Char Char2,ft,single space,Char,f"/>
    <w:basedOn w:val="Normal"/>
    <w:link w:val="FootnoteTextChar"/>
    <w:uiPriority w:val="99"/>
    <w:qFormat/>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link w:val="FooterChar"/>
    <w:uiPriority w:val="99"/>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link w:val="PlainTextChar"/>
    <w:uiPriority w:val="99"/>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Title">
    <w:name w:val="AgendaTitle"/>
    <w:basedOn w:val="Normal"/>
    <w:next w:val="Normal"/>
    <w:rsid w:val="008C04D4"/>
  </w:style>
  <w:style w:type="paragraph" w:customStyle="1" w:styleId="Committee">
    <w:name w:val="Committee"/>
    <w:basedOn w:val="H1"/>
    <w:rsid w:val="008C04D4"/>
    <w:pPr>
      <w:ind w:left="0" w:firstLine="0"/>
    </w:pPr>
  </w:style>
  <w:style w:type="paragraph" w:customStyle="1" w:styleId="Session">
    <w:name w:val="Session"/>
    <w:basedOn w:val="H23"/>
    <w:rsid w:val="00146E4B"/>
    <w:pPr>
      <w:ind w:left="0" w:firstLine="0"/>
    </w:pPr>
    <w:rPr>
      <w:spacing w:val="4"/>
    </w:rPr>
  </w:style>
  <w:style w:type="paragraph" w:customStyle="1" w:styleId="Sponsors">
    <w:name w:val="Sponsors"/>
    <w:basedOn w:val="H23"/>
    <w:rsid w:val="008C04D4"/>
  </w:style>
  <w:style w:type="paragraph" w:customStyle="1" w:styleId="Title1">
    <w:name w:val="Title 1"/>
    <w:basedOn w:val="HCh"/>
    <w:rsid w:val="00146E4B"/>
    <w:pPr>
      <w:ind w:left="1267" w:right="1267" w:hanging="1267"/>
    </w:pPr>
  </w:style>
  <w:style w:type="paragraph" w:customStyle="1" w:styleId="Title2">
    <w:name w:val="Title 2"/>
    <w:basedOn w:val="H1"/>
    <w:rsid w:val="008C04D4"/>
    <w:pPr>
      <w:ind w:left="0" w:right="0" w:firstLine="0"/>
    </w:pPr>
  </w:style>
  <w:style w:type="paragraph" w:customStyle="1" w:styleId="Type">
    <w:name w:val="Type"/>
    <w:basedOn w:val="H23"/>
    <w:autoRedefine/>
    <w:rsid w:val="00225B63"/>
    <w:pPr>
      <w:ind w:left="0" w:right="576" w:firstLine="0"/>
    </w:pPr>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uiPriority w:val="99"/>
    <w:rsid w:val="00AC3BFA"/>
    <w:rPr>
      <w:color w:val="0000FF"/>
      <w:u w:val="non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aliases w:val=" Char"/>
    <w:basedOn w:val="Normal"/>
    <w:link w:val="CommentTextChar"/>
    <w:uiPriority w:val="99"/>
    <w:rsid w:val="00943B33"/>
    <w:pPr>
      <w:spacing w:line="240" w:lineRule="auto"/>
    </w:pPr>
  </w:style>
  <w:style w:type="character" w:customStyle="1" w:styleId="CommentTextChar">
    <w:name w:val="Comment Text Char"/>
    <w:aliases w:val=" Char Char"/>
    <w:basedOn w:val="DefaultParagraphFont"/>
    <w:link w:val="CommentText"/>
    <w:uiPriority w:val="99"/>
    <w:rsid w:val="00943B33"/>
    <w:rPr>
      <w:spacing w:val="4"/>
      <w:w w:val="103"/>
      <w:kern w:val="14"/>
      <w:lang w:val="en-GB"/>
    </w:rPr>
  </w:style>
  <w:style w:type="paragraph" w:styleId="CommentSubject">
    <w:name w:val="annotation subject"/>
    <w:basedOn w:val="CommentText"/>
    <w:next w:val="CommentText"/>
    <w:link w:val="CommentSubjectChar"/>
    <w:rsid w:val="00943B33"/>
    <w:rPr>
      <w:b/>
      <w:bCs/>
    </w:rPr>
  </w:style>
  <w:style w:type="character" w:customStyle="1" w:styleId="CommentSubjectChar">
    <w:name w:val="Comment Subject Char"/>
    <w:basedOn w:val="CommentTextChar"/>
    <w:link w:val="CommentSubject"/>
    <w:rsid w:val="00943B33"/>
    <w:rPr>
      <w:b/>
      <w:bCs/>
      <w:spacing w:val="4"/>
      <w:w w:val="103"/>
      <w:kern w:val="14"/>
      <w:lang w:val="en-GB"/>
    </w:rPr>
  </w:style>
  <w:style w:type="character" w:customStyle="1" w:styleId="Heading7Char">
    <w:name w:val="Heading 7 Char"/>
    <w:basedOn w:val="DefaultParagraphFont"/>
    <w:link w:val="Heading7"/>
    <w:semiHidden/>
    <w:rsid w:val="00E605A4"/>
    <w:rPr>
      <w:rFonts w:asciiTheme="majorHAnsi" w:eastAsiaTheme="majorEastAsia" w:hAnsiTheme="majorHAnsi" w:cstheme="majorBidi"/>
      <w:i/>
      <w:iCs/>
      <w:color w:val="404040" w:themeColor="text1" w:themeTint="BF"/>
      <w:spacing w:val="4"/>
      <w:w w:val="103"/>
      <w:kern w:val="14"/>
      <w:lang w:val="en-GB"/>
    </w:rPr>
  </w:style>
  <w:style w:type="character" w:customStyle="1" w:styleId="Heading8Char">
    <w:name w:val="Heading 8 Char"/>
    <w:basedOn w:val="DefaultParagraphFont"/>
    <w:link w:val="Heading8"/>
    <w:semiHidden/>
    <w:rsid w:val="00E605A4"/>
    <w:rPr>
      <w:rFonts w:asciiTheme="majorHAnsi" w:eastAsiaTheme="majorEastAsia" w:hAnsiTheme="majorHAnsi" w:cstheme="majorBidi"/>
      <w:color w:val="404040" w:themeColor="text1" w:themeTint="BF"/>
      <w:spacing w:val="4"/>
      <w:w w:val="103"/>
      <w:kern w:val="14"/>
      <w:lang w:val="en-GB"/>
    </w:rPr>
  </w:style>
  <w:style w:type="character" w:customStyle="1" w:styleId="Heading9Char">
    <w:name w:val="Heading 9 Char"/>
    <w:basedOn w:val="DefaultParagraphFont"/>
    <w:link w:val="Heading9"/>
    <w:semiHidden/>
    <w:rsid w:val="00E605A4"/>
    <w:rPr>
      <w:rFonts w:asciiTheme="majorHAnsi" w:eastAsiaTheme="majorEastAsia" w:hAnsiTheme="majorHAnsi" w:cstheme="majorBidi"/>
      <w:i/>
      <w:iCs/>
      <w:color w:val="404040" w:themeColor="text1" w:themeTint="BF"/>
      <w:spacing w:val="4"/>
      <w:w w:val="103"/>
      <w:kern w:val="14"/>
      <w:lang w:val="en-GB"/>
    </w:rPr>
  </w:style>
  <w:style w:type="paragraph" w:styleId="ListParagraph">
    <w:name w:val="List Paragraph"/>
    <w:aliases w:val="WB Para,List 100s,L,3,Paragraphe de liste1,List Paragraph (numbered (a)),Lapis Bulleted List,Dot pt,F5 List Paragraph,List Paragraph1,No Spacing1,List Paragraph Char Char Char,Indicator Text,Numbered Para 1,List Paragraph12,Bullet Points"/>
    <w:basedOn w:val="Normal"/>
    <w:link w:val="ListParagraphChar"/>
    <w:uiPriority w:val="34"/>
    <w:qFormat/>
    <w:rsid w:val="00E605A4"/>
    <w:pPr>
      <w:ind w:left="720"/>
      <w:contextualSpacing/>
    </w:pPr>
  </w:style>
  <w:style w:type="character" w:styleId="FollowedHyperlink">
    <w:name w:val="FollowedHyperlink"/>
    <w:basedOn w:val="DefaultParagraphFont"/>
    <w:rsid w:val="00E605A4"/>
    <w:rPr>
      <w:color w:val="0000FF"/>
      <w:u w:val="none"/>
    </w:rPr>
  </w:style>
  <w:style w:type="paragraph" w:styleId="Revision">
    <w:name w:val="Revision"/>
    <w:hidden/>
    <w:uiPriority w:val="99"/>
    <w:semiHidden/>
    <w:rsid w:val="000C6C71"/>
    <w:rPr>
      <w:spacing w:val="4"/>
      <w:w w:val="103"/>
      <w:kern w:val="14"/>
      <w:lang w:val="en-GB"/>
    </w:rPr>
  </w:style>
  <w:style w:type="character" w:styleId="Emphasis">
    <w:name w:val="Emphasis"/>
    <w:basedOn w:val="DefaultParagraphFont"/>
    <w:uiPriority w:val="20"/>
    <w:qFormat/>
    <w:rsid w:val="003B6469"/>
    <w:rPr>
      <w:i/>
      <w:iCs/>
    </w:rPr>
  </w:style>
  <w:style w:type="paragraph" w:styleId="NormalWeb">
    <w:name w:val="Normal (Web)"/>
    <w:basedOn w:val="Normal"/>
    <w:uiPriority w:val="99"/>
    <w:unhideWhenUsed/>
    <w:rsid w:val="00395270"/>
    <w:pPr>
      <w:suppressAutoHyphens w:val="0"/>
      <w:spacing w:line="240" w:lineRule="auto"/>
    </w:pPr>
    <w:rPr>
      <w:spacing w:val="0"/>
      <w:w w:val="100"/>
      <w:kern w:val="0"/>
      <w:sz w:val="24"/>
      <w:szCs w:val="24"/>
      <w:lang w:val="en-US"/>
    </w:rPr>
  </w:style>
  <w:style w:type="character" w:styleId="Strong">
    <w:name w:val="Strong"/>
    <w:basedOn w:val="DefaultParagraphFont"/>
    <w:uiPriority w:val="22"/>
    <w:qFormat/>
    <w:rsid w:val="00680341"/>
    <w:rPr>
      <w:b/>
      <w:bCs/>
    </w:rPr>
  </w:style>
  <w:style w:type="paragraph" w:customStyle="1" w:styleId="Default">
    <w:name w:val="Default"/>
    <w:basedOn w:val="Normal"/>
    <w:rsid w:val="00C76EB7"/>
    <w:pPr>
      <w:suppressAutoHyphens w:val="0"/>
      <w:autoSpaceDE w:val="0"/>
      <w:autoSpaceDN w:val="0"/>
      <w:spacing w:line="240" w:lineRule="auto"/>
    </w:pPr>
    <w:rPr>
      <w:color w:val="000000"/>
      <w:spacing w:val="0"/>
      <w:w w:val="100"/>
      <w:kern w:val="0"/>
      <w:sz w:val="24"/>
      <w:szCs w:val="24"/>
      <w:lang w:val="en-US"/>
    </w:rPr>
  </w:style>
  <w:style w:type="character" w:customStyle="1" w:styleId="PlainTextChar">
    <w:name w:val="Plain Text Char"/>
    <w:basedOn w:val="DefaultParagraphFont"/>
    <w:link w:val="PlainText"/>
    <w:uiPriority w:val="99"/>
    <w:rsid w:val="00E52A1D"/>
    <w:rPr>
      <w:rFonts w:ascii="Courier New" w:eastAsia="Times New Roman" w:hAnsi="Courier New"/>
      <w:lang w:eastAsia="en-GB"/>
    </w:rPr>
  </w:style>
  <w:style w:type="character" w:customStyle="1" w:styleId="Heading1Char">
    <w:name w:val="Heading 1 Char"/>
    <w:basedOn w:val="DefaultParagraphFont"/>
    <w:link w:val="Heading1"/>
    <w:rsid w:val="00321CFC"/>
    <w:rPr>
      <w:rFonts w:asciiTheme="majorHAnsi" w:eastAsiaTheme="majorEastAsia" w:hAnsiTheme="majorHAnsi" w:cstheme="majorBidi"/>
      <w:color w:val="365F91" w:themeColor="accent1" w:themeShade="BF"/>
      <w:spacing w:val="4"/>
      <w:w w:val="103"/>
      <w:kern w:val="14"/>
      <w:sz w:val="32"/>
      <w:szCs w:val="32"/>
      <w:lang w:val="en-GB"/>
    </w:rPr>
  </w:style>
  <w:style w:type="character" w:customStyle="1" w:styleId="FootnoteTextChar">
    <w:name w:val="Footnote Text Char"/>
    <w:aliases w:val="Footnote Text Char1 Char,Footnote Text Char2 Char,Footnote Text Char1 Char1 Char,Footnote Text Char Char Char1 Char,Footnote Text Char1 Char Char Char,Footnote Text Char Char Char Char Char,Footnote Text Char Char1 Char Char,ft Char"/>
    <w:basedOn w:val="DefaultParagraphFont"/>
    <w:link w:val="FootnoteText"/>
    <w:uiPriority w:val="99"/>
    <w:rsid w:val="00F467B2"/>
    <w:rPr>
      <w:spacing w:val="5"/>
      <w:w w:val="103"/>
      <w:kern w:val="14"/>
      <w:sz w:val="17"/>
      <w:lang w:val="en-GB"/>
    </w:rPr>
  </w:style>
  <w:style w:type="character" w:customStyle="1" w:styleId="FooterChar">
    <w:name w:val="Footer Char"/>
    <w:link w:val="Footer"/>
    <w:uiPriority w:val="99"/>
    <w:rsid w:val="00101CA3"/>
    <w:rPr>
      <w:b/>
      <w:noProof/>
      <w:sz w:val="17"/>
    </w:rPr>
  </w:style>
  <w:style w:type="paragraph" w:styleId="TOCHeading">
    <w:name w:val="TOC Heading"/>
    <w:basedOn w:val="Heading1"/>
    <w:next w:val="Normal"/>
    <w:uiPriority w:val="39"/>
    <w:unhideWhenUsed/>
    <w:qFormat/>
    <w:rsid w:val="002E6FA7"/>
    <w:pPr>
      <w:suppressAutoHyphens w:val="0"/>
      <w:spacing w:line="259" w:lineRule="auto"/>
      <w:outlineLvl w:val="9"/>
    </w:pPr>
    <w:rPr>
      <w:spacing w:val="0"/>
      <w:w w:val="100"/>
      <w:kern w:val="0"/>
      <w:lang w:val="en-US"/>
    </w:rPr>
  </w:style>
  <w:style w:type="paragraph" w:styleId="TOC1">
    <w:name w:val="toc 1"/>
    <w:basedOn w:val="Normal"/>
    <w:next w:val="Normal"/>
    <w:autoRedefine/>
    <w:uiPriority w:val="39"/>
    <w:unhideWhenUsed/>
    <w:rsid w:val="00D060DE"/>
    <w:pPr>
      <w:tabs>
        <w:tab w:val="left" w:pos="660"/>
        <w:tab w:val="right" w:leader="dot" w:pos="10045"/>
      </w:tabs>
      <w:spacing w:after="100"/>
    </w:pPr>
  </w:style>
  <w:style w:type="paragraph" w:styleId="TOC2">
    <w:name w:val="toc 2"/>
    <w:basedOn w:val="Normal"/>
    <w:next w:val="Normal"/>
    <w:autoRedefine/>
    <w:uiPriority w:val="39"/>
    <w:unhideWhenUsed/>
    <w:rsid w:val="00122E90"/>
    <w:pPr>
      <w:tabs>
        <w:tab w:val="left" w:pos="660"/>
        <w:tab w:val="right" w:leader="dot" w:pos="10045"/>
      </w:tabs>
      <w:spacing w:after="100"/>
      <w:ind w:left="200"/>
    </w:pPr>
  </w:style>
  <w:style w:type="paragraph" w:styleId="TOC3">
    <w:name w:val="toc 3"/>
    <w:basedOn w:val="Normal"/>
    <w:next w:val="Normal"/>
    <w:autoRedefine/>
    <w:uiPriority w:val="39"/>
    <w:unhideWhenUsed/>
    <w:rsid w:val="00EF2A39"/>
    <w:pPr>
      <w:tabs>
        <w:tab w:val="right" w:leader="dot" w:pos="10045"/>
      </w:tabs>
      <w:spacing w:after="100"/>
      <w:ind w:left="400"/>
    </w:pPr>
  </w:style>
  <w:style w:type="character" w:styleId="UnresolvedMention">
    <w:name w:val="Unresolved Mention"/>
    <w:basedOn w:val="DefaultParagraphFont"/>
    <w:uiPriority w:val="99"/>
    <w:unhideWhenUsed/>
    <w:rsid w:val="00E2710C"/>
    <w:rPr>
      <w:color w:val="605E5C"/>
      <w:shd w:val="clear" w:color="auto" w:fill="E1DFDD"/>
    </w:rPr>
  </w:style>
  <w:style w:type="character" w:styleId="Mention">
    <w:name w:val="Mention"/>
    <w:basedOn w:val="DefaultParagraphFont"/>
    <w:uiPriority w:val="99"/>
    <w:unhideWhenUsed/>
    <w:rsid w:val="00E2710C"/>
    <w:rPr>
      <w:color w:val="2B579A"/>
      <w:shd w:val="clear" w:color="auto" w:fill="E1DFDD"/>
    </w:rPr>
  </w:style>
  <w:style w:type="character" w:customStyle="1" w:styleId="SingleTxtChar">
    <w:name w:val="__Single Txt Char"/>
    <w:link w:val="SingleTxt"/>
    <w:rsid w:val="00ED4FEC"/>
    <w:rPr>
      <w:spacing w:val="4"/>
      <w:w w:val="103"/>
      <w:kern w:val="14"/>
      <w:lang w:val="en-GB"/>
    </w:rPr>
  </w:style>
  <w:style w:type="character" w:customStyle="1" w:styleId="H23Char">
    <w:name w:val="_ H_2/3 Char"/>
    <w:link w:val="H23"/>
    <w:locked/>
    <w:rsid w:val="00DC33F0"/>
    <w:rPr>
      <w:b/>
      <w:spacing w:val="2"/>
      <w:w w:val="103"/>
      <w:kern w:val="14"/>
      <w:lang w:val="en-GB"/>
    </w:rPr>
  </w:style>
  <w:style w:type="paragraph" w:styleId="BodyText">
    <w:name w:val="Body Text"/>
    <w:basedOn w:val="Normal"/>
    <w:link w:val="BodyTextChar"/>
    <w:rsid w:val="00156F3B"/>
    <w:pPr>
      <w:suppressAutoHyphens w:val="0"/>
      <w:spacing w:after="120" w:line="240" w:lineRule="auto"/>
    </w:pPr>
    <w:rPr>
      <w:rFonts w:eastAsia="Calibri"/>
      <w:spacing w:val="0"/>
      <w:w w:val="100"/>
      <w:kern w:val="0"/>
      <w:szCs w:val="24"/>
      <w:lang w:val="en-US" w:eastAsia="zh-CN"/>
    </w:rPr>
  </w:style>
  <w:style w:type="character" w:customStyle="1" w:styleId="BodyTextChar">
    <w:name w:val="Body Text Char"/>
    <w:basedOn w:val="DefaultParagraphFont"/>
    <w:link w:val="BodyText"/>
    <w:rsid w:val="00156F3B"/>
    <w:rPr>
      <w:rFonts w:eastAsia="Calibri"/>
      <w:szCs w:val="24"/>
      <w:lang w:eastAsia="zh-CN"/>
    </w:rPr>
  </w:style>
  <w:style w:type="paragraph" w:customStyle="1" w:styleId="BVIfnrCarCar">
    <w:name w:val="BVI fnr Car Car"/>
    <w:aliases w:val="BVI fnr Car,BVI fnr Car Car Car Car,BVI fnr Car Car Car Car Char,BVI fnr Car Car Car Car Char Char Char Char Char"/>
    <w:basedOn w:val="Normal"/>
    <w:link w:val="FootnoteReference"/>
    <w:uiPriority w:val="99"/>
    <w:rsid w:val="000F345E"/>
    <w:pPr>
      <w:suppressAutoHyphens w:val="0"/>
      <w:spacing w:after="160"/>
    </w:pPr>
    <w:rPr>
      <w:color w:val="943634" w:themeColor="accent2" w:themeShade="BF"/>
      <w:spacing w:val="5"/>
      <w:vertAlign w:val="superscript"/>
      <w:lang w:val="en-US"/>
    </w:rPr>
  </w:style>
  <w:style w:type="character" w:customStyle="1" w:styleId="ListParagraphChar">
    <w:name w:val="List Paragraph Char"/>
    <w:aliases w:val="WB Para Char,List 100s Char,L Char,3 Char,Paragraphe de liste1 Char,List Paragraph (numbered (a)) Char,Lapis Bulleted List Char,Dot pt Char,F5 List Paragraph Char,List Paragraph1 Char,No Spacing1 Char,Indicator Text Char"/>
    <w:basedOn w:val="DefaultParagraphFont"/>
    <w:link w:val="ListParagraph"/>
    <w:uiPriority w:val="34"/>
    <w:locked/>
    <w:rsid w:val="00C02F24"/>
    <w:rPr>
      <w:spacing w:val="4"/>
      <w:w w:val="103"/>
      <w:kern w:val="14"/>
      <w:lang w:val="en-GB"/>
    </w:rPr>
  </w:style>
  <w:style w:type="character" w:customStyle="1" w:styleId="normaltextrun">
    <w:name w:val="normaltextrun"/>
    <w:basedOn w:val="DefaultParagraphFont"/>
    <w:rsid w:val="00162628"/>
  </w:style>
  <w:style w:type="character" w:customStyle="1" w:styleId="apple-converted-space">
    <w:name w:val="apple-converted-space"/>
    <w:basedOn w:val="DefaultParagraphFont"/>
    <w:rsid w:val="00676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4919">
      <w:bodyDiv w:val="1"/>
      <w:marLeft w:val="0"/>
      <w:marRight w:val="0"/>
      <w:marTop w:val="0"/>
      <w:marBottom w:val="0"/>
      <w:divBdr>
        <w:top w:val="none" w:sz="0" w:space="0" w:color="auto"/>
        <w:left w:val="none" w:sz="0" w:space="0" w:color="auto"/>
        <w:bottom w:val="none" w:sz="0" w:space="0" w:color="auto"/>
        <w:right w:val="none" w:sz="0" w:space="0" w:color="auto"/>
      </w:divBdr>
    </w:div>
    <w:div w:id="15205818">
      <w:bodyDiv w:val="1"/>
      <w:marLeft w:val="0"/>
      <w:marRight w:val="0"/>
      <w:marTop w:val="0"/>
      <w:marBottom w:val="0"/>
      <w:divBdr>
        <w:top w:val="none" w:sz="0" w:space="0" w:color="auto"/>
        <w:left w:val="none" w:sz="0" w:space="0" w:color="auto"/>
        <w:bottom w:val="none" w:sz="0" w:space="0" w:color="auto"/>
        <w:right w:val="none" w:sz="0" w:space="0" w:color="auto"/>
      </w:divBdr>
    </w:div>
    <w:div w:id="21444593">
      <w:bodyDiv w:val="1"/>
      <w:marLeft w:val="0"/>
      <w:marRight w:val="0"/>
      <w:marTop w:val="0"/>
      <w:marBottom w:val="0"/>
      <w:divBdr>
        <w:top w:val="none" w:sz="0" w:space="0" w:color="auto"/>
        <w:left w:val="none" w:sz="0" w:space="0" w:color="auto"/>
        <w:bottom w:val="none" w:sz="0" w:space="0" w:color="auto"/>
        <w:right w:val="none" w:sz="0" w:space="0" w:color="auto"/>
      </w:divBdr>
    </w:div>
    <w:div w:id="43994504">
      <w:bodyDiv w:val="1"/>
      <w:marLeft w:val="0"/>
      <w:marRight w:val="0"/>
      <w:marTop w:val="0"/>
      <w:marBottom w:val="0"/>
      <w:divBdr>
        <w:top w:val="none" w:sz="0" w:space="0" w:color="auto"/>
        <w:left w:val="none" w:sz="0" w:space="0" w:color="auto"/>
        <w:bottom w:val="none" w:sz="0" w:space="0" w:color="auto"/>
        <w:right w:val="none" w:sz="0" w:space="0" w:color="auto"/>
      </w:divBdr>
    </w:div>
    <w:div w:id="44261467">
      <w:bodyDiv w:val="1"/>
      <w:marLeft w:val="0"/>
      <w:marRight w:val="0"/>
      <w:marTop w:val="0"/>
      <w:marBottom w:val="0"/>
      <w:divBdr>
        <w:top w:val="none" w:sz="0" w:space="0" w:color="auto"/>
        <w:left w:val="none" w:sz="0" w:space="0" w:color="auto"/>
        <w:bottom w:val="none" w:sz="0" w:space="0" w:color="auto"/>
        <w:right w:val="none" w:sz="0" w:space="0" w:color="auto"/>
      </w:divBdr>
    </w:div>
    <w:div w:id="88934858">
      <w:bodyDiv w:val="1"/>
      <w:marLeft w:val="0"/>
      <w:marRight w:val="0"/>
      <w:marTop w:val="0"/>
      <w:marBottom w:val="0"/>
      <w:divBdr>
        <w:top w:val="none" w:sz="0" w:space="0" w:color="auto"/>
        <w:left w:val="none" w:sz="0" w:space="0" w:color="auto"/>
        <w:bottom w:val="none" w:sz="0" w:space="0" w:color="auto"/>
        <w:right w:val="none" w:sz="0" w:space="0" w:color="auto"/>
      </w:divBdr>
    </w:div>
    <w:div w:id="111944180">
      <w:bodyDiv w:val="1"/>
      <w:marLeft w:val="0"/>
      <w:marRight w:val="0"/>
      <w:marTop w:val="0"/>
      <w:marBottom w:val="0"/>
      <w:divBdr>
        <w:top w:val="none" w:sz="0" w:space="0" w:color="auto"/>
        <w:left w:val="none" w:sz="0" w:space="0" w:color="auto"/>
        <w:bottom w:val="none" w:sz="0" w:space="0" w:color="auto"/>
        <w:right w:val="none" w:sz="0" w:space="0" w:color="auto"/>
      </w:divBdr>
    </w:div>
    <w:div w:id="140849214">
      <w:bodyDiv w:val="1"/>
      <w:marLeft w:val="0"/>
      <w:marRight w:val="0"/>
      <w:marTop w:val="0"/>
      <w:marBottom w:val="0"/>
      <w:divBdr>
        <w:top w:val="none" w:sz="0" w:space="0" w:color="auto"/>
        <w:left w:val="none" w:sz="0" w:space="0" w:color="auto"/>
        <w:bottom w:val="none" w:sz="0" w:space="0" w:color="auto"/>
        <w:right w:val="none" w:sz="0" w:space="0" w:color="auto"/>
      </w:divBdr>
    </w:div>
    <w:div w:id="143469192">
      <w:bodyDiv w:val="1"/>
      <w:marLeft w:val="0"/>
      <w:marRight w:val="0"/>
      <w:marTop w:val="0"/>
      <w:marBottom w:val="0"/>
      <w:divBdr>
        <w:top w:val="none" w:sz="0" w:space="0" w:color="auto"/>
        <w:left w:val="none" w:sz="0" w:space="0" w:color="auto"/>
        <w:bottom w:val="none" w:sz="0" w:space="0" w:color="auto"/>
        <w:right w:val="none" w:sz="0" w:space="0" w:color="auto"/>
      </w:divBdr>
    </w:div>
    <w:div w:id="148907430">
      <w:bodyDiv w:val="1"/>
      <w:marLeft w:val="0"/>
      <w:marRight w:val="0"/>
      <w:marTop w:val="0"/>
      <w:marBottom w:val="0"/>
      <w:divBdr>
        <w:top w:val="none" w:sz="0" w:space="0" w:color="auto"/>
        <w:left w:val="none" w:sz="0" w:space="0" w:color="auto"/>
        <w:bottom w:val="none" w:sz="0" w:space="0" w:color="auto"/>
        <w:right w:val="none" w:sz="0" w:space="0" w:color="auto"/>
      </w:divBdr>
    </w:div>
    <w:div w:id="199709246">
      <w:bodyDiv w:val="1"/>
      <w:marLeft w:val="0"/>
      <w:marRight w:val="0"/>
      <w:marTop w:val="0"/>
      <w:marBottom w:val="0"/>
      <w:divBdr>
        <w:top w:val="none" w:sz="0" w:space="0" w:color="auto"/>
        <w:left w:val="none" w:sz="0" w:space="0" w:color="auto"/>
        <w:bottom w:val="none" w:sz="0" w:space="0" w:color="auto"/>
        <w:right w:val="none" w:sz="0" w:space="0" w:color="auto"/>
      </w:divBdr>
    </w:div>
    <w:div w:id="210314975">
      <w:bodyDiv w:val="1"/>
      <w:marLeft w:val="0"/>
      <w:marRight w:val="0"/>
      <w:marTop w:val="0"/>
      <w:marBottom w:val="0"/>
      <w:divBdr>
        <w:top w:val="none" w:sz="0" w:space="0" w:color="auto"/>
        <w:left w:val="none" w:sz="0" w:space="0" w:color="auto"/>
        <w:bottom w:val="none" w:sz="0" w:space="0" w:color="auto"/>
        <w:right w:val="none" w:sz="0" w:space="0" w:color="auto"/>
      </w:divBdr>
    </w:div>
    <w:div w:id="219829713">
      <w:bodyDiv w:val="1"/>
      <w:marLeft w:val="0"/>
      <w:marRight w:val="0"/>
      <w:marTop w:val="0"/>
      <w:marBottom w:val="0"/>
      <w:divBdr>
        <w:top w:val="none" w:sz="0" w:space="0" w:color="auto"/>
        <w:left w:val="none" w:sz="0" w:space="0" w:color="auto"/>
        <w:bottom w:val="none" w:sz="0" w:space="0" w:color="auto"/>
        <w:right w:val="none" w:sz="0" w:space="0" w:color="auto"/>
      </w:divBdr>
    </w:div>
    <w:div w:id="221062197">
      <w:bodyDiv w:val="1"/>
      <w:marLeft w:val="0"/>
      <w:marRight w:val="0"/>
      <w:marTop w:val="0"/>
      <w:marBottom w:val="0"/>
      <w:divBdr>
        <w:top w:val="none" w:sz="0" w:space="0" w:color="auto"/>
        <w:left w:val="none" w:sz="0" w:space="0" w:color="auto"/>
        <w:bottom w:val="none" w:sz="0" w:space="0" w:color="auto"/>
        <w:right w:val="none" w:sz="0" w:space="0" w:color="auto"/>
      </w:divBdr>
    </w:div>
    <w:div w:id="267735662">
      <w:bodyDiv w:val="1"/>
      <w:marLeft w:val="0"/>
      <w:marRight w:val="0"/>
      <w:marTop w:val="0"/>
      <w:marBottom w:val="0"/>
      <w:divBdr>
        <w:top w:val="none" w:sz="0" w:space="0" w:color="auto"/>
        <w:left w:val="none" w:sz="0" w:space="0" w:color="auto"/>
        <w:bottom w:val="none" w:sz="0" w:space="0" w:color="auto"/>
        <w:right w:val="none" w:sz="0" w:space="0" w:color="auto"/>
      </w:divBdr>
    </w:div>
    <w:div w:id="288633713">
      <w:bodyDiv w:val="1"/>
      <w:marLeft w:val="0"/>
      <w:marRight w:val="0"/>
      <w:marTop w:val="0"/>
      <w:marBottom w:val="0"/>
      <w:divBdr>
        <w:top w:val="none" w:sz="0" w:space="0" w:color="auto"/>
        <w:left w:val="none" w:sz="0" w:space="0" w:color="auto"/>
        <w:bottom w:val="none" w:sz="0" w:space="0" w:color="auto"/>
        <w:right w:val="none" w:sz="0" w:space="0" w:color="auto"/>
      </w:divBdr>
    </w:div>
    <w:div w:id="299043538">
      <w:bodyDiv w:val="1"/>
      <w:marLeft w:val="0"/>
      <w:marRight w:val="0"/>
      <w:marTop w:val="0"/>
      <w:marBottom w:val="0"/>
      <w:divBdr>
        <w:top w:val="none" w:sz="0" w:space="0" w:color="auto"/>
        <w:left w:val="none" w:sz="0" w:space="0" w:color="auto"/>
        <w:bottom w:val="none" w:sz="0" w:space="0" w:color="auto"/>
        <w:right w:val="none" w:sz="0" w:space="0" w:color="auto"/>
      </w:divBdr>
    </w:div>
    <w:div w:id="322202402">
      <w:bodyDiv w:val="1"/>
      <w:marLeft w:val="0"/>
      <w:marRight w:val="0"/>
      <w:marTop w:val="0"/>
      <w:marBottom w:val="0"/>
      <w:divBdr>
        <w:top w:val="none" w:sz="0" w:space="0" w:color="auto"/>
        <w:left w:val="none" w:sz="0" w:space="0" w:color="auto"/>
        <w:bottom w:val="none" w:sz="0" w:space="0" w:color="auto"/>
        <w:right w:val="none" w:sz="0" w:space="0" w:color="auto"/>
      </w:divBdr>
    </w:div>
    <w:div w:id="335501437">
      <w:bodyDiv w:val="1"/>
      <w:marLeft w:val="0"/>
      <w:marRight w:val="0"/>
      <w:marTop w:val="0"/>
      <w:marBottom w:val="0"/>
      <w:divBdr>
        <w:top w:val="none" w:sz="0" w:space="0" w:color="auto"/>
        <w:left w:val="none" w:sz="0" w:space="0" w:color="auto"/>
        <w:bottom w:val="none" w:sz="0" w:space="0" w:color="auto"/>
        <w:right w:val="none" w:sz="0" w:space="0" w:color="auto"/>
      </w:divBdr>
    </w:div>
    <w:div w:id="453401686">
      <w:bodyDiv w:val="1"/>
      <w:marLeft w:val="0"/>
      <w:marRight w:val="0"/>
      <w:marTop w:val="0"/>
      <w:marBottom w:val="0"/>
      <w:divBdr>
        <w:top w:val="none" w:sz="0" w:space="0" w:color="auto"/>
        <w:left w:val="none" w:sz="0" w:space="0" w:color="auto"/>
        <w:bottom w:val="none" w:sz="0" w:space="0" w:color="auto"/>
        <w:right w:val="none" w:sz="0" w:space="0" w:color="auto"/>
      </w:divBdr>
    </w:div>
    <w:div w:id="461197717">
      <w:bodyDiv w:val="1"/>
      <w:marLeft w:val="0"/>
      <w:marRight w:val="0"/>
      <w:marTop w:val="0"/>
      <w:marBottom w:val="0"/>
      <w:divBdr>
        <w:top w:val="none" w:sz="0" w:space="0" w:color="auto"/>
        <w:left w:val="none" w:sz="0" w:space="0" w:color="auto"/>
        <w:bottom w:val="none" w:sz="0" w:space="0" w:color="auto"/>
        <w:right w:val="none" w:sz="0" w:space="0" w:color="auto"/>
      </w:divBdr>
    </w:div>
    <w:div w:id="482818656">
      <w:bodyDiv w:val="1"/>
      <w:marLeft w:val="0"/>
      <w:marRight w:val="0"/>
      <w:marTop w:val="0"/>
      <w:marBottom w:val="0"/>
      <w:divBdr>
        <w:top w:val="none" w:sz="0" w:space="0" w:color="auto"/>
        <w:left w:val="none" w:sz="0" w:space="0" w:color="auto"/>
        <w:bottom w:val="none" w:sz="0" w:space="0" w:color="auto"/>
        <w:right w:val="none" w:sz="0" w:space="0" w:color="auto"/>
      </w:divBdr>
    </w:div>
    <w:div w:id="492796789">
      <w:bodyDiv w:val="1"/>
      <w:marLeft w:val="0"/>
      <w:marRight w:val="0"/>
      <w:marTop w:val="0"/>
      <w:marBottom w:val="0"/>
      <w:divBdr>
        <w:top w:val="none" w:sz="0" w:space="0" w:color="auto"/>
        <w:left w:val="none" w:sz="0" w:space="0" w:color="auto"/>
        <w:bottom w:val="none" w:sz="0" w:space="0" w:color="auto"/>
        <w:right w:val="none" w:sz="0" w:space="0" w:color="auto"/>
      </w:divBdr>
    </w:div>
    <w:div w:id="496531381">
      <w:bodyDiv w:val="1"/>
      <w:marLeft w:val="0"/>
      <w:marRight w:val="0"/>
      <w:marTop w:val="0"/>
      <w:marBottom w:val="0"/>
      <w:divBdr>
        <w:top w:val="none" w:sz="0" w:space="0" w:color="auto"/>
        <w:left w:val="none" w:sz="0" w:space="0" w:color="auto"/>
        <w:bottom w:val="none" w:sz="0" w:space="0" w:color="auto"/>
        <w:right w:val="none" w:sz="0" w:space="0" w:color="auto"/>
      </w:divBdr>
    </w:div>
    <w:div w:id="523246829">
      <w:bodyDiv w:val="1"/>
      <w:marLeft w:val="0"/>
      <w:marRight w:val="0"/>
      <w:marTop w:val="0"/>
      <w:marBottom w:val="0"/>
      <w:divBdr>
        <w:top w:val="none" w:sz="0" w:space="0" w:color="auto"/>
        <w:left w:val="none" w:sz="0" w:space="0" w:color="auto"/>
        <w:bottom w:val="none" w:sz="0" w:space="0" w:color="auto"/>
        <w:right w:val="none" w:sz="0" w:space="0" w:color="auto"/>
      </w:divBdr>
    </w:div>
    <w:div w:id="540634161">
      <w:bodyDiv w:val="1"/>
      <w:marLeft w:val="0"/>
      <w:marRight w:val="0"/>
      <w:marTop w:val="0"/>
      <w:marBottom w:val="0"/>
      <w:divBdr>
        <w:top w:val="none" w:sz="0" w:space="0" w:color="auto"/>
        <w:left w:val="none" w:sz="0" w:space="0" w:color="auto"/>
        <w:bottom w:val="none" w:sz="0" w:space="0" w:color="auto"/>
        <w:right w:val="none" w:sz="0" w:space="0" w:color="auto"/>
      </w:divBdr>
    </w:div>
    <w:div w:id="544146758">
      <w:bodyDiv w:val="1"/>
      <w:marLeft w:val="0"/>
      <w:marRight w:val="0"/>
      <w:marTop w:val="0"/>
      <w:marBottom w:val="0"/>
      <w:divBdr>
        <w:top w:val="none" w:sz="0" w:space="0" w:color="auto"/>
        <w:left w:val="none" w:sz="0" w:space="0" w:color="auto"/>
        <w:bottom w:val="none" w:sz="0" w:space="0" w:color="auto"/>
        <w:right w:val="none" w:sz="0" w:space="0" w:color="auto"/>
      </w:divBdr>
    </w:div>
    <w:div w:id="560791671">
      <w:bodyDiv w:val="1"/>
      <w:marLeft w:val="0"/>
      <w:marRight w:val="0"/>
      <w:marTop w:val="0"/>
      <w:marBottom w:val="0"/>
      <w:divBdr>
        <w:top w:val="none" w:sz="0" w:space="0" w:color="auto"/>
        <w:left w:val="none" w:sz="0" w:space="0" w:color="auto"/>
        <w:bottom w:val="none" w:sz="0" w:space="0" w:color="auto"/>
        <w:right w:val="none" w:sz="0" w:space="0" w:color="auto"/>
      </w:divBdr>
    </w:div>
    <w:div w:id="567804146">
      <w:bodyDiv w:val="1"/>
      <w:marLeft w:val="0"/>
      <w:marRight w:val="0"/>
      <w:marTop w:val="0"/>
      <w:marBottom w:val="0"/>
      <w:divBdr>
        <w:top w:val="none" w:sz="0" w:space="0" w:color="auto"/>
        <w:left w:val="none" w:sz="0" w:space="0" w:color="auto"/>
        <w:bottom w:val="none" w:sz="0" w:space="0" w:color="auto"/>
        <w:right w:val="none" w:sz="0" w:space="0" w:color="auto"/>
      </w:divBdr>
    </w:div>
    <w:div w:id="584416013">
      <w:bodyDiv w:val="1"/>
      <w:marLeft w:val="0"/>
      <w:marRight w:val="0"/>
      <w:marTop w:val="0"/>
      <w:marBottom w:val="0"/>
      <w:divBdr>
        <w:top w:val="none" w:sz="0" w:space="0" w:color="auto"/>
        <w:left w:val="none" w:sz="0" w:space="0" w:color="auto"/>
        <w:bottom w:val="none" w:sz="0" w:space="0" w:color="auto"/>
        <w:right w:val="none" w:sz="0" w:space="0" w:color="auto"/>
      </w:divBdr>
    </w:div>
    <w:div w:id="609627120">
      <w:bodyDiv w:val="1"/>
      <w:marLeft w:val="0"/>
      <w:marRight w:val="0"/>
      <w:marTop w:val="0"/>
      <w:marBottom w:val="0"/>
      <w:divBdr>
        <w:top w:val="none" w:sz="0" w:space="0" w:color="auto"/>
        <w:left w:val="none" w:sz="0" w:space="0" w:color="auto"/>
        <w:bottom w:val="none" w:sz="0" w:space="0" w:color="auto"/>
        <w:right w:val="none" w:sz="0" w:space="0" w:color="auto"/>
      </w:divBdr>
    </w:div>
    <w:div w:id="630284858">
      <w:bodyDiv w:val="1"/>
      <w:marLeft w:val="0"/>
      <w:marRight w:val="0"/>
      <w:marTop w:val="0"/>
      <w:marBottom w:val="0"/>
      <w:divBdr>
        <w:top w:val="none" w:sz="0" w:space="0" w:color="auto"/>
        <w:left w:val="none" w:sz="0" w:space="0" w:color="auto"/>
        <w:bottom w:val="none" w:sz="0" w:space="0" w:color="auto"/>
        <w:right w:val="none" w:sz="0" w:space="0" w:color="auto"/>
      </w:divBdr>
    </w:div>
    <w:div w:id="662853135">
      <w:bodyDiv w:val="1"/>
      <w:marLeft w:val="0"/>
      <w:marRight w:val="0"/>
      <w:marTop w:val="0"/>
      <w:marBottom w:val="0"/>
      <w:divBdr>
        <w:top w:val="none" w:sz="0" w:space="0" w:color="auto"/>
        <w:left w:val="none" w:sz="0" w:space="0" w:color="auto"/>
        <w:bottom w:val="none" w:sz="0" w:space="0" w:color="auto"/>
        <w:right w:val="none" w:sz="0" w:space="0" w:color="auto"/>
      </w:divBdr>
    </w:div>
    <w:div w:id="673190805">
      <w:bodyDiv w:val="1"/>
      <w:marLeft w:val="0"/>
      <w:marRight w:val="0"/>
      <w:marTop w:val="0"/>
      <w:marBottom w:val="0"/>
      <w:divBdr>
        <w:top w:val="none" w:sz="0" w:space="0" w:color="auto"/>
        <w:left w:val="none" w:sz="0" w:space="0" w:color="auto"/>
        <w:bottom w:val="none" w:sz="0" w:space="0" w:color="auto"/>
        <w:right w:val="none" w:sz="0" w:space="0" w:color="auto"/>
      </w:divBdr>
    </w:div>
    <w:div w:id="720635107">
      <w:bodyDiv w:val="1"/>
      <w:marLeft w:val="0"/>
      <w:marRight w:val="0"/>
      <w:marTop w:val="0"/>
      <w:marBottom w:val="0"/>
      <w:divBdr>
        <w:top w:val="none" w:sz="0" w:space="0" w:color="auto"/>
        <w:left w:val="none" w:sz="0" w:space="0" w:color="auto"/>
        <w:bottom w:val="none" w:sz="0" w:space="0" w:color="auto"/>
        <w:right w:val="none" w:sz="0" w:space="0" w:color="auto"/>
      </w:divBdr>
    </w:div>
    <w:div w:id="757560560">
      <w:bodyDiv w:val="1"/>
      <w:marLeft w:val="0"/>
      <w:marRight w:val="0"/>
      <w:marTop w:val="0"/>
      <w:marBottom w:val="0"/>
      <w:divBdr>
        <w:top w:val="none" w:sz="0" w:space="0" w:color="auto"/>
        <w:left w:val="none" w:sz="0" w:space="0" w:color="auto"/>
        <w:bottom w:val="none" w:sz="0" w:space="0" w:color="auto"/>
        <w:right w:val="none" w:sz="0" w:space="0" w:color="auto"/>
      </w:divBdr>
    </w:div>
    <w:div w:id="761147047">
      <w:bodyDiv w:val="1"/>
      <w:marLeft w:val="0"/>
      <w:marRight w:val="0"/>
      <w:marTop w:val="0"/>
      <w:marBottom w:val="0"/>
      <w:divBdr>
        <w:top w:val="none" w:sz="0" w:space="0" w:color="auto"/>
        <w:left w:val="none" w:sz="0" w:space="0" w:color="auto"/>
        <w:bottom w:val="none" w:sz="0" w:space="0" w:color="auto"/>
        <w:right w:val="none" w:sz="0" w:space="0" w:color="auto"/>
      </w:divBdr>
    </w:div>
    <w:div w:id="837967286">
      <w:bodyDiv w:val="1"/>
      <w:marLeft w:val="0"/>
      <w:marRight w:val="0"/>
      <w:marTop w:val="0"/>
      <w:marBottom w:val="0"/>
      <w:divBdr>
        <w:top w:val="none" w:sz="0" w:space="0" w:color="auto"/>
        <w:left w:val="none" w:sz="0" w:space="0" w:color="auto"/>
        <w:bottom w:val="none" w:sz="0" w:space="0" w:color="auto"/>
        <w:right w:val="none" w:sz="0" w:space="0" w:color="auto"/>
      </w:divBdr>
    </w:div>
    <w:div w:id="970289760">
      <w:bodyDiv w:val="1"/>
      <w:marLeft w:val="0"/>
      <w:marRight w:val="0"/>
      <w:marTop w:val="0"/>
      <w:marBottom w:val="0"/>
      <w:divBdr>
        <w:top w:val="none" w:sz="0" w:space="0" w:color="auto"/>
        <w:left w:val="none" w:sz="0" w:space="0" w:color="auto"/>
        <w:bottom w:val="none" w:sz="0" w:space="0" w:color="auto"/>
        <w:right w:val="none" w:sz="0" w:space="0" w:color="auto"/>
      </w:divBdr>
    </w:div>
    <w:div w:id="1017275177">
      <w:bodyDiv w:val="1"/>
      <w:marLeft w:val="0"/>
      <w:marRight w:val="0"/>
      <w:marTop w:val="0"/>
      <w:marBottom w:val="0"/>
      <w:divBdr>
        <w:top w:val="none" w:sz="0" w:space="0" w:color="auto"/>
        <w:left w:val="none" w:sz="0" w:space="0" w:color="auto"/>
        <w:bottom w:val="none" w:sz="0" w:space="0" w:color="auto"/>
        <w:right w:val="none" w:sz="0" w:space="0" w:color="auto"/>
      </w:divBdr>
    </w:div>
    <w:div w:id="1057899529">
      <w:bodyDiv w:val="1"/>
      <w:marLeft w:val="0"/>
      <w:marRight w:val="0"/>
      <w:marTop w:val="0"/>
      <w:marBottom w:val="0"/>
      <w:divBdr>
        <w:top w:val="none" w:sz="0" w:space="0" w:color="auto"/>
        <w:left w:val="none" w:sz="0" w:space="0" w:color="auto"/>
        <w:bottom w:val="none" w:sz="0" w:space="0" w:color="auto"/>
        <w:right w:val="none" w:sz="0" w:space="0" w:color="auto"/>
      </w:divBdr>
    </w:div>
    <w:div w:id="1096360441">
      <w:bodyDiv w:val="1"/>
      <w:marLeft w:val="0"/>
      <w:marRight w:val="0"/>
      <w:marTop w:val="0"/>
      <w:marBottom w:val="0"/>
      <w:divBdr>
        <w:top w:val="none" w:sz="0" w:space="0" w:color="auto"/>
        <w:left w:val="none" w:sz="0" w:space="0" w:color="auto"/>
        <w:bottom w:val="none" w:sz="0" w:space="0" w:color="auto"/>
        <w:right w:val="none" w:sz="0" w:space="0" w:color="auto"/>
      </w:divBdr>
    </w:div>
    <w:div w:id="1162549790">
      <w:bodyDiv w:val="1"/>
      <w:marLeft w:val="0"/>
      <w:marRight w:val="0"/>
      <w:marTop w:val="0"/>
      <w:marBottom w:val="0"/>
      <w:divBdr>
        <w:top w:val="none" w:sz="0" w:space="0" w:color="auto"/>
        <w:left w:val="none" w:sz="0" w:space="0" w:color="auto"/>
        <w:bottom w:val="none" w:sz="0" w:space="0" w:color="auto"/>
        <w:right w:val="none" w:sz="0" w:space="0" w:color="auto"/>
      </w:divBdr>
    </w:div>
    <w:div w:id="1165903608">
      <w:bodyDiv w:val="1"/>
      <w:marLeft w:val="0"/>
      <w:marRight w:val="0"/>
      <w:marTop w:val="0"/>
      <w:marBottom w:val="0"/>
      <w:divBdr>
        <w:top w:val="none" w:sz="0" w:space="0" w:color="auto"/>
        <w:left w:val="none" w:sz="0" w:space="0" w:color="auto"/>
        <w:bottom w:val="none" w:sz="0" w:space="0" w:color="auto"/>
        <w:right w:val="none" w:sz="0" w:space="0" w:color="auto"/>
      </w:divBdr>
    </w:div>
    <w:div w:id="1216551961">
      <w:bodyDiv w:val="1"/>
      <w:marLeft w:val="0"/>
      <w:marRight w:val="0"/>
      <w:marTop w:val="0"/>
      <w:marBottom w:val="0"/>
      <w:divBdr>
        <w:top w:val="none" w:sz="0" w:space="0" w:color="auto"/>
        <w:left w:val="none" w:sz="0" w:space="0" w:color="auto"/>
        <w:bottom w:val="none" w:sz="0" w:space="0" w:color="auto"/>
        <w:right w:val="none" w:sz="0" w:space="0" w:color="auto"/>
      </w:divBdr>
    </w:div>
    <w:div w:id="1224292856">
      <w:bodyDiv w:val="1"/>
      <w:marLeft w:val="0"/>
      <w:marRight w:val="0"/>
      <w:marTop w:val="0"/>
      <w:marBottom w:val="0"/>
      <w:divBdr>
        <w:top w:val="none" w:sz="0" w:space="0" w:color="auto"/>
        <w:left w:val="none" w:sz="0" w:space="0" w:color="auto"/>
        <w:bottom w:val="none" w:sz="0" w:space="0" w:color="auto"/>
        <w:right w:val="none" w:sz="0" w:space="0" w:color="auto"/>
      </w:divBdr>
    </w:div>
    <w:div w:id="1261989613">
      <w:bodyDiv w:val="1"/>
      <w:marLeft w:val="0"/>
      <w:marRight w:val="0"/>
      <w:marTop w:val="0"/>
      <w:marBottom w:val="0"/>
      <w:divBdr>
        <w:top w:val="none" w:sz="0" w:space="0" w:color="auto"/>
        <w:left w:val="none" w:sz="0" w:space="0" w:color="auto"/>
        <w:bottom w:val="none" w:sz="0" w:space="0" w:color="auto"/>
        <w:right w:val="none" w:sz="0" w:space="0" w:color="auto"/>
      </w:divBdr>
    </w:div>
    <w:div w:id="1268735996">
      <w:bodyDiv w:val="1"/>
      <w:marLeft w:val="0"/>
      <w:marRight w:val="0"/>
      <w:marTop w:val="0"/>
      <w:marBottom w:val="0"/>
      <w:divBdr>
        <w:top w:val="none" w:sz="0" w:space="0" w:color="auto"/>
        <w:left w:val="none" w:sz="0" w:space="0" w:color="auto"/>
        <w:bottom w:val="none" w:sz="0" w:space="0" w:color="auto"/>
        <w:right w:val="none" w:sz="0" w:space="0" w:color="auto"/>
      </w:divBdr>
    </w:div>
    <w:div w:id="1317297861">
      <w:bodyDiv w:val="1"/>
      <w:marLeft w:val="0"/>
      <w:marRight w:val="0"/>
      <w:marTop w:val="0"/>
      <w:marBottom w:val="0"/>
      <w:divBdr>
        <w:top w:val="none" w:sz="0" w:space="0" w:color="auto"/>
        <w:left w:val="none" w:sz="0" w:space="0" w:color="auto"/>
        <w:bottom w:val="none" w:sz="0" w:space="0" w:color="auto"/>
        <w:right w:val="none" w:sz="0" w:space="0" w:color="auto"/>
      </w:divBdr>
    </w:div>
    <w:div w:id="1327706074">
      <w:bodyDiv w:val="1"/>
      <w:marLeft w:val="0"/>
      <w:marRight w:val="0"/>
      <w:marTop w:val="0"/>
      <w:marBottom w:val="0"/>
      <w:divBdr>
        <w:top w:val="none" w:sz="0" w:space="0" w:color="auto"/>
        <w:left w:val="none" w:sz="0" w:space="0" w:color="auto"/>
        <w:bottom w:val="none" w:sz="0" w:space="0" w:color="auto"/>
        <w:right w:val="none" w:sz="0" w:space="0" w:color="auto"/>
      </w:divBdr>
    </w:div>
    <w:div w:id="1333533813">
      <w:bodyDiv w:val="1"/>
      <w:marLeft w:val="0"/>
      <w:marRight w:val="0"/>
      <w:marTop w:val="0"/>
      <w:marBottom w:val="0"/>
      <w:divBdr>
        <w:top w:val="none" w:sz="0" w:space="0" w:color="auto"/>
        <w:left w:val="none" w:sz="0" w:space="0" w:color="auto"/>
        <w:bottom w:val="none" w:sz="0" w:space="0" w:color="auto"/>
        <w:right w:val="none" w:sz="0" w:space="0" w:color="auto"/>
      </w:divBdr>
    </w:div>
    <w:div w:id="1353267204">
      <w:bodyDiv w:val="1"/>
      <w:marLeft w:val="0"/>
      <w:marRight w:val="0"/>
      <w:marTop w:val="0"/>
      <w:marBottom w:val="0"/>
      <w:divBdr>
        <w:top w:val="none" w:sz="0" w:space="0" w:color="auto"/>
        <w:left w:val="none" w:sz="0" w:space="0" w:color="auto"/>
        <w:bottom w:val="none" w:sz="0" w:space="0" w:color="auto"/>
        <w:right w:val="none" w:sz="0" w:space="0" w:color="auto"/>
      </w:divBdr>
    </w:div>
    <w:div w:id="1387337571">
      <w:bodyDiv w:val="1"/>
      <w:marLeft w:val="0"/>
      <w:marRight w:val="0"/>
      <w:marTop w:val="0"/>
      <w:marBottom w:val="0"/>
      <w:divBdr>
        <w:top w:val="none" w:sz="0" w:space="0" w:color="auto"/>
        <w:left w:val="none" w:sz="0" w:space="0" w:color="auto"/>
        <w:bottom w:val="none" w:sz="0" w:space="0" w:color="auto"/>
        <w:right w:val="none" w:sz="0" w:space="0" w:color="auto"/>
      </w:divBdr>
    </w:div>
    <w:div w:id="1450125079">
      <w:bodyDiv w:val="1"/>
      <w:marLeft w:val="0"/>
      <w:marRight w:val="0"/>
      <w:marTop w:val="0"/>
      <w:marBottom w:val="0"/>
      <w:divBdr>
        <w:top w:val="none" w:sz="0" w:space="0" w:color="auto"/>
        <w:left w:val="none" w:sz="0" w:space="0" w:color="auto"/>
        <w:bottom w:val="none" w:sz="0" w:space="0" w:color="auto"/>
        <w:right w:val="none" w:sz="0" w:space="0" w:color="auto"/>
      </w:divBdr>
    </w:div>
    <w:div w:id="1482310608">
      <w:bodyDiv w:val="1"/>
      <w:marLeft w:val="0"/>
      <w:marRight w:val="0"/>
      <w:marTop w:val="0"/>
      <w:marBottom w:val="0"/>
      <w:divBdr>
        <w:top w:val="none" w:sz="0" w:space="0" w:color="auto"/>
        <w:left w:val="none" w:sz="0" w:space="0" w:color="auto"/>
        <w:bottom w:val="none" w:sz="0" w:space="0" w:color="auto"/>
        <w:right w:val="none" w:sz="0" w:space="0" w:color="auto"/>
      </w:divBdr>
    </w:div>
    <w:div w:id="1495224620">
      <w:bodyDiv w:val="1"/>
      <w:marLeft w:val="0"/>
      <w:marRight w:val="0"/>
      <w:marTop w:val="0"/>
      <w:marBottom w:val="0"/>
      <w:divBdr>
        <w:top w:val="none" w:sz="0" w:space="0" w:color="auto"/>
        <w:left w:val="none" w:sz="0" w:space="0" w:color="auto"/>
        <w:bottom w:val="none" w:sz="0" w:space="0" w:color="auto"/>
        <w:right w:val="none" w:sz="0" w:space="0" w:color="auto"/>
      </w:divBdr>
    </w:div>
    <w:div w:id="1497527868">
      <w:bodyDiv w:val="1"/>
      <w:marLeft w:val="0"/>
      <w:marRight w:val="0"/>
      <w:marTop w:val="0"/>
      <w:marBottom w:val="0"/>
      <w:divBdr>
        <w:top w:val="none" w:sz="0" w:space="0" w:color="auto"/>
        <w:left w:val="none" w:sz="0" w:space="0" w:color="auto"/>
        <w:bottom w:val="none" w:sz="0" w:space="0" w:color="auto"/>
        <w:right w:val="none" w:sz="0" w:space="0" w:color="auto"/>
      </w:divBdr>
    </w:div>
    <w:div w:id="1527527092">
      <w:bodyDiv w:val="1"/>
      <w:marLeft w:val="0"/>
      <w:marRight w:val="0"/>
      <w:marTop w:val="0"/>
      <w:marBottom w:val="0"/>
      <w:divBdr>
        <w:top w:val="none" w:sz="0" w:space="0" w:color="auto"/>
        <w:left w:val="none" w:sz="0" w:space="0" w:color="auto"/>
        <w:bottom w:val="none" w:sz="0" w:space="0" w:color="auto"/>
        <w:right w:val="none" w:sz="0" w:space="0" w:color="auto"/>
      </w:divBdr>
    </w:div>
    <w:div w:id="1533108430">
      <w:bodyDiv w:val="1"/>
      <w:marLeft w:val="0"/>
      <w:marRight w:val="0"/>
      <w:marTop w:val="0"/>
      <w:marBottom w:val="0"/>
      <w:divBdr>
        <w:top w:val="none" w:sz="0" w:space="0" w:color="auto"/>
        <w:left w:val="none" w:sz="0" w:space="0" w:color="auto"/>
        <w:bottom w:val="none" w:sz="0" w:space="0" w:color="auto"/>
        <w:right w:val="none" w:sz="0" w:space="0" w:color="auto"/>
      </w:divBdr>
    </w:div>
    <w:div w:id="1548376633">
      <w:bodyDiv w:val="1"/>
      <w:marLeft w:val="0"/>
      <w:marRight w:val="0"/>
      <w:marTop w:val="0"/>
      <w:marBottom w:val="0"/>
      <w:divBdr>
        <w:top w:val="none" w:sz="0" w:space="0" w:color="auto"/>
        <w:left w:val="none" w:sz="0" w:space="0" w:color="auto"/>
        <w:bottom w:val="none" w:sz="0" w:space="0" w:color="auto"/>
        <w:right w:val="none" w:sz="0" w:space="0" w:color="auto"/>
      </w:divBdr>
    </w:div>
    <w:div w:id="1568806521">
      <w:bodyDiv w:val="1"/>
      <w:marLeft w:val="0"/>
      <w:marRight w:val="0"/>
      <w:marTop w:val="0"/>
      <w:marBottom w:val="0"/>
      <w:divBdr>
        <w:top w:val="none" w:sz="0" w:space="0" w:color="auto"/>
        <w:left w:val="none" w:sz="0" w:space="0" w:color="auto"/>
        <w:bottom w:val="none" w:sz="0" w:space="0" w:color="auto"/>
        <w:right w:val="none" w:sz="0" w:space="0" w:color="auto"/>
      </w:divBdr>
    </w:div>
    <w:div w:id="1724212367">
      <w:bodyDiv w:val="1"/>
      <w:marLeft w:val="0"/>
      <w:marRight w:val="0"/>
      <w:marTop w:val="0"/>
      <w:marBottom w:val="0"/>
      <w:divBdr>
        <w:top w:val="none" w:sz="0" w:space="0" w:color="auto"/>
        <w:left w:val="none" w:sz="0" w:space="0" w:color="auto"/>
        <w:bottom w:val="none" w:sz="0" w:space="0" w:color="auto"/>
        <w:right w:val="none" w:sz="0" w:space="0" w:color="auto"/>
      </w:divBdr>
    </w:div>
    <w:div w:id="1726636349">
      <w:bodyDiv w:val="1"/>
      <w:marLeft w:val="0"/>
      <w:marRight w:val="0"/>
      <w:marTop w:val="0"/>
      <w:marBottom w:val="0"/>
      <w:divBdr>
        <w:top w:val="none" w:sz="0" w:space="0" w:color="auto"/>
        <w:left w:val="none" w:sz="0" w:space="0" w:color="auto"/>
        <w:bottom w:val="none" w:sz="0" w:space="0" w:color="auto"/>
        <w:right w:val="none" w:sz="0" w:space="0" w:color="auto"/>
      </w:divBdr>
    </w:div>
    <w:div w:id="1746757244">
      <w:bodyDiv w:val="1"/>
      <w:marLeft w:val="0"/>
      <w:marRight w:val="0"/>
      <w:marTop w:val="0"/>
      <w:marBottom w:val="0"/>
      <w:divBdr>
        <w:top w:val="none" w:sz="0" w:space="0" w:color="auto"/>
        <w:left w:val="none" w:sz="0" w:space="0" w:color="auto"/>
        <w:bottom w:val="none" w:sz="0" w:space="0" w:color="auto"/>
        <w:right w:val="none" w:sz="0" w:space="0" w:color="auto"/>
      </w:divBdr>
    </w:div>
    <w:div w:id="1782533186">
      <w:bodyDiv w:val="1"/>
      <w:marLeft w:val="0"/>
      <w:marRight w:val="0"/>
      <w:marTop w:val="0"/>
      <w:marBottom w:val="0"/>
      <w:divBdr>
        <w:top w:val="none" w:sz="0" w:space="0" w:color="auto"/>
        <w:left w:val="none" w:sz="0" w:space="0" w:color="auto"/>
        <w:bottom w:val="none" w:sz="0" w:space="0" w:color="auto"/>
        <w:right w:val="none" w:sz="0" w:space="0" w:color="auto"/>
      </w:divBdr>
    </w:div>
    <w:div w:id="1811748365">
      <w:bodyDiv w:val="1"/>
      <w:marLeft w:val="0"/>
      <w:marRight w:val="0"/>
      <w:marTop w:val="0"/>
      <w:marBottom w:val="0"/>
      <w:divBdr>
        <w:top w:val="none" w:sz="0" w:space="0" w:color="auto"/>
        <w:left w:val="none" w:sz="0" w:space="0" w:color="auto"/>
        <w:bottom w:val="none" w:sz="0" w:space="0" w:color="auto"/>
        <w:right w:val="none" w:sz="0" w:space="0" w:color="auto"/>
      </w:divBdr>
    </w:div>
    <w:div w:id="1834906993">
      <w:bodyDiv w:val="1"/>
      <w:marLeft w:val="0"/>
      <w:marRight w:val="0"/>
      <w:marTop w:val="0"/>
      <w:marBottom w:val="0"/>
      <w:divBdr>
        <w:top w:val="none" w:sz="0" w:space="0" w:color="auto"/>
        <w:left w:val="none" w:sz="0" w:space="0" w:color="auto"/>
        <w:bottom w:val="none" w:sz="0" w:space="0" w:color="auto"/>
        <w:right w:val="none" w:sz="0" w:space="0" w:color="auto"/>
      </w:divBdr>
    </w:div>
    <w:div w:id="1846166203">
      <w:bodyDiv w:val="1"/>
      <w:marLeft w:val="0"/>
      <w:marRight w:val="0"/>
      <w:marTop w:val="0"/>
      <w:marBottom w:val="0"/>
      <w:divBdr>
        <w:top w:val="none" w:sz="0" w:space="0" w:color="auto"/>
        <w:left w:val="none" w:sz="0" w:space="0" w:color="auto"/>
        <w:bottom w:val="none" w:sz="0" w:space="0" w:color="auto"/>
        <w:right w:val="none" w:sz="0" w:space="0" w:color="auto"/>
      </w:divBdr>
    </w:div>
    <w:div w:id="1850215631">
      <w:bodyDiv w:val="1"/>
      <w:marLeft w:val="0"/>
      <w:marRight w:val="0"/>
      <w:marTop w:val="0"/>
      <w:marBottom w:val="0"/>
      <w:divBdr>
        <w:top w:val="none" w:sz="0" w:space="0" w:color="auto"/>
        <w:left w:val="none" w:sz="0" w:space="0" w:color="auto"/>
        <w:bottom w:val="none" w:sz="0" w:space="0" w:color="auto"/>
        <w:right w:val="none" w:sz="0" w:space="0" w:color="auto"/>
      </w:divBdr>
      <w:divsChild>
        <w:div w:id="1939219351">
          <w:marLeft w:val="0"/>
          <w:marRight w:val="0"/>
          <w:marTop w:val="0"/>
          <w:marBottom w:val="0"/>
          <w:divBdr>
            <w:top w:val="none" w:sz="0" w:space="0" w:color="auto"/>
            <w:left w:val="none" w:sz="0" w:space="0" w:color="auto"/>
            <w:bottom w:val="none" w:sz="0" w:space="0" w:color="auto"/>
            <w:right w:val="none" w:sz="0" w:space="0" w:color="auto"/>
          </w:divBdr>
        </w:div>
      </w:divsChild>
    </w:div>
    <w:div w:id="1883444744">
      <w:bodyDiv w:val="1"/>
      <w:marLeft w:val="0"/>
      <w:marRight w:val="0"/>
      <w:marTop w:val="0"/>
      <w:marBottom w:val="0"/>
      <w:divBdr>
        <w:top w:val="none" w:sz="0" w:space="0" w:color="auto"/>
        <w:left w:val="none" w:sz="0" w:space="0" w:color="auto"/>
        <w:bottom w:val="none" w:sz="0" w:space="0" w:color="auto"/>
        <w:right w:val="none" w:sz="0" w:space="0" w:color="auto"/>
      </w:divBdr>
    </w:div>
    <w:div w:id="1914849994">
      <w:bodyDiv w:val="1"/>
      <w:marLeft w:val="0"/>
      <w:marRight w:val="0"/>
      <w:marTop w:val="0"/>
      <w:marBottom w:val="0"/>
      <w:divBdr>
        <w:top w:val="none" w:sz="0" w:space="0" w:color="auto"/>
        <w:left w:val="none" w:sz="0" w:space="0" w:color="auto"/>
        <w:bottom w:val="none" w:sz="0" w:space="0" w:color="auto"/>
        <w:right w:val="none" w:sz="0" w:space="0" w:color="auto"/>
      </w:divBdr>
    </w:div>
    <w:div w:id="1936669837">
      <w:bodyDiv w:val="1"/>
      <w:marLeft w:val="0"/>
      <w:marRight w:val="0"/>
      <w:marTop w:val="0"/>
      <w:marBottom w:val="0"/>
      <w:divBdr>
        <w:top w:val="none" w:sz="0" w:space="0" w:color="auto"/>
        <w:left w:val="none" w:sz="0" w:space="0" w:color="auto"/>
        <w:bottom w:val="none" w:sz="0" w:space="0" w:color="auto"/>
        <w:right w:val="none" w:sz="0" w:space="0" w:color="auto"/>
      </w:divBdr>
    </w:div>
    <w:div w:id="1940982970">
      <w:bodyDiv w:val="1"/>
      <w:marLeft w:val="0"/>
      <w:marRight w:val="0"/>
      <w:marTop w:val="0"/>
      <w:marBottom w:val="0"/>
      <w:divBdr>
        <w:top w:val="none" w:sz="0" w:space="0" w:color="auto"/>
        <w:left w:val="none" w:sz="0" w:space="0" w:color="auto"/>
        <w:bottom w:val="none" w:sz="0" w:space="0" w:color="auto"/>
        <w:right w:val="none" w:sz="0" w:space="0" w:color="auto"/>
      </w:divBdr>
    </w:div>
    <w:div w:id="1958826425">
      <w:bodyDiv w:val="1"/>
      <w:marLeft w:val="0"/>
      <w:marRight w:val="0"/>
      <w:marTop w:val="0"/>
      <w:marBottom w:val="0"/>
      <w:divBdr>
        <w:top w:val="none" w:sz="0" w:space="0" w:color="auto"/>
        <w:left w:val="none" w:sz="0" w:space="0" w:color="auto"/>
        <w:bottom w:val="none" w:sz="0" w:space="0" w:color="auto"/>
        <w:right w:val="none" w:sz="0" w:space="0" w:color="auto"/>
      </w:divBdr>
    </w:div>
    <w:div w:id="2040278563">
      <w:bodyDiv w:val="1"/>
      <w:marLeft w:val="0"/>
      <w:marRight w:val="0"/>
      <w:marTop w:val="0"/>
      <w:marBottom w:val="0"/>
      <w:divBdr>
        <w:top w:val="none" w:sz="0" w:space="0" w:color="auto"/>
        <w:left w:val="none" w:sz="0" w:space="0" w:color="auto"/>
        <w:bottom w:val="none" w:sz="0" w:space="0" w:color="auto"/>
        <w:right w:val="none" w:sz="0" w:space="0" w:color="auto"/>
      </w:divBdr>
    </w:div>
    <w:div w:id="2054847484">
      <w:bodyDiv w:val="1"/>
      <w:marLeft w:val="0"/>
      <w:marRight w:val="0"/>
      <w:marTop w:val="0"/>
      <w:marBottom w:val="0"/>
      <w:divBdr>
        <w:top w:val="none" w:sz="0" w:space="0" w:color="auto"/>
        <w:left w:val="none" w:sz="0" w:space="0" w:color="auto"/>
        <w:bottom w:val="none" w:sz="0" w:space="0" w:color="auto"/>
        <w:right w:val="none" w:sz="0" w:space="0" w:color="auto"/>
      </w:divBdr>
    </w:div>
    <w:div w:id="2082097639">
      <w:bodyDiv w:val="1"/>
      <w:marLeft w:val="0"/>
      <w:marRight w:val="0"/>
      <w:marTop w:val="0"/>
      <w:marBottom w:val="0"/>
      <w:divBdr>
        <w:top w:val="none" w:sz="0" w:space="0" w:color="auto"/>
        <w:left w:val="none" w:sz="0" w:space="0" w:color="auto"/>
        <w:bottom w:val="none" w:sz="0" w:space="0" w:color="auto"/>
        <w:right w:val="none" w:sz="0" w:space="0" w:color="auto"/>
      </w:divBdr>
    </w:div>
    <w:div w:id="2099861336">
      <w:bodyDiv w:val="1"/>
      <w:marLeft w:val="0"/>
      <w:marRight w:val="0"/>
      <w:marTop w:val="0"/>
      <w:marBottom w:val="0"/>
      <w:divBdr>
        <w:top w:val="none" w:sz="0" w:space="0" w:color="auto"/>
        <w:left w:val="none" w:sz="0" w:space="0" w:color="auto"/>
        <w:bottom w:val="none" w:sz="0" w:space="0" w:color="auto"/>
        <w:right w:val="none" w:sz="0" w:space="0" w:color="auto"/>
      </w:divBdr>
    </w:div>
    <w:div w:id="2118984824">
      <w:bodyDiv w:val="1"/>
      <w:marLeft w:val="0"/>
      <w:marRight w:val="0"/>
      <w:marTop w:val="0"/>
      <w:marBottom w:val="0"/>
      <w:divBdr>
        <w:top w:val="none" w:sz="0" w:space="0" w:color="auto"/>
        <w:left w:val="none" w:sz="0" w:space="0" w:color="auto"/>
        <w:bottom w:val="none" w:sz="0" w:space="0" w:color="auto"/>
        <w:right w:val="none" w:sz="0" w:space="0" w:color="auto"/>
      </w:divBdr>
    </w:div>
    <w:div w:id="2128234885">
      <w:bodyDiv w:val="1"/>
      <w:marLeft w:val="0"/>
      <w:marRight w:val="0"/>
      <w:marTop w:val="0"/>
      <w:marBottom w:val="0"/>
      <w:divBdr>
        <w:top w:val="none" w:sz="0" w:space="0" w:color="auto"/>
        <w:left w:val="none" w:sz="0" w:space="0" w:color="auto"/>
        <w:bottom w:val="none" w:sz="0" w:space="0" w:color="auto"/>
        <w:right w:val="none" w:sz="0" w:space="0" w:color="auto"/>
      </w:divBdr>
    </w:div>
    <w:div w:id="214619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hyperlink" Target="http://undocs.org/DP/2013/41" TargetMode="External"/><Relationship Id="rId20"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hyperlink" Target="http://undocs.org/DP/2015/26/Ad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07a4eaaf-6901-4ef4-b03e-97cb68874a4d">
      <UserInfo>
        <DisplayName>Lina Fernandez</DisplayName>
        <AccountId>18</AccountId>
        <AccountType/>
      </UserInfo>
      <UserInfo>
        <DisplayName>Akiko Hasegawa</DisplayName>
        <AccountId>10</AccountId>
        <AccountType/>
      </UserInfo>
      <UserInfo>
        <DisplayName>Miriam Kunorubwe</DisplayName>
        <AccountId>12</AccountId>
        <AccountType/>
      </UserInfo>
    </SharedWithUsers>
    <Date xmlns="a007e7ad-995c-46d2-bc32-90192f265d43" xsi:nil="true"/>
    <_Flow_SignoffStatus xmlns="a007e7ad-995c-46d2-bc32-90192f265d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3786B9E6DDFEC41B907AC7631ADE884" ma:contentTypeVersion="13" ma:contentTypeDescription="Create a new document." ma:contentTypeScope="" ma:versionID="67c5fe13f409d404383888ac92a57896">
  <xsd:schema xmlns:xsd="http://www.w3.org/2001/XMLSchema" xmlns:xs="http://www.w3.org/2001/XMLSchema" xmlns:p="http://schemas.microsoft.com/office/2006/metadata/properties" xmlns:ns2="a007e7ad-995c-46d2-bc32-90192f265d43" xmlns:ns3="07a4eaaf-6901-4ef4-b03e-97cb68874a4d" targetNamespace="http://schemas.microsoft.com/office/2006/metadata/properties" ma:root="true" ma:fieldsID="6c4727e8f8a55f68e35ca6c1fd4ac92a" ns2:_="" ns3:_="">
    <xsd:import namespace="a007e7ad-995c-46d2-bc32-90192f265d43"/>
    <xsd:import namespace="07a4eaaf-6901-4ef4-b03e-97cb68874a4d"/>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Date" minOccurs="0"/>
                <xsd:element ref="ns2:_Flow_SignoffStatu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7e7ad-995c-46d2-bc32-90192f265d4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Date" ma:index="13" nillable="true" ma:displayName="Date" ma:format="DateOnly" ma:internalName="Date">
      <xsd:simpleType>
        <xsd:restriction base="dms:DateTime"/>
      </xsd:simpleType>
    </xsd:element>
    <xsd:element name="_Flow_SignoffStatus" ma:index="14" nillable="true" ma:displayName="Sign-off status" ma:internalName="_x0024_Resources_x003a_core_x002c_Signoff_Status_x003b_">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a4eaaf-6901-4ef4-b03e-97cb68874a4d"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466A1E-EADE-400C-9F2C-73F21C3E94DB}">
  <ds:schemaRefs>
    <ds:schemaRef ds:uri="http://schemas.openxmlformats.org/officeDocument/2006/bibliography"/>
  </ds:schemaRefs>
</ds:datastoreItem>
</file>

<file path=customXml/itemProps2.xml><?xml version="1.0" encoding="utf-8"?>
<ds:datastoreItem xmlns:ds="http://schemas.openxmlformats.org/officeDocument/2006/customXml" ds:itemID="{8633E40B-7BC2-4259-8220-1933483A2D55}">
  <ds:schemaRefs>
    <ds:schemaRef ds:uri="http://schemas.microsoft.com/office/2006/metadata/properties"/>
    <ds:schemaRef ds:uri="http://schemas.microsoft.com/office/infopath/2007/PartnerControls"/>
    <ds:schemaRef ds:uri="07a4eaaf-6901-4ef4-b03e-97cb68874a4d"/>
    <ds:schemaRef ds:uri="a007e7ad-995c-46d2-bc32-90192f265d43"/>
  </ds:schemaRefs>
</ds:datastoreItem>
</file>

<file path=customXml/itemProps3.xml><?xml version="1.0" encoding="utf-8"?>
<ds:datastoreItem xmlns:ds="http://schemas.openxmlformats.org/officeDocument/2006/customXml" ds:itemID="{7B287DF2-059E-4999-AA45-FEC1ECA6A3F4}">
  <ds:schemaRefs>
    <ds:schemaRef ds:uri="http://schemas.microsoft.com/sharepoint/v3/contenttype/forms"/>
  </ds:schemaRefs>
</ds:datastoreItem>
</file>

<file path=customXml/itemProps4.xml><?xml version="1.0" encoding="utf-8"?>
<ds:datastoreItem xmlns:ds="http://schemas.openxmlformats.org/officeDocument/2006/customXml" ds:itemID="{8A1F369E-AC04-4B6F-9FD4-F9B698816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07e7ad-995c-46d2-bc32-90192f265d43"/>
    <ds:schemaRef ds:uri="07a4eaaf-6901-4ef4-b03e-97cb68874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7561</Words>
  <Characters>43098</Characters>
  <Application>Microsoft Office Word</Application>
  <DocSecurity>4</DocSecurity>
  <Lines>359</Lines>
  <Paragraphs>101</Paragraphs>
  <ScaleCrop>false</ScaleCrop>
  <HeadingPairs>
    <vt:vector size="2" baseType="variant">
      <vt:variant>
        <vt:lpstr>Title</vt:lpstr>
      </vt:variant>
      <vt:variant>
        <vt:i4>1</vt:i4>
      </vt:variant>
    </vt:vector>
  </HeadingPairs>
  <TitlesOfParts>
    <vt:vector size="1" baseType="lpstr">
      <vt:lpstr>DP2020-21_Annex 1</vt:lpstr>
    </vt:vector>
  </TitlesOfParts>
  <Company>United Nations</Company>
  <LinksUpToDate>false</LinksUpToDate>
  <CharactersWithSpaces>50558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DP2020-21_Annex 1</dc:title>
  <dc:subject/>
  <dc:creator>akiko.hasegawa@undp.org</dc:creator>
  <cp:keywords/>
  <dc:description/>
  <cp:lastModifiedBy>Svetlana Iazykova</cp:lastModifiedBy>
  <cp:revision>2</cp:revision>
  <cp:lastPrinted>2019-07-25T19:45:00Z</cp:lastPrinted>
  <dcterms:created xsi:type="dcterms:W3CDTF">2021-07-23T09:28:00Z</dcterms:created>
  <dcterms:modified xsi:type="dcterms:W3CDTF">2021-07-23T09:28:00Z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or">
    <vt:lpwstr/>
  </property>
  <property fmtid="{D5CDD505-2E9C-101B-9397-08002B2CF9AE}" pid="3" name="Distribution">
    <vt:lpwstr>General</vt:lpwstr>
  </property>
  <property fmtid="{D5CDD505-2E9C-101B-9397-08002B2CF9AE}" pid="4" name="Publication Date">
    <vt:lpwstr>4 August 2015</vt:lpwstr>
  </property>
  <property fmtid="{D5CDD505-2E9C-101B-9397-08002B2CF9AE}" pid="5" name="Original">
    <vt:lpwstr>English</vt:lpwstr>
  </property>
  <property fmtid="{D5CDD505-2E9C-101B-9397-08002B2CF9AE}" pid="6" name="Release Date">
    <vt:lpwstr>070815</vt:lpwstr>
  </property>
  <property fmtid="{D5CDD505-2E9C-101B-9397-08002B2CF9AE}" pid="7" name="ContentTypeId">
    <vt:lpwstr>0x01010003786B9E6DDFEC41B907AC7631ADE884</vt:lpwstr>
  </property>
  <property fmtid="{D5CDD505-2E9C-101B-9397-08002B2CF9AE}" pid="8" name="JobNo">
    <vt:lpwstr>1912420E</vt:lpwstr>
  </property>
  <property fmtid="{D5CDD505-2E9C-101B-9397-08002B2CF9AE}" pid="9" name="ODSRefJobNo">
    <vt:lpwstr>1922504E</vt:lpwstr>
  </property>
  <property fmtid="{D5CDD505-2E9C-101B-9397-08002B2CF9AE}" pid="10" name="Symbol1">
    <vt:lpwstr>DP/2019/26</vt:lpwstr>
  </property>
  <property fmtid="{D5CDD505-2E9C-101B-9397-08002B2CF9AE}" pid="11" name="Symbol2">
    <vt:lpwstr/>
  </property>
  <property fmtid="{D5CDD505-2E9C-101B-9397-08002B2CF9AE}" pid="12" name="Comment">
    <vt:lpwstr/>
  </property>
  <property fmtid="{D5CDD505-2E9C-101B-9397-08002B2CF9AE}" pid="13" name="DraftPages">
    <vt:lpwstr>27</vt:lpwstr>
  </property>
  <property fmtid="{D5CDD505-2E9C-101B-9397-08002B2CF9AE}" pid="14" name="Operator">
    <vt:lpwstr>JG (final)</vt:lpwstr>
  </property>
</Properties>
</file>