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0A" w:rsidRDefault="00910F3F" w:rsidP="00882905">
      <w:pPr>
        <w:spacing w:before="240"/>
        <w:jc w:val="center"/>
        <w:rPr>
          <w:rFonts w:ascii="Times New Roman" w:hAnsi="Times New Roman"/>
          <w:b/>
          <w:sz w:val="20"/>
          <w:szCs w:val="20"/>
          <w:u w:val="single"/>
        </w:rPr>
      </w:pPr>
      <w:bookmarkStart w:id="0" w:name="_GoBack"/>
      <w:bookmarkEnd w:id="0"/>
      <w:r>
        <w:rPr>
          <w:rFonts w:ascii="Times New Roman" w:hAnsi="Times New Roman"/>
          <w:b/>
          <w:sz w:val="20"/>
          <w:szCs w:val="20"/>
          <w:u w:val="single"/>
        </w:rPr>
        <w:t>Criteria supporting IAIG’s audit opinion</w:t>
      </w:r>
    </w:p>
    <w:p w:rsidR="00910F3F" w:rsidRDefault="00910F3F" w:rsidP="00910F3F">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In accordance with E</w:t>
      </w:r>
      <w:r w:rsidR="009C6207">
        <w:rPr>
          <w:rFonts w:asciiTheme="majorBidi" w:hAnsiTheme="majorBidi" w:cstheme="majorBidi"/>
          <w:sz w:val="20"/>
          <w:szCs w:val="20"/>
        </w:rPr>
        <w:t>xecutive Board decisions 2015/13</w:t>
      </w:r>
      <w:r>
        <w:rPr>
          <w:rFonts w:asciiTheme="majorBidi" w:hAnsiTheme="majorBidi" w:cstheme="majorBidi"/>
          <w:sz w:val="20"/>
          <w:szCs w:val="20"/>
        </w:rPr>
        <w:t>, IAIG provided an opinion in this Annual Report, based on the scope of work undertaken, on the adequacy and effectiveness of the organization’s framework of governance, ris</w:t>
      </w:r>
      <w:r w:rsidR="009C6207">
        <w:rPr>
          <w:rFonts w:asciiTheme="majorBidi" w:hAnsiTheme="majorBidi" w:cstheme="majorBidi"/>
          <w:sz w:val="20"/>
          <w:szCs w:val="20"/>
        </w:rPr>
        <w:t xml:space="preserve">k management and control (GRC). Further, in accordance with Executive Board Decision 2016/13, IAIG herewith provides the rationale for opinion. </w:t>
      </w:r>
      <w:r>
        <w:rPr>
          <w:rFonts w:asciiTheme="majorBidi" w:hAnsiTheme="majorBidi" w:cstheme="majorBidi"/>
          <w:sz w:val="20"/>
          <w:szCs w:val="20"/>
        </w:rPr>
        <w:t>The summary of the audit work performed is provided in the body of the audit report, essentially under Section V.  This annex is to provide a brief description of the criteria used to support the IAIG opinion.</w:t>
      </w:r>
    </w:p>
    <w:p w:rsidR="00910F3F" w:rsidRDefault="00910F3F" w:rsidP="00910F3F">
      <w:pPr>
        <w:pStyle w:val="ListParagraph"/>
        <w:rPr>
          <w:rFonts w:asciiTheme="majorBidi" w:hAnsiTheme="majorBidi" w:cstheme="majorBidi"/>
          <w:sz w:val="20"/>
          <w:szCs w:val="20"/>
        </w:rPr>
      </w:pPr>
    </w:p>
    <w:p w:rsidR="00910F3F" w:rsidRPr="00910F3F" w:rsidRDefault="00910F3F" w:rsidP="00910F3F">
      <w:pPr>
        <w:pStyle w:val="ListParagraph"/>
        <w:numPr>
          <w:ilvl w:val="0"/>
          <w:numId w:val="2"/>
        </w:numPr>
        <w:rPr>
          <w:rFonts w:asciiTheme="majorBidi" w:hAnsiTheme="majorBidi" w:cstheme="majorBidi"/>
          <w:sz w:val="20"/>
          <w:szCs w:val="20"/>
        </w:rPr>
      </w:pPr>
      <w:r w:rsidRPr="00910F3F">
        <w:rPr>
          <w:rFonts w:asciiTheme="majorBidi" w:hAnsiTheme="majorBidi" w:cstheme="majorBidi"/>
          <w:sz w:val="20"/>
          <w:szCs w:val="20"/>
        </w:rPr>
        <w:t>The results of the following are ta</w:t>
      </w:r>
      <w:r w:rsidR="00E070B7">
        <w:rPr>
          <w:rFonts w:asciiTheme="majorBidi" w:hAnsiTheme="majorBidi" w:cstheme="majorBidi"/>
          <w:sz w:val="20"/>
          <w:szCs w:val="20"/>
        </w:rPr>
        <w:t xml:space="preserve">ken into account to support IAIG’s </w:t>
      </w:r>
      <w:r w:rsidRPr="00910F3F">
        <w:rPr>
          <w:rFonts w:asciiTheme="majorBidi" w:hAnsiTheme="majorBidi" w:cstheme="majorBidi"/>
          <w:sz w:val="20"/>
          <w:szCs w:val="20"/>
        </w:rPr>
        <w:t xml:space="preserve">opinion:   </w:t>
      </w:r>
    </w:p>
    <w:p w:rsidR="00910F3F" w:rsidRPr="005938DE" w:rsidRDefault="00910F3F" w:rsidP="00910F3F">
      <w:pPr>
        <w:pStyle w:val="SingleTxt"/>
        <w:numPr>
          <w:ilvl w:val="1"/>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5938DE">
        <w:t xml:space="preserve">Audits of field offices; </w:t>
      </w:r>
    </w:p>
    <w:p w:rsidR="00910F3F" w:rsidRPr="005938DE" w:rsidRDefault="00910F3F" w:rsidP="00910F3F">
      <w:pPr>
        <w:pStyle w:val="SingleTxt"/>
        <w:numPr>
          <w:ilvl w:val="1"/>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5938DE">
        <w:t>Audits of cross-functional themes;</w:t>
      </w:r>
    </w:p>
    <w:p w:rsidR="00910F3F" w:rsidRPr="005938DE" w:rsidRDefault="00910F3F" w:rsidP="00910F3F">
      <w:pPr>
        <w:pStyle w:val="SingleTxt"/>
        <w:numPr>
          <w:ilvl w:val="1"/>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t>Audits of projects; and</w:t>
      </w:r>
    </w:p>
    <w:p w:rsidR="00910F3F" w:rsidRPr="00910F3F" w:rsidRDefault="00910F3F" w:rsidP="00910F3F">
      <w:pPr>
        <w:pStyle w:val="SingleTxt"/>
        <w:numPr>
          <w:ilvl w:val="1"/>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6"/>
          <w:tab w:val="left" w:pos="-284"/>
          <w:tab w:val="left" w:pos="1800"/>
        </w:tabs>
        <w:spacing w:after="60"/>
        <w:ind w:right="0"/>
        <w:rPr>
          <w:bCs/>
        </w:rPr>
      </w:pPr>
      <w:r w:rsidRPr="005938DE">
        <w:t>The implementation status of audit recommendations as at the end of the calendar year.</w:t>
      </w:r>
    </w:p>
    <w:p w:rsidR="00910F3F" w:rsidRDefault="00910F3F" w:rsidP="00910F3F">
      <w:pPr>
        <w:pStyle w:val="ListParagraph"/>
        <w:rPr>
          <w:rFonts w:asciiTheme="majorBidi" w:hAnsiTheme="majorBidi" w:cstheme="majorBidi"/>
          <w:sz w:val="20"/>
          <w:szCs w:val="20"/>
        </w:rPr>
      </w:pPr>
    </w:p>
    <w:p w:rsidR="00910F3F" w:rsidRDefault="00910F3F" w:rsidP="00374F13">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The distribution of</w:t>
      </w:r>
      <w:r w:rsidR="00374F13">
        <w:rPr>
          <w:sz w:val="20"/>
          <w:szCs w:val="20"/>
          <w:lang w:val="en-GB"/>
        </w:rPr>
        <w:t xml:space="preserve"> 2016</w:t>
      </w:r>
      <w:r>
        <w:rPr>
          <w:sz w:val="20"/>
          <w:szCs w:val="20"/>
          <w:lang w:val="en-GB"/>
        </w:rPr>
        <w:t xml:space="preserve"> </w:t>
      </w:r>
      <w:r w:rsidRPr="00EC5AF3">
        <w:rPr>
          <w:sz w:val="20"/>
          <w:szCs w:val="20"/>
          <w:lang w:val="en-GB"/>
        </w:rPr>
        <w:t>audit</w:t>
      </w:r>
      <w:r>
        <w:rPr>
          <w:sz w:val="20"/>
          <w:szCs w:val="20"/>
          <w:lang w:val="en-GB"/>
        </w:rPr>
        <w:t xml:space="preserve"> results</w:t>
      </w:r>
      <w:r w:rsidRPr="00EC5AF3">
        <w:rPr>
          <w:sz w:val="20"/>
          <w:szCs w:val="20"/>
          <w:lang w:val="en-GB"/>
        </w:rPr>
        <w:t xml:space="preserve"> </w:t>
      </w:r>
      <w:r>
        <w:rPr>
          <w:sz w:val="20"/>
          <w:szCs w:val="20"/>
          <w:lang w:val="en-GB"/>
        </w:rPr>
        <w:t xml:space="preserve">regarding the adequacy and effectiveness of the </w:t>
      </w:r>
      <w:r w:rsidRPr="00EC5AF3">
        <w:rPr>
          <w:sz w:val="20"/>
          <w:szCs w:val="20"/>
          <w:lang w:val="en-GB"/>
        </w:rPr>
        <w:t>governance, risk</w:t>
      </w:r>
      <w:r>
        <w:rPr>
          <w:sz w:val="20"/>
          <w:szCs w:val="20"/>
          <w:lang w:val="en-GB"/>
        </w:rPr>
        <w:t xml:space="preserve"> </w:t>
      </w:r>
      <w:r w:rsidRPr="00EC5AF3">
        <w:rPr>
          <w:sz w:val="20"/>
          <w:szCs w:val="20"/>
          <w:lang w:val="en-GB"/>
        </w:rPr>
        <w:t xml:space="preserve">management and control </w:t>
      </w:r>
      <w:r>
        <w:rPr>
          <w:sz w:val="20"/>
          <w:szCs w:val="20"/>
          <w:lang w:val="en-GB"/>
        </w:rPr>
        <w:t>at the audited entity level</w:t>
      </w:r>
      <w:r>
        <w:rPr>
          <w:rFonts w:asciiTheme="majorBidi" w:hAnsiTheme="majorBidi" w:cstheme="majorBidi"/>
          <w:sz w:val="20"/>
          <w:szCs w:val="20"/>
        </w:rPr>
        <w:t xml:space="preserve"> is shown in </w:t>
      </w:r>
      <w:r w:rsidR="00374F13">
        <w:rPr>
          <w:rFonts w:asciiTheme="majorBidi" w:hAnsiTheme="majorBidi" w:cstheme="majorBidi"/>
          <w:sz w:val="20"/>
          <w:szCs w:val="20"/>
        </w:rPr>
        <w:t>Table 2 and Table 5</w:t>
      </w:r>
      <w:r>
        <w:rPr>
          <w:rFonts w:asciiTheme="majorBidi" w:hAnsiTheme="majorBidi" w:cstheme="majorBidi"/>
          <w:sz w:val="20"/>
          <w:szCs w:val="20"/>
        </w:rPr>
        <w:t xml:space="preserve"> in </w:t>
      </w:r>
      <w:r w:rsidR="00374F13">
        <w:rPr>
          <w:rFonts w:asciiTheme="majorBidi" w:hAnsiTheme="majorBidi" w:cstheme="majorBidi"/>
          <w:sz w:val="20"/>
          <w:szCs w:val="20"/>
        </w:rPr>
        <w:t>IAIG’s Annual Activity Report</w:t>
      </w:r>
      <w:r>
        <w:rPr>
          <w:rFonts w:asciiTheme="majorBidi" w:hAnsiTheme="majorBidi" w:cstheme="majorBidi"/>
          <w:sz w:val="20"/>
          <w:szCs w:val="20"/>
        </w:rPr>
        <w:t xml:space="preserve"> which shows the distribution of the number of audit</w:t>
      </w:r>
      <w:r w:rsidR="00374F13">
        <w:rPr>
          <w:rFonts w:asciiTheme="majorBidi" w:hAnsiTheme="majorBidi" w:cstheme="majorBidi"/>
          <w:sz w:val="20"/>
          <w:szCs w:val="20"/>
        </w:rPr>
        <w:t xml:space="preserve"> reports that were issued by IAIG in 2016</w:t>
      </w:r>
      <w:r>
        <w:rPr>
          <w:rFonts w:asciiTheme="majorBidi" w:hAnsiTheme="majorBidi" w:cstheme="majorBidi"/>
          <w:sz w:val="20"/>
          <w:szCs w:val="20"/>
        </w:rPr>
        <w:t xml:space="preserve"> by type of audit rating, “satisfactory”, “partially satisfactory” and “unsatisfactory”.</w:t>
      </w:r>
    </w:p>
    <w:p w:rsidR="00374F13" w:rsidRPr="00374F13" w:rsidRDefault="00374F13" w:rsidP="00374F13">
      <w:pPr>
        <w:pStyle w:val="ListParagraph"/>
        <w:rPr>
          <w:rFonts w:asciiTheme="majorBidi" w:hAnsiTheme="majorBidi" w:cstheme="majorBidi"/>
          <w:sz w:val="20"/>
          <w:szCs w:val="20"/>
        </w:rPr>
      </w:pPr>
    </w:p>
    <w:p w:rsidR="00910F3F" w:rsidRDefault="00910F3F" w:rsidP="00910F3F">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The comparison of the three distributions of audit ratings for 2015 is as follows:</w:t>
      </w:r>
    </w:p>
    <w:tbl>
      <w:tblPr>
        <w:tblStyle w:val="TableGrid2"/>
        <w:tblW w:w="8167" w:type="dxa"/>
        <w:tblInd w:w="1075" w:type="dxa"/>
        <w:tblLook w:val="04A0" w:firstRow="1" w:lastRow="0" w:firstColumn="1" w:lastColumn="0" w:noHBand="0" w:noVBand="1"/>
      </w:tblPr>
      <w:tblGrid>
        <w:gridCol w:w="1842"/>
        <w:gridCol w:w="3092"/>
        <w:gridCol w:w="3233"/>
      </w:tblGrid>
      <w:tr w:rsidR="00374F13" w:rsidRPr="0022182F" w:rsidTr="00374F13">
        <w:tc>
          <w:tcPr>
            <w:tcW w:w="1842" w:type="dxa"/>
            <w:shd w:val="clear" w:color="auto" w:fill="D9D9D9" w:themeFill="background1" w:themeFillShade="D9"/>
            <w:vAlign w:val="center"/>
          </w:tcPr>
          <w:p w:rsidR="00374F13" w:rsidRPr="00374F13" w:rsidRDefault="00374F13" w:rsidP="006852D6">
            <w:pPr>
              <w:spacing w:before="120" w:after="120"/>
              <w:jc w:val="center"/>
              <w:rPr>
                <w:rFonts w:ascii="Times New Roman" w:hAnsi="Times New Roman" w:cs="Times New Roman"/>
                <w:b/>
                <w:bCs/>
                <w:sz w:val="16"/>
                <w:szCs w:val="16"/>
              </w:rPr>
            </w:pPr>
            <w:r w:rsidRPr="00374F13">
              <w:rPr>
                <w:rFonts w:ascii="Times New Roman" w:hAnsi="Times New Roman" w:cs="Times New Roman"/>
                <w:b/>
                <w:bCs/>
                <w:sz w:val="16"/>
                <w:szCs w:val="16"/>
              </w:rPr>
              <w:t>Rating</w:t>
            </w:r>
          </w:p>
        </w:tc>
        <w:tc>
          <w:tcPr>
            <w:tcW w:w="3092" w:type="dxa"/>
            <w:shd w:val="clear" w:color="auto" w:fill="D9D9D9" w:themeFill="background1" w:themeFillShade="D9"/>
          </w:tcPr>
          <w:p w:rsidR="00374F13" w:rsidRPr="00374F13" w:rsidRDefault="00374F13" w:rsidP="006852D6">
            <w:pPr>
              <w:spacing w:before="120" w:after="120"/>
              <w:jc w:val="center"/>
              <w:rPr>
                <w:rFonts w:ascii="Times New Roman" w:hAnsi="Times New Roman"/>
                <w:b/>
                <w:bCs/>
                <w:sz w:val="16"/>
                <w:szCs w:val="16"/>
              </w:rPr>
            </w:pPr>
            <w:r>
              <w:rPr>
                <w:rFonts w:ascii="Times New Roman" w:hAnsi="Times New Roman"/>
                <w:b/>
                <w:bCs/>
                <w:sz w:val="16"/>
                <w:szCs w:val="16"/>
              </w:rPr>
              <w:t>Number of ratings</w:t>
            </w:r>
          </w:p>
        </w:tc>
        <w:tc>
          <w:tcPr>
            <w:tcW w:w="3233" w:type="dxa"/>
            <w:shd w:val="clear" w:color="auto" w:fill="D9D9D9" w:themeFill="background1" w:themeFillShade="D9"/>
            <w:vAlign w:val="center"/>
          </w:tcPr>
          <w:p w:rsidR="00374F13" w:rsidRPr="00374F13" w:rsidRDefault="004B6F7C" w:rsidP="006852D6">
            <w:pPr>
              <w:spacing w:before="120" w:after="120"/>
              <w:jc w:val="center"/>
              <w:rPr>
                <w:rFonts w:ascii="Times New Roman" w:hAnsi="Times New Roman" w:cs="Times New Roman"/>
                <w:b/>
                <w:bCs/>
                <w:sz w:val="16"/>
                <w:szCs w:val="16"/>
              </w:rPr>
            </w:pPr>
            <w:r>
              <w:rPr>
                <w:rFonts w:ascii="Times New Roman" w:hAnsi="Times New Roman" w:cs="Times New Roman"/>
                <w:b/>
                <w:bCs/>
                <w:sz w:val="16"/>
                <w:szCs w:val="16"/>
              </w:rPr>
              <w:t>Percent of total</w:t>
            </w:r>
          </w:p>
        </w:tc>
      </w:tr>
      <w:tr w:rsidR="00374F13" w:rsidRPr="0022182F" w:rsidTr="00374F13">
        <w:tc>
          <w:tcPr>
            <w:tcW w:w="1842" w:type="dxa"/>
          </w:tcPr>
          <w:p w:rsidR="00374F13" w:rsidRPr="00374F13" w:rsidRDefault="00374F13" w:rsidP="006852D6">
            <w:pPr>
              <w:spacing w:before="120" w:after="120"/>
              <w:jc w:val="center"/>
              <w:rPr>
                <w:rFonts w:ascii="Times New Roman" w:hAnsi="Times New Roman" w:cs="Times New Roman"/>
                <w:sz w:val="16"/>
                <w:szCs w:val="16"/>
              </w:rPr>
            </w:pPr>
            <w:r w:rsidRPr="00374F13">
              <w:rPr>
                <w:rFonts w:ascii="Times New Roman" w:hAnsi="Times New Roman" w:cs="Times New Roman"/>
                <w:sz w:val="16"/>
                <w:szCs w:val="16"/>
              </w:rPr>
              <w:t>Satisfactory</w:t>
            </w:r>
          </w:p>
        </w:tc>
        <w:tc>
          <w:tcPr>
            <w:tcW w:w="3092" w:type="dxa"/>
          </w:tcPr>
          <w:p w:rsidR="00374F13" w:rsidRPr="00374F13" w:rsidRDefault="004B6F7C" w:rsidP="006852D6">
            <w:pPr>
              <w:spacing w:before="120" w:after="120"/>
              <w:jc w:val="center"/>
              <w:rPr>
                <w:rFonts w:ascii="Times New Roman" w:hAnsi="Times New Roman"/>
                <w:sz w:val="16"/>
                <w:szCs w:val="16"/>
              </w:rPr>
            </w:pPr>
            <w:r>
              <w:rPr>
                <w:rFonts w:ascii="Times New Roman" w:hAnsi="Times New Roman"/>
                <w:sz w:val="16"/>
                <w:szCs w:val="16"/>
              </w:rPr>
              <w:t>15</w:t>
            </w:r>
          </w:p>
        </w:tc>
        <w:tc>
          <w:tcPr>
            <w:tcW w:w="3233" w:type="dxa"/>
          </w:tcPr>
          <w:p w:rsidR="00374F13" w:rsidRPr="00374F13" w:rsidRDefault="004B6F7C" w:rsidP="006852D6">
            <w:pPr>
              <w:spacing w:before="120" w:after="120"/>
              <w:jc w:val="center"/>
              <w:rPr>
                <w:rFonts w:ascii="Times New Roman" w:hAnsi="Times New Roman" w:cs="Times New Roman"/>
                <w:sz w:val="16"/>
                <w:szCs w:val="16"/>
              </w:rPr>
            </w:pPr>
            <w:r>
              <w:rPr>
                <w:rFonts w:ascii="Times New Roman" w:hAnsi="Times New Roman" w:cs="Times New Roman"/>
                <w:sz w:val="16"/>
                <w:szCs w:val="16"/>
              </w:rPr>
              <w:t>62</w:t>
            </w:r>
            <w:r w:rsidR="00374F13" w:rsidRPr="00374F13">
              <w:rPr>
                <w:rFonts w:ascii="Times New Roman" w:hAnsi="Times New Roman" w:cs="Times New Roman"/>
                <w:sz w:val="16"/>
                <w:szCs w:val="16"/>
              </w:rPr>
              <w:t>%</w:t>
            </w:r>
          </w:p>
        </w:tc>
      </w:tr>
      <w:tr w:rsidR="00374F13" w:rsidRPr="0022182F" w:rsidTr="00374F13">
        <w:tc>
          <w:tcPr>
            <w:tcW w:w="1842" w:type="dxa"/>
          </w:tcPr>
          <w:p w:rsidR="00374F13" w:rsidRPr="00374F13" w:rsidRDefault="00374F13" w:rsidP="006852D6">
            <w:pPr>
              <w:spacing w:before="120" w:after="120"/>
              <w:jc w:val="center"/>
              <w:rPr>
                <w:rFonts w:ascii="Times New Roman" w:hAnsi="Times New Roman" w:cs="Times New Roman"/>
                <w:sz w:val="16"/>
                <w:szCs w:val="16"/>
              </w:rPr>
            </w:pPr>
            <w:r w:rsidRPr="00374F13">
              <w:rPr>
                <w:rFonts w:ascii="Times New Roman" w:hAnsi="Times New Roman" w:cs="Times New Roman"/>
                <w:sz w:val="16"/>
                <w:szCs w:val="16"/>
              </w:rPr>
              <w:t>Partially Satisfactory</w:t>
            </w:r>
          </w:p>
        </w:tc>
        <w:tc>
          <w:tcPr>
            <w:tcW w:w="3092" w:type="dxa"/>
          </w:tcPr>
          <w:p w:rsidR="00374F13" w:rsidRPr="00374F13" w:rsidRDefault="004B6F7C" w:rsidP="006852D6">
            <w:pPr>
              <w:spacing w:before="120" w:after="120"/>
              <w:jc w:val="center"/>
              <w:rPr>
                <w:rFonts w:ascii="Times New Roman" w:hAnsi="Times New Roman"/>
                <w:sz w:val="16"/>
                <w:szCs w:val="16"/>
              </w:rPr>
            </w:pPr>
            <w:r>
              <w:rPr>
                <w:rFonts w:ascii="Times New Roman" w:hAnsi="Times New Roman"/>
                <w:sz w:val="16"/>
                <w:szCs w:val="16"/>
              </w:rPr>
              <w:t>6</w:t>
            </w:r>
          </w:p>
        </w:tc>
        <w:tc>
          <w:tcPr>
            <w:tcW w:w="3233" w:type="dxa"/>
          </w:tcPr>
          <w:p w:rsidR="00374F13" w:rsidRPr="00374F13" w:rsidRDefault="004B6F7C" w:rsidP="006852D6">
            <w:pPr>
              <w:spacing w:before="120" w:after="120"/>
              <w:jc w:val="center"/>
              <w:rPr>
                <w:rFonts w:ascii="Times New Roman" w:hAnsi="Times New Roman" w:cs="Times New Roman"/>
                <w:sz w:val="16"/>
                <w:szCs w:val="16"/>
              </w:rPr>
            </w:pPr>
            <w:r>
              <w:rPr>
                <w:rFonts w:ascii="Times New Roman" w:hAnsi="Times New Roman" w:cs="Times New Roman"/>
                <w:sz w:val="16"/>
                <w:szCs w:val="16"/>
              </w:rPr>
              <w:t>25</w:t>
            </w:r>
            <w:r w:rsidR="00374F13" w:rsidRPr="00374F13">
              <w:rPr>
                <w:rFonts w:ascii="Times New Roman" w:hAnsi="Times New Roman" w:cs="Times New Roman"/>
                <w:sz w:val="16"/>
                <w:szCs w:val="16"/>
              </w:rPr>
              <w:t>%</w:t>
            </w:r>
          </w:p>
        </w:tc>
      </w:tr>
      <w:tr w:rsidR="00374F13" w:rsidRPr="0022182F" w:rsidTr="00374F13">
        <w:tc>
          <w:tcPr>
            <w:tcW w:w="1842" w:type="dxa"/>
          </w:tcPr>
          <w:p w:rsidR="00374F13" w:rsidRPr="00374F13" w:rsidRDefault="00374F13" w:rsidP="006852D6">
            <w:pPr>
              <w:spacing w:before="120" w:after="120"/>
              <w:jc w:val="center"/>
              <w:rPr>
                <w:rFonts w:ascii="Times New Roman" w:hAnsi="Times New Roman" w:cs="Times New Roman"/>
                <w:sz w:val="16"/>
                <w:szCs w:val="16"/>
              </w:rPr>
            </w:pPr>
            <w:r w:rsidRPr="00374F13">
              <w:rPr>
                <w:rFonts w:ascii="Times New Roman" w:hAnsi="Times New Roman" w:cs="Times New Roman"/>
                <w:sz w:val="16"/>
                <w:szCs w:val="16"/>
              </w:rPr>
              <w:t>Unsatisfactory</w:t>
            </w:r>
          </w:p>
        </w:tc>
        <w:tc>
          <w:tcPr>
            <w:tcW w:w="3092" w:type="dxa"/>
          </w:tcPr>
          <w:p w:rsidR="00374F13" w:rsidRPr="00374F13" w:rsidRDefault="004B6F7C" w:rsidP="006852D6">
            <w:pPr>
              <w:spacing w:before="120" w:after="120"/>
              <w:jc w:val="center"/>
              <w:rPr>
                <w:rFonts w:ascii="Times New Roman" w:hAnsi="Times New Roman"/>
                <w:sz w:val="16"/>
                <w:szCs w:val="16"/>
              </w:rPr>
            </w:pPr>
            <w:r>
              <w:rPr>
                <w:rFonts w:ascii="Times New Roman" w:hAnsi="Times New Roman"/>
                <w:sz w:val="16"/>
                <w:szCs w:val="16"/>
              </w:rPr>
              <w:t>0</w:t>
            </w:r>
          </w:p>
        </w:tc>
        <w:tc>
          <w:tcPr>
            <w:tcW w:w="3233" w:type="dxa"/>
          </w:tcPr>
          <w:p w:rsidR="00374F13" w:rsidRPr="00374F13" w:rsidRDefault="004B6F7C" w:rsidP="006852D6">
            <w:pPr>
              <w:spacing w:before="120" w:after="120"/>
              <w:jc w:val="center"/>
              <w:rPr>
                <w:rFonts w:ascii="Times New Roman" w:hAnsi="Times New Roman" w:cs="Times New Roman"/>
                <w:sz w:val="16"/>
                <w:szCs w:val="16"/>
              </w:rPr>
            </w:pPr>
            <w:r>
              <w:rPr>
                <w:rFonts w:ascii="Times New Roman" w:hAnsi="Times New Roman" w:cs="Times New Roman"/>
                <w:sz w:val="16"/>
                <w:szCs w:val="16"/>
              </w:rPr>
              <w:t>0</w:t>
            </w:r>
            <w:r w:rsidR="00374F13" w:rsidRPr="00374F13">
              <w:rPr>
                <w:rFonts w:ascii="Times New Roman" w:hAnsi="Times New Roman" w:cs="Times New Roman"/>
                <w:sz w:val="16"/>
                <w:szCs w:val="16"/>
              </w:rPr>
              <w:t>%</w:t>
            </w:r>
          </w:p>
        </w:tc>
      </w:tr>
      <w:tr w:rsidR="00374F13" w:rsidRPr="0022182F" w:rsidTr="00374F13">
        <w:tc>
          <w:tcPr>
            <w:tcW w:w="1842" w:type="dxa"/>
          </w:tcPr>
          <w:p w:rsidR="00374F13" w:rsidRPr="00374F13" w:rsidRDefault="00374F13" w:rsidP="006852D6">
            <w:pPr>
              <w:spacing w:before="120" w:after="120"/>
              <w:jc w:val="center"/>
              <w:rPr>
                <w:rFonts w:ascii="Times New Roman" w:hAnsi="Times New Roman"/>
                <w:sz w:val="16"/>
                <w:szCs w:val="16"/>
              </w:rPr>
            </w:pPr>
            <w:r>
              <w:rPr>
                <w:rFonts w:ascii="Times New Roman" w:hAnsi="Times New Roman"/>
                <w:sz w:val="16"/>
                <w:szCs w:val="16"/>
              </w:rPr>
              <w:t>No rating*</w:t>
            </w:r>
          </w:p>
        </w:tc>
        <w:tc>
          <w:tcPr>
            <w:tcW w:w="3092" w:type="dxa"/>
          </w:tcPr>
          <w:p w:rsidR="00374F13" w:rsidRPr="00374F13" w:rsidRDefault="004B6F7C" w:rsidP="006852D6">
            <w:pPr>
              <w:spacing w:before="120" w:after="120"/>
              <w:jc w:val="center"/>
              <w:rPr>
                <w:rFonts w:ascii="Times New Roman" w:hAnsi="Times New Roman"/>
                <w:sz w:val="16"/>
                <w:szCs w:val="16"/>
              </w:rPr>
            </w:pPr>
            <w:r>
              <w:rPr>
                <w:rFonts w:ascii="Times New Roman" w:hAnsi="Times New Roman"/>
                <w:sz w:val="16"/>
                <w:szCs w:val="16"/>
              </w:rPr>
              <w:t>3</w:t>
            </w:r>
          </w:p>
        </w:tc>
        <w:tc>
          <w:tcPr>
            <w:tcW w:w="3233" w:type="dxa"/>
          </w:tcPr>
          <w:p w:rsidR="00374F13" w:rsidRPr="00374F13" w:rsidRDefault="004B6F7C" w:rsidP="006852D6">
            <w:pPr>
              <w:spacing w:before="120" w:after="120"/>
              <w:jc w:val="center"/>
              <w:rPr>
                <w:rFonts w:ascii="Times New Roman" w:hAnsi="Times New Roman"/>
                <w:sz w:val="16"/>
                <w:szCs w:val="16"/>
              </w:rPr>
            </w:pPr>
            <w:r>
              <w:rPr>
                <w:rFonts w:ascii="Times New Roman" w:hAnsi="Times New Roman"/>
                <w:sz w:val="16"/>
                <w:szCs w:val="16"/>
              </w:rPr>
              <w:t>13%</w:t>
            </w:r>
          </w:p>
        </w:tc>
      </w:tr>
      <w:tr w:rsidR="00374F13" w:rsidRPr="0022182F" w:rsidTr="00374F13">
        <w:tc>
          <w:tcPr>
            <w:tcW w:w="1842" w:type="dxa"/>
          </w:tcPr>
          <w:p w:rsidR="00374F13" w:rsidRPr="006852D6" w:rsidRDefault="00374F13" w:rsidP="006852D6">
            <w:pPr>
              <w:spacing w:before="120" w:after="120"/>
              <w:jc w:val="center"/>
              <w:rPr>
                <w:rFonts w:ascii="Times New Roman" w:hAnsi="Times New Roman" w:cs="Times New Roman"/>
                <w:b/>
                <w:sz w:val="16"/>
                <w:szCs w:val="16"/>
              </w:rPr>
            </w:pPr>
            <w:r w:rsidRPr="006852D6">
              <w:rPr>
                <w:rFonts w:ascii="Times New Roman" w:hAnsi="Times New Roman" w:cs="Times New Roman"/>
                <w:b/>
                <w:sz w:val="16"/>
                <w:szCs w:val="16"/>
              </w:rPr>
              <w:t>TOTAL</w:t>
            </w:r>
          </w:p>
        </w:tc>
        <w:tc>
          <w:tcPr>
            <w:tcW w:w="3092" w:type="dxa"/>
          </w:tcPr>
          <w:p w:rsidR="00374F13" w:rsidRPr="00374F13" w:rsidRDefault="004B6F7C" w:rsidP="006852D6">
            <w:pPr>
              <w:spacing w:before="120" w:after="120"/>
              <w:jc w:val="center"/>
              <w:rPr>
                <w:rFonts w:ascii="Times New Roman" w:hAnsi="Times New Roman"/>
                <w:b/>
                <w:bCs/>
                <w:sz w:val="16"/>
                <w:szCs w:val="16"/>
              </w:rPr>
            </w:pPr>
            <w:r>
              <w:rPr>
                <w:rFonts w:ascii="Times New Roman" w:hAnsi="Times New Roman"/>
                <w:b/>
                <w:bCs/>
                <w:sz w:val="16"/>
                <w:szCs w:val="16"/>
              </w:rPr>
              <w:t>24</w:t>
            </w:r>
          </w:p>
        </w:tc>
        <w:tc>
          <w:tcPr>
            <w:tcW w:w="3233" w:type="dxa"/>
          </w:tcPr>
          <w:p w:rsidR="00374F13" w:rsidRPr="00374F13" w:rsidRDefault="00374F13" w:rsidP="006852D6">
            <w:pPr>
              <w:spacing w:before="120" w:after="120"/>
              <w:jc w:val="center"/>
              <w:rPr>
                <w:rFonts w:ascii="Times New Roman" w:hAnsi="Times New Roman" w:cs="Times New Roman"/>
                <w:b/>
                <w:bCs/>
                <w:sz w:val="16"/>
                <w:szCs w:val="16"/>
              </w:rPr>
            </w:pPr>
            <w:r w:rsidRPr="00374F13">
              <w:rPr>
                <w:rFonts w:ascii="Times New Roman" w:hAnsi="Times New Roman" w:cs="Times New Roman"/>
                <w:b/>
                <w:bCs/>
                <w:sz w:val="16"/>
                <w:szCs w:val="16"/>
              </w:rPr>
              <w:t>100%</w:t>
            </w:r>
          </w:p>
        </w:tc>
      </w:tr>
    </w:tbl>
    <w:p w:rsidR="00910F3F" w:rsidRPr="00C526BE" w:rsidRDefault="00374F13" w:rsidP="00910F3F">
      <w:pPr>
        <w:rPr>
          <w:rFonts w:ascii="Times New Roman" w:hAnsi="Times New Roman"/>
          <w:sz w:val="16"/>
          <w:szCs w:val="16"/>
        </w:rPr>
      </w:pPr>
      <w:r>
        <w:rPr>
          <w:sz w:val="20"/>
          <w:szCs w:val="20"/>
        </w:rPr>
        <w:tab/>
      </w:r>
      <w:r>
        <w:rPr>
          <w:sz w:val="20"/>
          <w:szCs w:val="20"/>
        </w:rPr>
        <w:tab/>
      </w:r>
      <w:r w:rsidRPr="00C526BE">
        <w:rPr>
          <w:rFonts w:ascii="Times New Roman" w:hAnsi="Times New Roman"/>
          <w:sz w:val="16"/>
          <w:szCs w:val="16"/>
        </w:rPr>
        <w:t xml:space="preserve">*No rating is provided for </w:t>
      </w:r>
      <w:r w:rsidR="004B6F7C" w:rsidRPr="00C526BE">
        <w:rPr>
          <w:rFonts w:ascii="Times New Roman" w:hAnsi="Times New Roman"/>
          <w:sz w:val="16"/>
          <w:szCs w:val="16"/>
        </w:rPr>
        <w:t>reviews and consultancy engagements</w:t>
      </w:r>
    </w:p>
    <w:p w:rsidR="00910F3F" w:rsidRDefault="006852D6" w:rsidP="00910F3F">
      <w:pPr>
        <w:pStyle w:val="ListParagraph"/>
        <w:numPr>
          <w:ilvl w:val="0"/>
          <w:numId w:val="2"/>
        </w:numPr>
        <w:rPr>
          <w:rFonts w:asciiTheme="majorBidi" w:hAnsiTheme="majorBidi" w:cstheme="majorBidi"/>
          <w:sz w:val="20"/>
          <w:szCs w:val="20"/>
        </w:rPr>
      </w:pPr>
      <w:r>
        <w:rPr>
          <w:rFonts w:asciiTheme="majorBidi" w:hAnsiTheme="majorBidi" w:cstheme="majorBidi"/>
          <w:sz w:val="20"/>
          <w:szCs w:val="20"/>
        </w:rPr>
        <w:t>The table above shows that 25% of all audits have a rating</w:t>
      </w:r>
      <w:r w:rsidR="00910F3F" w:rsidRPr="0022182F">
        <w:rPr>
          <w:rFonts w:asciiTheme="majorBidi" w:hAnsiTheme="majorBidi" w:cstheme="majorBidi"/>
          <w:sz w:val="20"/>
          <w:szCs w:val="20"/>
        </w:rPr>
        <w:t xml:space="preserve"> “partially satisfactory”</w:t>
      </w:r>
      <w:r>
        <w:rPr>
          <w:rFonts w:asciiTheme="majorBidi" w:hAnsiTheme="majorBidi" w:cstheme="majorBidi"/>
          <w:sz w:val="20"/>
          <w:szCs w:val="20"/>
        </w:rPr>
        <w:t xml:space="preserve"> where </w:t>
      </w:r>
      <w:r w:rsidR="00910F3F" w:rsidRPr="0022182F">
        <w:rPr>
          <w:rFonts w:asciiTheme="majorBidi" w:hAnsiTheme="majorBidi" w:cstheme="majorBidi"/>
          <w:sz w:val="20"/>
          <w:szCs w:val="20"/>
        </w:rPr>
        <w:t>there are deficiencies in governance, risk management and controls which need to be addressed.</w:t>
      </w:r>
      <w:r>
        <w:rPr>
          <w:rFonts w:asciiTheme="majorBidi" w:hAnsiTheme="majorBidi" w:cstheme="majorBidi"/>
          <w:sz w:val="20"/>
          <w:szCs w:val="20"/>
        </w:rPr>
        <w:t xml:space="preserve"> For the 62% of audits with a satisfactory rating, areas for improvement were also identified.</w:t>
      </w:r>
    </w:p>
    <w:p w:rsidR="00910F3F" w:rsidRPr="00C97E52" w:rsidRDefault="00910F3F" w:rsidP="00910F3F">
      <w:pPr>
        <w:pStyle w:val="ListParagraph"/>
        <w:rPr>
          <w:rFonts w:asciiTheme="majorBidi" w:hAnsiTheme="majorBidi" w:cstheme="majorBidi"/>
          <w:sz w:val="20"/>
          <w:szCs w:val="20"/>
        </w:rPr>
      </w:pPr>
    </w:p>
    <w:p w:rsidR="006852D6" w:rsidRDefault="00910F3F" w:rsidP="00910F3F">
      <w:pPr>
        <w:pStyle w:val="ListParagraph"/>
        <w:numPr>
          <w:ilvl w:val="0"/>
          <w:numId w:val="2"/>
        </w:numPr>
        <w:rPr>
          <w:rFonts w:asciiTheme="majorBidi" w:hAnsiTheme="majorBidi" w:cstheme="majorBidi"/>
          <w:sz w:val="20"/>
          <w:szCs w:val="20"/>
        </w:rPr>
      </w:pPr>
      <w:r w:rsidRPr="006852D6">
        <w:rPr>
          <w:rFonts w:asciiTheme="majorBidi" w:hAnsiTheme="majorBidi" w:cstheme="majorBidi"/>
          <w:sz w:val="20"/>
          <w:szCs w:val="20"/>
        </w:rPr>
        <w:t>In addition to the above comparison, the qualitative nature of the audit results were also given due consideration.  This is done to the extent that serious shortcomings on the corporate level may have been identified during the reporting per</w:t>
      </w:r>
      <w:r w:rsidR="006852D6" w:rsidRPr="006852D6">
        <w:rPr>
          <w:rFonts w:asciiTheme="majorBidi" w:hAnsiTheme="majorBidi" w:cstheme="majorBidi"/>
          <w:sz w:val="20"/>
          <w:szCs w:val="20"/>
        </w:rPr>
        <w:t>iod which, in the opinion of IAIG</w:t>
      </w:r>
      <w:r w:rsidRPr="006852D6">
        <w:rPr>
          <w:rFonts w:asciiTheme="majorBidi" w:hAnsiTheme="majorBidi" w:cstheme="majorBidi"/>
          <w:sz w:val="20"/>
          <w:szCs w:val="20"/>
        </w:rPr>
        <w:t xml:space="preserve">, could have a pervasive and serious negative impact across the organization. </w:t>
      </w:r>
    </w:p>
    <w:p w:rsidR="006852D6" w:rsidRPr="006852D6" w:rsidRDefault="006852D6" w:rsidP="006852D6">
      <w:pPr>
        <w:pStyle w:val="ListParagraph"/>
        <w:rPr>
          <w:rFonts w:asciiTheme="majorBidi" w:hAnsiTheme="majorBidi" w:cstheme="majorBidi"/>
          <w:sz w:val="20"/>
          <w:szCs w:val="20"/>
        </w:rPr>
      </w:pPr>
    </w:p>
    <w:p w:rsidR="00910F3F" w:rsidRDefault="00910F3F" w:rsidP="006852D6">
      <w:pPr>
        <w:pStyle w:val="ListParagraph"/>
        <w:numPr>
          <w:ilvl w:val="0"/>
          <w:numId w:val="2"/>
        </w:numPr>
        <w:rPr>
          <w:rFonts w:asciiTheme="majorBidi" w:hAnsiTheme="majorBidi" w:cstheme="majorBidi"/>
          <w:sz w:val="20"/>
          <w:szCs w:val="20"/>
        </w:rPr>
      </w:pPr>
      <w:r w:rsidRPr="006852D6">
        <w:rPr>
          <w:rFonts w:asciiTheme="majorBidi" w:hAnsiTheme="majorBidi" w:cstheme="majorBidi"/>
          <w:sz w:val="20"/>
          <w:szCs w:val="20"/>
        </w:rPr>
        <w:t>The implementation rate of internal audit recommendations was also taken into consideration</w:t>
      </w:r>
      <w:r w:rsidR="006852D6">
        <w:rPr>
          <w:rFonts w:asciiTheme="majorBidi" w:hAnsiTheme="majorBidi" w:cstheme="majorBidi"/>
          <w:sz w:val="20"/>
          <w:szCs w:val="20"/>
        </w:rPr>
        <w:t xml:space="preserve">. </w:t>
      </w:r>
      <w:r w:rsidRPr="006852D6">
        <w:rPr>
          <w:rFonts w:asciiTheme="majorBidi" w:hAnsiTheme="majorBidi" w:cstheme="majorBidi"/>
          <w:sz w:val="20"/>
          <w:szCs w:val="20"/>
        </w:rPr>
        <w:t>The actual implementation rate of internal audit re</w:t>
      </w:r>
      <w:r w:rsidR="006852D6" w:rsidRPr="006852D6">
        <w:rPr>
          <w:rFonts w:asciiTheme="majorBidi" w:hAnsiTheme="majorBidi" w:cstheme="majorBidi"/>
          <w:sz w:val="20"/>
          <w:szCs w:val="20"/>
        </w:rPr>
        <w:t>commendations at the end of 2016 is 93</w:t>
      </w:r>
      <w:r w:rsidRPr="006852D6">
        <w:rPr>
          <w:rFonts w:asciiTheme="majorBidi" w:hAnsiTheme="majorBidi" w:cstheme="majorBidi"/>
          <w:sz w:val="20"/>
          <w:szCs w:val="20"/>
        </w:rPr>
        <w:t xml:space="preserve"> per cent and is therefore s</w:t>
      </w:r>
      <w:r w:rsidR="006852D6">
        <w:rPr>
          <w:rFonts w:asciiTheme="majorBidi" w:hAnsiTheme="majorBidi" w:cstheme="majorBidi"/>
          <w:sz w:val="20"/>
          <w:szCs w:val="20"/>
        </w:rPr>
        <w:t>atisfactory</w:t>
      </w:r>
      <w:r w:rsidRPr="006852D6">
        <w:rPr>
          <w:rFonts w:asciiTheme="majorBidi" w:hAnsiTheme="majorBidi" w:cstheme="majorBidi"/>
          <w:sz w:val="20"/>
          <w:szCs w:val="20"/>
        </w:rPr>
        <w:t>.</w:t>
      </w:r>
      <w:r w:rsidR="006852D6">
        <w:rPr>
          <w:rFonts w:asciiTheme="majorBidi" w:hAnsiTheme="majorBidi" w:cstheme="majorBidi"/>
          <w:sz w:val="20"/>
          <w:szCs w:val="20"/>
        </w:rPr>
        <w:t xml:space="preserve"> The rate of 93</w:t>
      </w:r>
      <w:r w:rsidRPr="006852D6">
        <w:rPr>
          <w:rFonts w:asciiTheme="majorBidi" w:hAnsiTheme="majorBidi" w:cstheme="majorBidi"/>
          <w:sz w:val="20"/>
          <w:szCs w:val="20"/>
        </w:rPr>
        <w:t xml:space="preserve"> per cent gives comfort that the organization takes effective and timely action to address deficiencies identified in audits.</w:t>
      </w:r>
    </w:p>
    <w:p w:rsidR="006852D6" w:rsidRPr="006852D6" w:rsidRDefault="006852D6" w:rsidP="006852D6">
      <w:pPr>
        <w:pStyle w:val="ListParagraph"/>
        <w:rPr>
          <w:rFonts w:asciiTheme="majorBidi" w:hAnsiTheme="majorBidi" w:cstheme="majorBidi"/>
          <w:sz w:val="20"/>
          <w:szCs w:val="20"/>
        </w:rPr>
      </w:pPr>
    </w:p>
    <w:p w:rsidR="00910F3F" w:rsidRPr="006852D6" w:rsidRDefault="00910F3F" w:rsidP="006852D6">
      <w:pPr>
        <w:pStyle w:val="ListParagraph"/>
        <w:numPr>
          <w:ilvl w:val="0"/>
          <w:numId w:val="2"/>
        </w:numPr>
        <w:rPr>
          <w:rFonts w:asciiTheme="majorBidi" w:hAnsiTheme="majorBidi" w:cstheme="majorBidi"/>
          <w:sz w:val="20"/>
          <w:szCs w:val="20"/>
        </w:rPr>
      </w:pPr>
      <w:r w:rsidRPr="006E1930">
        <w:rPr>
          <w:rFonts w:asciiTheme="majorBidi" w:hAnsiTheme="majorBidi" w:cstheme="majorBidi"/>
          <w:sz w:val="20"/>
          <w:szCs w:val="20"/>
        </w:rPr>
        <w:t xml:space="preserve">Consequently, based on the </w:t>
      </w:r>
      <w:r w:rsidR="006852D6">
        <w:rPr>
          <w:rFonts w:asciiTheme="majorBidi" w:hAnsiTheme="majorBidi" w:cstheme="majorBidi"/>
          <w:sz w:val="20"/>
          <w:szCs w:val="20"/>
        </w:rPr>
        <w:t>scope of work undertaken in 2016</w:t>
      </w:r>
      <w:r w:rsidR="00E070B7">
        <w:rPr>
          <w:rFonts w:asciiTheme="majorBidi" w:hAnsiTheme="majorBidi" w:cstheme="majorBidi"/>
          <w:sz w:val="20"/>
          <w:szCs w:val="20"/>
        </w:rPr>
        <w:t>, in IAIG</w:t>
      </w:r>
      <w:r>
        <w:rPr>
          <w:rFonts w:asciiTheme="majorBidi" w:hAnsiTheme="majorBidi" w:cstheme="majorBidi"/>
          <w:sz w:val="20"/>
          <w:szCs w:val="20"/>
        </w:rPr>
        <w:t>’s</w:t>
      </w:r>
      <w:r w:rsidRPr="006E1930">
        <w:rPr>
          <w:rFonts w:asciiTheme="majorBidi" w:hAnsiTheme="majorBidi" w:cstheme="majorBidi"/>
          <w:sz w:val="20"/>
          <w:szCs w:val="20"/>
        </w:rPr>
        <w:t xml:space="preserve"> opinion, the adequacy and effectiveness of the governance, risk management and control (GRC) </w:t>
      </w:r>
      <w:r>
        <w:rPr>
          <w:rFonts w:asciiTheme="majorBidi" w:hAnsiTheme="majorBidi" w:cstheme="majorBidi"/>
          <w:sz w:val="20"/>
          <w:szCs w:val="20"/>
        </w:rPr>
        <w:t xml:space="preserve">in </w:t>
      </w:r>
      <w:r w:rsidR="006852D6">
        <w:rPr>
          <w:rFonts w:asciiTheme="majorBidi" w:hAnsiTheme="majorBidi" w:cstheme="majorBidi"/>
          <w:sz w:val="20"/>
          <w:szCs w:val="20"/>
        </w:rPr>
        <w:t>the audit reports issued in 2016</w:t>
      </w:r>
      <w:r>
        <w:rPr>
          <w:rFonts w:asciiTheme="majorBidi" w:hAnsiTheme="majorBidi" w:cstheme="majorBidi"/>
          <w:sz w:val="20"/>
          <w:szCs w:val="20"/>
        </w:rPr>
        <w:t xml:space="preserve"> </w:t>
      </w:r>
      <w:r w:rsidRPr="006852D6">
        <w:rPr>
          <w:rFonts w:asciiTheme="majorBidi" w:hAnsiTheme="majorBidi" w:cstheme="majorBidi"/>
          <w:sz w:val="20"/>
          <w:szCs w:val="20"/>
        </w:rPr>
        <w:t>were, in aggregate, “partially satisfactory”, which means that they were generally established and functioning but needed improvement.</w:t>
      </w:r>
    </w:p>
    <w:sectPr w:rsidR="00910F3F" w:rsidRPr="006852D6" w:rsidSect="0088290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AF" w:rsidRDefault="00C65CAF" w:rsidP="00CF0B73">
      <w:pPr>
        <w:spacing w:after="0" w:line="240" w:lineRule="auto"/>
      </w:pPr>
      <w:r>
        <w:separator/>
      </w:r>
    </w:p>
  </w:endnote>
  <w:endnote w:type="continuationSeparator" w:id="0">
    <w:p w:rsidR="00C65CAF" w:rsidRDefault="00C65CAF" w:rsidP="00CF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AF" w:rsidRDefault="00C65CAF" w:rsidP="00CF0B73">
      <w:pPr>
        <w:spacing w:after="0" w:line="240" w:lineRule="auto"/>
      </w:pPr>
      <w:r>
        <w:separator/>
      </w:r>
    </w:p>
  </w:footnote>
  <w:footnote w:type="continuationSeparator" w:id="0">
    <w:p w:rsidR="00C65CAF" w:rsidRDefault="00C65CAF" w:rsidP="00CF0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4E" w:rsidRDefault="00E77D4E" w:rsidP="00E77D4E">
    <w:r>
      <w:rPr>
        <w:rFonts w:ascii="Arial" w:hAnsi="Arial" w:cs="Arial"/>
        <w:noProof/>
        <w:color w:val="000000"/>
        <w:sz w:val="20"/>
        <w:szCs w:val="20"/>
        <w:lang w:val="en-US"/>
      </w:rPr>
      <w:drawing>
        <wp:inline distT="0" distB="0" distL="0" distR="0" wp14:anchorId="71F7A041" wp14:editId="43CBCA1C">
          <wp:extent cx="2981325" cy="638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rsidR="00E77D4E" w:rsidRDefault="00E77D4E" w:rsidP="00E77D4E">
    <w:pPr>
      <w:spacing w:after="0" w:line="240" w:lineRule="auto"/>
      <w:rPr>
        <w:rFonts w:ascii="Times New Roman" w:hAnsi="Times New Roman"/>
        <w:sz w:val="20"/>
        <w:szCs w:val="20"/>
      </w:rPr>
    </w:pPr>
    <w:r w:rsidRPr="00487431">
      <w:rPr>
        <w:rFonts w:ascii="Times New Roman" w:hAnsi="Times New Roman"/>
        <w:sz w:val="20"/>
        <w:szCs w:val="20"/>
      </w:rPr>
      <w:t>Internal Audit and Investigation</w:t>
    </w:r>
    <w:r>
      <w:rPr>
        <w:rFonts w:ascii="Times New Roman" w:hAnsi="Times New Roman"/>
        <w:sz w:val="20"/>
        <w:szCs w:val="20"/>
      </w:rPr>
      <w:t>s</w:t>
    </w:r>
    <w:r w:rsidRPr="00487431">
      <w:rPr>
        <w:rFonts w:ascii="Times New Roman" w:hAnsi="Times New Roman"/>
        <w:sz w:val="20"/>
        <w:szCs w:val="20"/>
      </w:rPr>
      <w:t xml:space="preserve"> Group</w:t>
    </w:r>
  </w:p>
  <w:p w:rsidR="00CF0B73" w:rsidRPr="00E77D4E" w:rsidRDefault="00E77D4E" w:rsidP="00E77D4E">
    <w:pPr>
      <w:tabs>
        <w:tab w:val="right" w:pos="8505"/>
      </w:tabs>
      <w:spacing w:after="0" w:line="240" w:lineRule="auto"/>
      <w:rPr>
        <w:rFonts w:ascii="Times New Roman" w:hAnsi="Times New Roman"/>
        <w:b/>
        <w:sz w:val="20"/>
        <w:szCs w:val="20"/>
      </w:rPr>
    </w:pPr>
    <w:r w:rsidRPr="00487431">
      <w:rPr>
        <w:rFonts w:ascii="Times New Roman" w:hAnsi="Times New Roman"/>
        <w:b/>
        <w:sz w:val="20"/>
        <w:szCs w:val="20"/>
        <w:u w:val="single"/>
      </w:rPr>
      <w:t>IAIG Activity Report for 201</w:t>
    </w:r>
    <w:r>
      <w:rPr>
        <w:rFonts w:ascii="Times New Roman" w:hAnsi="Times New Roman"/>
        <w:b/>
        <w:sz w:val="20"/>
        <w:szCs w:val="20"/>
        <w:u w:val="single"/>
      </w:rPr>
      <w:t>6</w:t>
    </w:r>
    <w:r w:rsidR="00910F3F">
      <w:rPr>
        <w:rFonts w:ascii="Times New Roman" w:hAnsi="Times New Roman"/>
        <w:b/>
        <w:sz w:val="20"/>
        <w:szCs w:val="20"/>
      </w:rPr>
      <w:tab/>
      <w:t>Annex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C2D"/>
    <w:multiLevelType w:val="hybridMultilevel"/>
    <w:tmpl w:val="524E01D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D5038"/>
    <w:multiLevelType w:val="hybridMultilevel"/>
    <w:tmpl w:val="C11CCA2E"/>
    <w:lvl w:ilvl="0" w:tplc="2BEEA284">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31F95D76"/>
    <w:multiLevelType w:val="hybridMultilevel"/>
    <w:tmpl w:val="B7829948"/>
    <w:lvl w:ilvl="0" w:tplc="D9682526">
      <w:start w:val="1"/>
      <w:numFmt w:val="lowerLetter"/>
      <w:lvlText w:val="(%1)"/>
      <w:lvlJc w:val="left"/>
      <w:pPr>
        <w:ind w:left="1636" w:hanging="360"/>
      </w:pPr>
      <w:rPr>
        <w:rFonts w:ascii="Times New Roman" w:hAnsi="Times New Roman" w:cs="Times New Roman" w:hint="default"/>
        <w:sz w:val="20"/>
        <w:szCs w:val="2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5FAD3F1D"/>
    <w:multiLevelType w:val="hybridMultilevel"/>
    <w:tmpl w:val="125A8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13"/>
    <w:rsid w:val="00027D94"/>
    <w:rsid w:val="00036515"/>
    <w:rsid w:val="00066CA2"/>
    <w:rsid w:val="00087E45"/>
    <w:rsid w:val="000A79CC"/>
    <w:rsid w:val="000B1219"/>
    <w:rsid w:val="000B396F"/>
    <w:rsid w:val="000B49A7"/>
    <w:rsid w:val="000B4B5C"/>
    <w:rsid w:val="000C49C2"/>
    <w:rsid w:val="000D1D69"/>
    <w:rsid w:val="000D735E"/>
    <w:rsid w:val="00145D40"/>
    <w:rsid w:val="00152BF8"/>
    <w:rsid w:val="0019412A"/>
    <w:rsid w:val="001A6ECA"/>
    <w:rsid w:val="001B7AAA"/>
    <w:rsid w:val="001D0B13"/>
    <w:rsid w:val="001D41EF"/>
    <w:rsid w:val="001F7D9C"/>
    <w:rsid w:val="0022710D"/>
    <w:rsid w:val="00233663"/>
    <w:rsid w:val="00295A22"/>
    <w:rsid w:val="002A7457"/>
    <w:rsid w:val="002E2B86"/>
    <w:rsid w:val="002F588E"/>
    <w:rsid w:val="003019DB"/>
    <w:rsid w:val="00322A7A"/>
    <w:rsid w:val="00374F13"/>
    <w:rsid w:val="0038155D"/>
    <w:rsid w:val="003A479A"/>
    <w:rsid w:val="003C4BB5"/>
    <w:rsid w:val="003D0918"/>
    <w:rsid w:val="003D118C"/>
    <w:rsid w:val="003E6EF8"/>
    <w:rsid w:val="003E700A"/>
    <w:rsid w:val="004112AE"/>
    <w:rsid w:val="00412AB4"/>
    <w:rsid w:val="00413895"/>
    <w:rsid w:val="00450978"/>
    <w:rsid w:val="004B1029"/>
    <w:rsid w:val="004B6F7C"/>
    <w:rsid w:val="004D2538"/>
    <w:rsid w:val="004D5A88"/>
    <w:rsid w:val="004E22C0"/>
    <w:rsid w:val="004F2A15"/>
    <w:rsid w:val="005812F8"/>
    <w:rsid w:val="005B6D3A"/>
    <w:rsid w:val="005D6873"/>
    <w:rsid w:val="005F330D"/>
    <w:rsid w:val="00670324"/>
    <w:rsid w:val="006852D6"/>
    <w:rsid w:val="006A3A88"/>
    <w:rsid w:val="006A6481"/>
    <w:rsid w:val="00705F9E"/>
    <w:rsid w:val="00735565"/>
    <w:rsid w:val="0079360C"/>
    <w:rsid w:val="007E0451"/>
    <w:rsid w:val="007F615D"/>
    <w:rsid w:val="007F6349"/>
    <w:rsid w:val="0080307F"/>
    <w:rsid w:val="008138AA"/>
    <w:rsid w:val="00833534"/>
    <w:rsid w:val="00835EBC"/>
    <w:rsid w:val="00882905"/>
    <w:rsid w:val="00894C18"/>
    <w:rsid w:val="008E4CE9"/>
    <w:rsid w:val="008F1124"/>
    <w:rsid w:val="00910F3F"/>
    <w:rsid w:val="009C6207"/>
    <w:rsid w:val="009D2507"/>
    <w:rsid w:val="009D5736"/>
    <w:rsid w:val="009D7602"/>
    <w:rsid w:val="009E2A51"/>
    <w:rsid w:val="00A61393"/>
    <w:rsid w:val="00A646CB"/>
    <w:rsid w:val="00A83F5E"/>
    <w:rsid w:val="00B651D6"/>
    <w:rsid w:val="00BA700E"/>
    <w:rsid w:val="00BD2541"/>
    <w:rsid w:val="00C31E5A"/>
    <w:rsid w:val="00C41647"/>
    <w:rsid w:val="00C526BE"/>
    <w:rsid w:val="00C63751"/>
    <w:rsid w:val="00C65CAF"/>
    <w:rsid w:val="00C8097E"/>
    <w:rsid w:val="00CB26EE"/>
    <w:rsid w:val="00CB6EAC"/>
    <w:rsid w:val="00CD6B2F"/>
    <w:rsid w:val="00CF0B73"/>
    <w:rsid w:val="00D01B84"/>
    <w:rsid w:val="00D154D1"/>
    <w:rsid w:val="00D271BE"/>
    <w:rsid w:val="00D70BC1"/>
    <w:rsid w:val="00D7580F"/>
    <w:rsid w:val="00DF476A"/>
    <w:rsid w:val="00E070B7"/>
    <w:rsid w:val="00E119D5"/>
    <w:rsid w:val="00E60D81"/>
    <w:rsid w:val="00E77D4E"/>
    <w:rsid w:val="00EA251D"/>
    <w:rsid w:val="00ED23FA"/>
    <w:rsid w:val="00EE475C"/>
    <w:rsid w:val="00F83C37"/>
    <w:rsid w:val="00F87677"/>
    <w:rsid w:val="00F97024"/>
    <w:rsid w:val="00FE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34A3E-03EA-4EDF-BE41-4A1749F6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3"/>
  </w:style>
  <w:style w:type="paragraph" w:styleId="Footer">
    <w:name w:val="footer"/>
    <w:basedOn w:val="Normal"/>
    <w:link w:val="FooterChar"/>
    <w:uiPriority w:val="99"/>
    <w:unhideWhenUsed/>
    <w:rsid w:val="00CF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3"/>
  </w:style>
  <w:style w:type="paragraph" w:styleId="BalloonText">
    <w:name w:val="Balloon Text"/>
    <w:basedOn w:val="Normal"/>
    <w:link w:val="BalloonTextChar"/>
    <w:uiPriority w:val="99"/>
    <w:semiHidden/>
    <w:unhideWhenUsed/>
    <w:rsid w:val="00CF0B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0B73"/>
    <w:rPr>
      <w:rFonts w:ascii="Tahoma" w:hAnsi="Tahoma" w:cs="Tahoma"/>
      <w:sz w:val="16"/>
      <w:szCs w:val="16"/>
    </w:rPr>
  </w:style>
  <w:style w:type="character" w:styleId="CommentReference">
    <w:name w:val="annotation reference"/>
    <w:uiPriority w:val="99"/>
    <w:semiHidden/>
    <w:unhideWhenUsed/>
    <w:rsid w:val="003E700A"/>
    <w:rPr>
      <w:sz w:val="16"/>
      <w:szCs w:val="16"/>
    </w:rPr>
  </w:style>
  <w:style w:type="paragraph" w:styleId="CommentText">
    <w:name w:val="annotation text"/>
    <w:basedOn w:val="Normal"/>
    <w:link w:val="CommentTextChar"/>
    <w:uiPriority w:val="99"/>
    <w:semiHidden/>
    <w:unhideWhenUsed/>
    <w:rsid w:val="003E700A"/>
    <w:pPr>
      <w:spacing w:line="240" w:lineRule="auto"/>
    </w:pPr>
    <w:rPr>
      <w:sz w:val="20"/>
      <w:szCs w:val="20"/>
    </w:rPr>
  </w:style>
  <w:style w:type="character" w:customStyle="1" w:styleId="CommentTextChar">
    <w:name w:val="Comment Text Char"/>
    <w:link w:val="CommentText"/>
    <w:uiPriority w:val="99"/>
    <w:semiHidden/>
    <w:rsid w:val="003E700A"/>
    <w:rPr>
      <w:sz w:val="20"/>
      <w:szCs w:val="20"/>
    </w:rPr>
  </w:style>
  <w:style w:type="paragraph" w:styleId="CommentSubject">
    <w:name w:val="annotation subject"/>
    <w:basedOn w:val="CommentText"/>
    <w:next w:val="CommentText"/>
    <w:link w:val="CommentSubjectChar"/>
    <w:uiPriority w:val="99"/>
    <w:semiHidden/>
    <w:unhideWhenUsed/>
    <w:rsid w:val="003E700A"/>
    <w:rPr>
      <w:b/>
      <w:bCs/>
    </w:rPr>
  </w:style>
  <w:style w:type="character" w:customStyle="1" w:styleId="CommentSubjectChar">
    <w:name w:val="Comment Subject Char"/>
    <w:link w:val="CommentSubject"/>
    <w:uiPriority w:val="99"/>
    <w:semiHidden/>
    <w:rsid w:val="003E700A"/>
    <w:rPr>
      <w:b/>
      <w:bCs/>
      <w:sz w:val="20"/>
      <w:szCs w:val="20"/>
    </w:rPr>
  </w:style>
  <w:style w:type="paragraph" w:customStyle="1" w:styleId="Default">
    <w:name w:val="Default"/>
    <w:rsid w:val="00F876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0F3F"/>
    <w:pPr>
      <w:spacing w:after="0" w:line="240" w:lineRule="auto"/>
      <w:ind w:left="720"/>
      <w:contextualSpacing/>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910F3F"/>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910F3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910F3F"/>
    <w:rPr>
      <w:vertAlign w:val="superscript"/>
    </w:rPr>
  </w:style>
  <w:style w:type="table" w:customStyle="1" w:styleId="TableGrid2">
    <w:name w:val="Table Grid2"/>
    <w:basedOn w:val="TableNormal"/>
    <w:next w:val="TableGrid"/>
    <w:uiPriority w:val="39"/>
    <w:rsid w:val="00910F3F"/>
    <w:rPr>
      <w:rFonts w:ascii="Myriad Pro" w:hAnsi="Myriad Pro"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10F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5945">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5606681">
      <w:bodyDiv w:val="1"/>
      <w:marLeft w:val="0"/>
      <w:marRight w:val="0"/>
      <w:marTop w:val="0"/>
      <w:marBottom w:val="0"/>
      <w:divBdr>
        <w:top w:val="none" w:sz="0" w:space="0" w:color="auto"/>
        <w:left w:val="none" w:sz="0" w:space="0" w:color="auto"/>
        <w:bottom w:val="none" w:sz="0" w:space="0" w:color="auto"/>
        <w:right w:val="none" w:sz="0" w:space="0" w:color="auto"/>
      </w:divBdr>
    </w:div>
    <w:div w:id="18172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7D52-ECE9-4CB5-A9E3-71F52CD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KUMAR</dc:creator>
  <cp:lastModifiedBy>Svetlana Iazykova</cp:lastModifiedBy>
  <cp:revision>2</cp:revision>
  <dcterms:created xsi:type="dcterms:W3CDTF">2017-04-17T15:44:00Z</dcterms:created>
  <dcterms:modified xsi:type="dcterms:W3CDTF">2017-04-17T15:44:00Z</dcterms:modified>
</cp:coreProperties>
</file>