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87F5" w14:textId="77777777" w:rsidR="00846300" w:rsidRPr="0086661F" w:rsidRDefault="00984ED9">
      <w:pPr>
        <w:rPr>
          <w:rFonts w:ascii="Arial" w:hAnsi="Arial" w:cs="Arial"/>
          <w:b/>
        </w:rPr>
      </w:pPr>
      <w:bookmarkStart w:id="0" w:name="_GoBack"/>
      <w:bookmarkEnd w:id="0"/>
      <w:r w:rsidRPr="0086661F">
        <w:rPr>
          <w:rFonts w:ascii="Arial" w:hAnsi="Arial" w:cs="Arial"/>
          <w:b/>
        </w:rPr>
        <w:t>Partnership Framework for Sustainable Development 2019-2023</w:t>
      </w:r>
    </w:p>
    <w:p w14:paraId="0B93A630" w14:textId="77777777" w:rsidR="00984ED9" w:rsidRPr="0086661F" w:rsidRDefault="00984ED9">
      <w:pPr>
        <w:rPr>
          <w:rFonts w:ascii="Arial" w:hAnsi="Arial" w:cs="Arial"/>
        </w:rPr>
      </w:pPr>
      <w:r w:rsidRPr="0086661F">
        <w:rPr>
          <w:rFonts w:ascii="Arial" w:hAnsi="Arial" w:cs="Arial"/>
        </w:rPr>
        <w:t>Draft Results Framework</w:t>
      </w:r>
    </w:p>
    <w:p w14:paraId="3A5B2D4B" w14:textId="77777777" w:rsidR="00984ED9" w:rsidRPr="0086661F" w:rsidRDefault="00984ED9">
      <w:pPr>
        <w:rPr>
          <w:rFonts w:ascii="Arial" w:hAnsi="Arial" w:cs="Arial"/>
        </w:rPr>
      </w:pPr>
      <w:r w:rsidRPr="0086661F">
        <w:rPr>
          <w:rFonts w:ascii="Arial" w:hAnsi="Arial" w:cs="Arial"/>
        </w:rPr>
        <w:t>As of 25 April 2018</w:t>
      </w:r>
    </w:p>
    <w:p w14:paraId="56E57661" w14:textId="77777777" w:rsidR="00984ED9" w:rsidRPr="0086661F" w:rsidRDefault="00984ED9">
      <w:pPr>
        <w:rPr>
          <w:rFonts w:ascii="Arial" w:hAnsi="Arial" w:cs="Arial"/>
        </w:rPr>
      </w:pPr>
    </w:p>
    <w:tbl>
      <w:tblPr>
        <w:tblStyle w:val="TableGrid"/>
        <w:tblW w:w="0" w:type="auto"/>
        <w:jc w:val="center"/>
        <w:tblLook w:val="04A0" w:firstRow="1" w:lastRow="0" w:firstColumn="1" w:lastColumn="0" w:noHBand="0" w:noVBand="1"/>
      </w:tblPr>
      <w:tblGrid>
        <w:gridCol w:w="4493"/>
        <w:gridCol w:w="8457"/>
      </w:tblGrid>
      <w:tr w:rsidR="00984ED9" w:rsidRPr="0086661F" w14:paraId="4765ED10" w14:textId="77777777" w:rsidTr="00DE5489">
        <w:trPr>
          <w:trHeight w:val="312"/>
          <w:jc w:val="center"/>
        </w:trPr>
        <w:tc>
          <w:tcPr>
            <w:tcW w:w="4493" w:type="dxa"/>
            <w:shd w:val="clear" w:color="auto" w:fill="D9E2F3" w:themeFill="accent1" w:themeFillTint="33"/>
          </w:tcPr>
          <w:p w14:paraId="3BFB42CD" w14:textId="19C6A61F" w:rsidR="00984ED9" w:rsidRPr="0086661F" w:rsidRDefault="00432A25">
            <w:pPr>
              <w:rPr>
                <w:rFonts w:ascii="Arial" w:hAnsi="Arial" w:cs="Arial"/>
                <w:b/>
                <w:color w:val="000000" w:themeColor="text1"/>
                <w:sz w:val="22"/>
                <w:szCs w:val="22"/>
              </w:rPr>
            </w:pPr>
            <w:r w:rsidRPr="0086661F">
              <w:rPr>
                <w:rFonts w:ascii="Arial" w:hAnsi="Arial" w:cs="Arial"/>
                <w:b/>
                <w:color w:val="000000" w:themeColor="text1"/>
                <w:sz w:val="22"/>
                <w:szCs w:val="22"/>
              </w:rPr>
              <w:t xml:space="preserve">PFSD 2019-2023 </w:t>
            </w:r>
            <w:r w:rsidR="00984ED9" w:rsidRPr="0086661F">
              <w:rPr>
                <w:rFonts w:ascii="Arial" w:hAnsi="Arial" w:cs="Arial"/>
                <w:b/>
                <w:color w:val="000000" w:themeColor="text1"/>
                <w:sz w:val="22"/>
                <w:szCs w:val="22"/>
              </w:rPr>
              <w:t>Outcome Statement</w:t>
            </w:r>
            <w:r w:rsidRPr="0086661F">
              <w:rPr>
                <w:rFonts w:ascii="Arial" w:hAnsi="Arial" w:cs="Arial"/>
                <w:b/>
                <w:color w:val="000000" w:themeColor="text1"/>
                <w:sz w:val="22"/>
                <w:szCs w:val="22"/>
              </w:rPr>
              <w:t>s</w:t>
            </w:r>
          </w:p>
        </w:tc>
        <w:tc>
          <w:tcPr>
            <w:tcW w:w="8457" w:type="dxa"/>
            <w:shd w:val="clear" w:color="auto" w:fill="D9E2F3" w:themeFill="accent1" w:themeFillTint="33"/>
          </w:tcPr>
          <w:p w14:paraId="313E8AF7" w14:textId="77777777" w:rsidR="00984ED9" w:rsidRPr="0086661F" w:rsidRDefault="00984ED9">
            <w:pPr>
              <w:rPr>
                <w:rFonts w:ascii="Arial" w:hAnsi="Arial" w:cs="Arial"/>
                <w:b/>
                <w:color w:val="000000" w:themeColor="text1"/>
                <w:sz w:val="22"/>
                <w:szCs w:val="22"/>
              </w:rPr>
            </w:pPr>
            <w:r w:rsidRPr="0086661F">
              <w:rPr>
                <w:rFonts w:ascii="Arial" w:hAnsi="Arial" w:cs="Arial"/>
                <w:b/>
                <w:color w:val="000000" w:themeColor="text1"/>
                <w:sz w:val="22"/>
                <w:szCs w:val="22"/>
              </w:rPr>
              <w:t>Proposed Outcome Indicators</w:t>
            </w:r>
          </w:p>
        </w:tc>
      </w:tr>
      <w:tr w:rsidR="00984ED9" w:rsidRPr="0086661F" w14:paraId="4B0A3947" w14:textId="77777777" w:rsidTr="00414044">
        <w:trPr>
          <w:trHeight w:val="1751"/>
          <w:jc w:val="center"/>
        </w:trPr>
        <w:tc>
          <w:tcPr>
            <w:tcW w:w="4493" w:type="dxa"/>
          </w:tcPr>
          <w:p w14:paraId="2C4455A8" w14:textId="0D4C464D" w:rsidR="00606C8C" w:rsidRPr="0086661F" w:rsidRDefault="00984ED9">
            <w:pPr>
              <w:rPr>
                <w:rFonts w:ascii="Arial" w:hAnsi="Arial" w:cs="Arial"/>
                <w:color w:val="000000" w:themeColor="text1"/>
                <w:sz w:val="22"/>
                <w:szCs w:val="22"/>
              </w:rPr>
            </w:pPr>
            <w:r w:rsidRPr="0086661F">
              <w:rPr>
                <w:rFonts w:ascii="Arial" w:hAnsi="Arial" w:cs="Arial"/>
                <w:b/>
                <w:bCs/>
                <w:color w:val="000000" w:themeColor="text1"/>
                <w:sz w:val="22"/>
                <w:szCs w:val="22"/>
              </w:rPr>
              <w:t>Outcome 1</w:t>
            </w:r>
            <w:r w:rsidR="00E02BDE" w:rsidRPr="0086661F">
              <w:rPr>
                <w:rFonts w:ascii="Arial" w:hAnsi="Arial" w:cs="Arial"/>
                <w:b/>
                <w:bCs/>
                <w:color w:val="000000" w:themeColor="text1"/>
                <w:sz w:val="22"/>
                <w:szCs w:val="22"/>
              </w:rPr>
              <w:t xml:space="preserve"> (People)</w:t>
            </w:r>
            <w:r w:rsidRPr="0086661F">
              <w:rPr>
                <w:rFonts w:ascii="Arial" w:hAnsi="Arial" w:cs="Arial"/>
                <w:b/>
                <w:bCs/>
                <w:color w:val="000000" w:themeColor="text1"/>
                <w:sz w:val="22"/>
                <w:szCs w:val="22"/>
              </w:rPr>
              <w:t xml:space="preserve">: </w:t>
            </w:r>
            <w:r w:rsidRPr="0086661F">
              <w:rPr>
                <w:rFonts w:ascii="Arial" w:hAnsi="Arial" w:cs="Arial"/>
                <w:color w:val="000000" w:themeColor="text1"/>
                <w:sz w:val="22"/>
                <w:szCs w:val="22"/>
              </w:rPr>
              <w:t>The most marginalized, vulnerable, and at risk people and groups benefit from inclusive and quality services and live in a supportive environment wherein their nutrition, food security, and health are ensured/protected. </w:t>
            </w:r>
          </w:p>
        </w:tc>
        <w:tc>
          <w:tcPr>
            <w:tcW w:w="8457" w:type="dxa"/>
          </w:tcPr>
          <w:p w14:paraId="5DF8A228" w14:textId="77777777" w:rsidR="000D0E55" w:rsidRPr="0086661F" w:rsidRDefault="00984ED9"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Prevalence of stunting among children under 5 </w:t>
            </w:r>
          </w:p>
          <w:p w14:paraId="6713EEA0" w14:textId="77777777" w:rsidR="000D0E55" w:rsidRPr="0086661F" w:rsidRDefault="000D0E55"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Maternal Mortality Ratio</w:t>
            </w:r>
          </w:p>
          <w:p w14:paraId="40B40A49" w14:textId="77777777" w:rsidR="000D0E55" w:rsidRPr="0086661F" w:rsidRDefault="000D0E55"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Proportion of HH meeting the 100% recommended energy intake</w:t>
            </w:r>
          </w:p>
          <w:p w14:paraId="19C35448" w14:textId="77777777" w:rsidR="000D0E55" w:rsidRPr="0086661F" w:rsidRDefault="000D0E55"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Proportion of adolescents who have begun childbearing</w:t>
            </w:r>
          </w:p>
          <w:p w14:paraId="09129CAE" w14:textId="77777777" w:rsidR="000D0E55" w:rsidRPr="0086661F" w:rsidRDefault="00984ED9"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 xml:space="preserve">Contraceptive prevalence rate </w:t>
            </w:r>
            <w:r w:rsidR="000D0E55" w:rsidRPr="0086661F">
              <w:rPr>
                <w:rFonts w:ascii="Arial" w:hAnsi="Arial" w:cs="Arial"/>
                <w:color w:val="000000" w:themeColor="text1"/>
                <w:sz w:val="22"/>
                <w:szCs w:val="22"/>
              </w:rPr>
              <w:t>for modern family planning </w:t>
            </w:r>
          </w:p>
          <w:p w14:paraId="6B087BB6" w14:textId="77777777" w:rsidR="00984ED9" w:rsidRDefault="00984ED9" w:rsidP="000D0E55">
            <w:pPr>
              <w:pStyle w:val="ListParagraph"/>
              <w:numPr>
                <w:ilvl w:val="1"/>
                <w:numId w:val="2"/>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HIV incidence per 1,000 population </w:t>
            </w:r>
          </w:p>
          <w:p w14:paraId="54B7EC90" w14:textId="37873E86" w:rsidR="0021493E" w:rsidRDefault="0021493E" w:rsidP="000D0E55">
            <w:pPr>
              <w:pStyle w:val="ListParagraph"/>
              <w:numPr>
                <w:ilvl w:val="1"/>
                <w:numId w:val="2"/>
              </w:numPr>
              <w:ind w:left="645" w:hanging="645"/>
              <w:rPr>
                <w:rFonts w:ascii="Arial" w:hAnsi="Arial" w:cs="Arial"/>
                <w:color w:val="000000" w:themeColor="text1"/>
                <w:sz w:val="22"/>
                <w:szCs w:val="22"/>
              </w:rPr>
            </w:pPr>
            <w:r>
              <w:rPr>
                <w:rFonts w:ascii="Arial" w:hAnsi="Arial" w:cs="Arial"/>
                <w:color w:val="000000" w:themeColor="text1"/>
                <w:sz w:val="22"/>
                <w:szCs w:val="22"/>
              </w:rPr>
              <w:t>(</w:t>
            </w:r>
            <w:r w:rsidR="00446704" w:rsidRPr="004049B3">
              <w:rPr>
                <w:rFonts w:ascii="Arial" w:hAnsi="Arial" w:cs="Arial"/>
                <w:i/>
                <w:color w:val="000000" w:themeColor="text1"/>
                <w:sz w:val="22"/>
                <w:szCs w:val="22"/>
              </w:rPr>
              <w:t>Pending</w:t>
            </w:r>
            <w:r w:rsidRPr="004049B3">
              <w:rPr>
                <w:rFonts w:ascii="Arial" w:hAnsi="Arial" w:cs="Arial"/>
                <w:i/>
                <w:color w:val="000000" w:themeColor="text1"/>
                <w:sz w:val="22"/>
                <w:szCs w:val="22"/>
              </w:rPr>
              <w:t xml:space="preserve"> </w:t>
            </w:r>
            <w:r w:rsidR="00D25F13" w:rsidRPr="004049B3">
              <w:rPr>
                <w:rFonts w:ascii="Arial" w:hAnsi="Arial" w:cs="Arial"/>
                <w:i/>
                <w:color w:val="000000" w:themeColor="text1"/>
                <w:sz w:val="22"/>
                <w:szCs w:val="22"/>
              </w:rPr>
              <w:t>approval</w:t>
            </w:r>
            <w:r w:rsidRPr="00D25F13">
              <w:rPr>
                <w:rFonts w:ascii="Arial" w:hAnsi="Arial" w:cs="Arial"/>
                <w:color w:val="000000" w:themeColor="text1"/>
                <w:sz w:val="22"/>
                <w:szCs w:val="22"/>
              </w:rPr>
              <w:t>)</w:t>
            </w:r>
            <w:r>
              <w:rPr>
                <w:rFonts w:ascii="Arial" w:hAnsi="Arial" w:cs="Arial"/>
                <w:color w:val="000000" w:themeColor="text1"/>
                <w:sz w:val="22"/>
                <w:szCs w:val="22"/>
              </w:rPr>
              <w:t xml:space="preserve"> </w:t>
            </w:r>
            <w:r w:rsidRPr="0021493E">
              <w:rPr>
                <w:rFonts w:ascii="Arial" w:hAnsi="Arial" w:cs="Arial"/>
                <w:color w:val="000000" w:themeColor="text1"/>
                <w:sz w:val="22"/>
                <w:szCs w:val="22"/>
              </w:rPr>
              <w:t>Primary government expenditure to Gross Domestic Product ratio (%)</w:t>
            </w:r>
          </w:p>
          <w:p w14:paraId="7A7DE6BF" w14:textId="048A9D0F" w:rsidR="0021493E" w:rsidRPr="0086661F" w:rsidRDefault="0021493E" w:rsidP="0021493E">
            <w:pPr>
              <w:pStyle w:val="ListParagraph"/>
              <w:ind w:left="645"/>
              <w:rPr>
                <w:rFonts w:ascii="Arial" w:hAnsi="Arial" w:cs="Arial"/>
                <w:color w:val="000000" w:themeColor="text1"/>
                <w:sz w:val="22"/>
                <w:szCs w:val="22"/>
              </w:rPr>
            </w:pPr>
          </w:p>
        </w:tc>
      </w:tr>
      <w:tr w:rsidR="00984ED9" w:rsidRPr="0086661F" w14:paraId="47D98A71" w14:textId="77777777" w:rsidTr="00DE5489">
        <w:trPr>
          <w:jc w:val="center"/>
        </w:trPr>
        <w:tc>
          <w:tcPr>
            <w:tcW w:w="4493" w:type="dxa"/>
          </w:tcPr>
          <w:p w14:paraId="6244376D" w14:textId="7080D0BB" w:rsidR="00432A25" w:rsidRPr="0086661F" w:rsidRDefault="00E02BDE" w:rsidP="00984ED9">
            <w:pPr>
              <w:rPr>
                <w:rFonts w:ascii="Arial" w:hAnsi="Arial" w:cs="Arial"/>
                <w:color w:val="000000" w:themeColor="text1"/>
                <w:sz w:val="22"/>
                <w:szCs w:val="22"/>
              </w:rPr>
            </w:pPr>
            <w:r w:rsidRPr="0086661F">
              <w:rPr>
                <w:rFonts w:ascii="Arial" w:hAnsi="Arial" w:cs="Arial"/>
                <w:b/>
                <w:color w:val="000000" w:themeColor="text1"/>
                <w:sz w:val="22"/>
                <w:szCs w:val="22"/>
              </w:rPr>
              <w:t>Outcome 2 (Planet and Prosperity)</w:t>
            </w:r>
            <w:r w:rsidR="00984ED9" w:rsidRPr="0086661F">
              <w:rPr>
                <w:rFonts w:ascii="Arial" w:hAnsi="Arial" w:cs="Arial"/>
                <w:color w:val="000000" w:themeColor="text1"/>
                <w:sz w:val="22"/>
                <w:szCs w:val="22"/>
              </w:rPr>
              <w:t xml:space="preserve">: </w:t>
            </w:r>
            <w:proofErr w:type="spellStart"/>
            <w:r w:rsidR="00432A25" w:rsidRPr="0086661F">
              <w:rPr>
                <w:rFonts w:ascii="Arial" w:hAnsi="Arial" w:cs="Arial"/>
                <w:color w:val="000000" w:themeColor="text1"/>
                <w:sz w:val="22"/>
                <w:szCs w:val="22"/>
              </w:rPr>
              <w:t>Urbanisation</w:t>
            </w:r>
            <w:proofErr w:type="spellEnd"/>
            <w:r w:rsidR="00432A25" w:rsidRPr="0086661F">
              <w:rPr>
                <w:rFonts w:ascii="Arial" w:hAnsi="Arial" w:cs="Arial"/>
                <w:color w:val="000000" w:themeColor="text1"/>
                <w:sz w:val="22"/>
                <w:szCs w:val="22"/>
              </w:rPr>
              <w:t>, economic growth, and climate change actions are converging for a resilient, equitable, and sustainable development path for communities</w:t>
            </w:r>
          </w:p>
        </w:tc>
        <w:tc>
          <w:tcPr>
            <w:tcW w:w="8457" w:type="dxa"/>
          </w:tcPr>
          <w:p w14:paraId="717F0D85" w14:textId="77777777" w:rsidR="0086661F" w:rsidRDefault="00984ED9" w:rsidP="0086661F">
            <w:pPr>
              <w:pStyle w:val="ListParagraph"/>
              <w:numPr>
                <w:ilvl w:val="1"/>
                <w:numId w:val="4"/>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Proportion of local gov't that adopt and implement CC-DRR enhanced CLUPs and CDPs, LCCAPs and local disaster risk reduction strategies in line with national disaster risk reduction strategy </w:t>
            </w:r>
          </w:p>
          <w:p w14:paraId="59A6E407" w14:textId="77777777" w:rsidR="0086661F" w:rsidRDefault="00984ED9" w:rsidP="0086661F">
            <w:pPr>
              <w:pStyle w:val="ListParagraph"/>
              <w:numPr>
                <w:ilvl w:val="1"/>
                <w:numId w:val="4"/>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Share of jobs and industries adopting green technologies and practices t</w:t>
            </w:r>
            <w:r w:rsidR="000D0E55" w:rsidRPr="0086661F">
              <w:rPr>
                <w:rFonts w:ascii="Arial" w:hAnsi="Arial" w:cs="Arial"/>
                <w:color w:val="000000" w:themeColor="text1"/>
                <w:sz w:val="22"/>
                <w:szCs w:val="22"/>
              </w:rPr>
              <w:t>o total number of industries</w:t>
            </w:r>
          </w:p>
          <w:p w14:paraId="66B1E1B6" w14:textId="77777777" w:rsidR="0086661F" w:rsidRDefault="00984ED9" w:rsidP="0086661F">
            <w:pPr>
              <w:pStyle w:val="ListParagraph"/>
              <w:numPr>
                <w:ilvl w:val="1"/>
                <w:numId w:val="4"/>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GHG emissions per sector (million MT CO2e) (Energy, Industry, Agricultu</w:t>
            </w:r>
            <w:r w:rsidR="000D0E55" w:rsidRPr="0086661F">
              <w:rPr>
                <w:rFonts w:ascii="Arial" w:hAnsi="Arial" w:cs="Arial"/>
                <w:color w:val="000000" w:themeColor="text1"/>
                <w:sz w:val="22"/>
                <w:szCs w:val="22"/>
              </w:rPr>
              <w:t>re, LUCF, Waste, Transport) </w:t>
            </w:r>
          </w:p>
          <w:p w14:paraId="01A58F4B" w14:textId="77777777" w:rsidR="0086661F" w:rsidRDefault="00984ED9" w:rsidP="0086661F">
            <w:pPr>
              <w:pStyle w:val="ListParagraph"/>
              <w:numPr>
                <w:ilvl w:val="1"/>
                <w:numId w:val="4"/>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Area of important sites for biodiversity covered by protected areas, by ecosystem type </w:t>
            </w:r>
          </w:p>
          <w:p w14:paraId="051AF2D3" w14:textId="4776D7CF" w:rsidR="00F709DF" w:rsidRPr="0086661F" w:rsidRDefault="00F709DF" w:rsidP="0086661F">
            <w:pPr>
              <w:pStyle w:val="ListParagraph"/>
              <w:numPr>
                <w:ilvl w:val="1"/>
                <w:numId w:val="4"/>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Percent of total budget of agencies that respond to climate change adaptation and mitigation</w:t>
            </w:r>
          </w:p>
          <w:p w14:paraId="2FAAD5D1" w14:textId="77777777" w:rsidR="00984ED9" w:rsidRPr="0086661F" w:rsidRDefault="00984ED9" w:rsidP="00984ED9">
            <w:pPr>
              <w:rPr>
                <w:rFonts w:ascii="Arial" w:hAnsi="Arial" w:cs="Arial"/>
                <w:color w:val="000000" w:themeColor="text1"/>
                <w:sz w:val="22"/>
                <w:szCs w:val="22"/>
              </w:rPr>
            </w:pPr>
          </w:p>
        </w:tc>
      </w:tr>
      <w:tr w:rsidR="00984ED9" w:rsidRPr="0086661F" w14:paraId="2E85F025" w14:textId="77777777" w:rsidTr="00DE5489">
        <w:trPr>
          <w:jc w:val="center"/>
        </w:trPr>
        <w:tc>
          <w:tcPr>
            <w:tcW w:w="4493" w:type="dxa"/>
          </w:tcPr>
          <w:p w14:paraId="7FA0F0E1" w14:textId="18D48FD8" w:rsidR="00984ED9" w:rsidRPr="0086661F" w:rsidRDefault="00984ED9" w:rsidP="00984ED9">
            <w:pPr>
              <w:rPr>
                <w:rFonts w:ascii="Arial" w:hAnsi="Arial" w:cs="Arial"/>
                <w:color w:val="000000" w:themeColor="text1"/>
                <w:sz w:val="22"/>
                <w:szCs w:val="22"/>
              </w:rPr>
            </w:pPr>
            <w:r w:rsidRPr="0086661F">
              <w:rPr>
                <w:rFonts w:ascii="Arial" w:hAnsi="Arial" w:cs="Arial"/>
                <w:b/>
                <w:color w:val="000000" w:themeColor="text1"/>
                <w:sz w:val="22"/>
                <w:szCs w:val="22"/>
              </w:rPr>
              <w:t>Outcome 3</w:t>
            </w:r>
            <w:r w:rsidR="00E02BDE" w:rsidRPr="0086661F">
              <w:rPr>
                <w:rFonts w:ascii="Arial" w:hAnsi="Arial" w:cs="Arial"/>
                <w:b/>
                <w:color w:val="000000" w:themeColor="text1"/>
                <w:sz w:val="22"/>
                <w:szCs w:val="22"/>
              </w:rPr>
              <w:t xml:space="preserve"> (Peace)</w:t>
            </w:r>
            <w:r w:rsidRPr="0086661F">
              <w:rPr>
                <w:rFonts w:ascii="Arial" w:hAnsi="Arial" w:cs="Arial"/>
                <w:color w:val="000000" w:themeColor="text1"/>
                <w:sz w:val="22"/>
                <w:szCs w:val="22"/>
              </w:rPr>
              <w:t>: National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conflict-affected areas in Mindanao.</w:t>
            </w:r>
          </w:p>
          <w:p w14:paraId="5C45F427" w14:textId="77777777" w:rsidR="00984ED9" w:rsidRPr="0086661F" w:rsidRDefault="00984ED9">
            <w:pPr>
              <w:rPr>
                <w:rFonts w:ascii="Arial" w:hAnsi="Arial" w:cs="Arial"/>
                <w:color w:val="000000" w:themeColor="text1"/>
                <w:sz w:val="22"/>
                <w:szCs w:val="22"/>
              </w:rPr>
            </w:pPr>
          </w:p>
        </w:tc>
        <w:tc>
          <w:tcPr>
            <w:tcW w:w="8457" w:type="dxa"/>
          </w:tcPr>
          <w:p w14:paraId="2807DC01" w14:textId="77777777" w:rsidR="0086661F" w:rsidRDefault="00984ED9" w:rsidP="0086661F">
            <w:pPr>
              <w:pStyle w:val="ListParagraph"/>
              <w:numPr>
                <w:ilvl w:val="1"/>
                <w:numId w:val="6"/>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Percent of Filipinos with high tolera</w:t>
            </w:r>
            <w:r w:rsidR="000D0E55" w:rsidRPr="0086661F">
              <w:rPr>
                <w:rFonts w:ascii="Arial" w:hAnsi="Arial" w:cs="Arial"/>
                <w:color w:val="000000" w:themeColor="text1"/>
                <w:sz w:val="22"/>
                <w:szCs w:val="22"/>
              </w:rPr>
              <w:t>nce and respect for others </w:t>
            </w:r>
          </w:p>
          <w:p w14:paraId="11A05791" w14:textId="77777777" w:rsidR="0086661F" w:rsidRDefault="00984ED9" w:rsidP="0086661F">
            <w:pPr>
              <w:pStyle w:val="ListParagraph"/>
              <w:numPr>
                <w:ilvl w:val="1"/>
                <w:numId w:val="6"/>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Number of communities with effective mechanisms and platforms to address conflict and/or conflict-causing iss</w:t>
            </w:r>
            <w:r w:rsidR="000D0E55" w:rsidRPr="0086661F">
              <w:rPr>
                <w:rFonts w:ascii="Arial" w:hAnsi="Arial" w:cs="Arial"/>
                <w:color w:val="000000" w:themeColor="text1"/>
                <w:sz w:val="22"/>
                <w:szCs w:val="22"/>
              </w:rPr>
              <w:t>ues</w:t>
            </w:r>
          </w:p>
          <w:p w14:paraId="41C578E3" w14:textId="77777777" w:rsidR="0086661F" w:rsidRDefault="00984ED9" w:rsidP="0086661F">
            <w:pPr>
              <w:pStyle w:val="ListParagraph"/>
              <w:numPr>
                <w:ilvl w:val="1"/>
                <w:numId w:val="6"/>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Extent to which marginalized groups perceive themselves as participating meaningfully in decisions on governance and peacebuilding, by group (women, persons with disabilities, poor, indigenous people, youth, se</w:t>
            </w:r>
            <w:r w:rsidR="000D0E55" w:rsidRPr="0086661F">
              <w:rPr>
                <w:rFonts w:ascii="Arial" w:hAnsi="Arial" w:cs="Arial"/>
                <w:color w:val="000000" w:themeColor="text1"/>
                <w:sz w:val="22"/>
                <w:szCs w:val="22"/>
              </w:rPr>
              <w:t>nior citizens, minorities) </w:t>
            </w:r>
          </w:p>
          <w:p w14:paraId="6045575B" w14:textId="77777777" w:rsidR="0086661F" w:rsidRDefault="00984ED9" w:rsidP="0086661F">
            <w:pPr>
              <w:pStyle w:val="ListParagraph"/>
              <w:numPr>
                <w:ilvl w:val="1"/>
                <w:numId w:val="6"/>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Percentage of barangays with displacement</w:t>
            </w:r>
            <w:r w:rsidR="000D0E55" w:rsidRPr="0086661F">
              <w:rPr>
                <w:rFonts w:ascii="Arial" w:hAnsi="Arial" w:cs="Arial"/>
                <w:color w:val="000000" w:themeColor="text1"/>
                <w:sz w:val="22"/>
                <w:szCs w:val="22"/>
              </w:rPr>
              <w:t xml:space="preserve"> linked to violent conflict</w:t>
            </w:r>
          </w:p>
          <w:p w14:paraId="02B4654C" w14:textId="5F3517AC" w:rsidR="00984ED9" w:rsidRPr="0086661F" w:rsidRDefault="00984ED9" w:rsidP="0086661F">
            <w:pPr>
              <w:pStyle w:val="ListParagraph"/>
              <w:numPr>
                <w:ilvl w:val="1"/>
                <w:numId w:val="6"/>
              </w:numPr>
              <w:ind w:left="645" w:hanging="645"/>
              <w:rPr>
                <w:rFonts w:ascii="Arial" w:hAnsi="Arial" w:cs="Arial"/>
                <w:color w:val="000000" w:themeColor="text1"/>
                <w:sz w:val="22"/>
                <w:szCs w:val="22"/>
              </w:rPr>
            </w:pPr>
            <w:r w:rsidRPr="0086661F">
              <w:rPr>
                <w:rFonts w:ascii="Arial" w:hAnsi="Arial" w:cs="Arial"/>
                <w:color w:val="000000" w:themeColor="text1"/>
                <w:sz w:val="22"/>
                <w:szCs w:val="22"/>
              </w:rPr>
              <w:t>Percentage of barangays with displacement linked to violent conflict that achieved durable solutions to address displacement</w:t>
            </w:r>
          </w:p>
          <w:p w14:paraId="5D9EC204" w14:textId="77777777" w:rsidR="00984ED9" w:rsidRPr="0086661F" w:rsidRDefault="00984ED9">
            <w:pPr>
              <w:rPr>
                <w:rFonts w:ascii="Arial" w:hAnsi="Arial" w:cs="Arial"/>
                <w:color w:val="000000" w:themeColor="text1"/>
                <w:sz w:val="22"/>
                <w:szCs w:val="22"/>
              </w:rPr>
            </w:pPr>
          </w:p>
        </w:tc>
      </w:tr>
    </w:tbl>
    <w:p w14:paraId="635A7A01" w14:textId="6C9F0A88" w:rsidR="00984ED9" w:rsidRPr="00B462AF" w:rsidRDefault="00984ED9">
      <w:pPr>
        <w:rPr>
          <w:rFonts w:ascii="Calibri" w:hAnsi="Calibri"/>
        </w:rPr>
      </w:pPr>
    </w:p>
    <w:sectPr w:rsidR="00984ED9" w:rsidRPr="00B462AF" w:rsidSect="0021493E">
      <w:pgSz w:w="15840" w:h="12240" w:orient="landscape"/>
      <w:pgMar w:top="1076" w:right="1440" w:bottom="10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5A1"/>
    <w:multiLevelType w:val="multilevel"/>
    <w:tmpl w:val="A8E6F91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794665A"/>
    <w:multiLevelType w:val="hybridMultilevel"/>
    <w:tmpl w:val="B792DBB0"/>
    <w:lvl w:ilvl="0" w:tplc="72FA70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927A6"/>
    <w:multiLevelType w:val="hybridMultilevel"/>
    <w:tmpl w:val="94C0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74B1"/>
    <w:multiLevelType w:val="multilevel"/>
    <w:tmpl w:val="0AAA91F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C34719B"/>
    <w:multiLevelType w:val="multilevel"/>
    <w:tmpl w:val="18DE537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02950A8"/>
    <w:multiLevelType w:val="hybridMultilevel"/>
    <w:tmpl w:val="F2309BA4"/>
    <w:lvl w:ilvl="0" w:tplc="2B1AFD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9"/>
    <w:rsid w:val="000D0E55"/>
    <w:rsid w:val="001E7584"/>
    <w:rsid w:val="0021493E"/>
    <w:rsid w:val="004049B3"/>
    <w:rsid w:val="00414044"/>
    <w:rsid w:val="00432A25"/>
    <w:rsid w:val="00446704"/>
    <w:rsid w:val="00606C8C"/>
    <w:rsid w:val="0065711C"/>
    <w:rsid w:val="0076233B"/>
    <w:rsid w:val="0086661F"/>
    <w:rsid w:val="00984ED9"/>
    <w:rsid w:val="009E703C"/>
    <w:rsid w:val="00A63AC9"/>
    <w:rsid w:val="00B462AF"/>
    <w:rsid w:val="00BB748F"/>
    <w:rsid w:val="00C07D46"/>
    <w:rsid w:val="00C91B2A"/>
    <w:rsid w:val="00D003F0"/>
    <w:rsid w:val="00D25F13"/>
    <w:rsid w:val="00DD046C"/>
    <w:rsid w:val="00DE5489"/>
    <w:rsid w:val="00E02BDE"/>
    <w:rsid w:val="00E44B0B"/>
    <w:rsid w:val="00F7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3F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7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Theresia Valera Co</dc:creator>
  <cp:keywords/>
  <dc:description/>
  <cp:lastModifiedBy>Svetlana Iazykova</cp:lastModifiedBy>
  <cp:revision>2</cp:revision>
  <dcterms:created xsi:type="dcterms:W3CDTF">2018-05-16T14:52:00Z</dcterms:created>
  <dcterms:modified xsi:type="dcterms:W3CDTF">2018-05-16T14:52:00Z</dcterms:modified>
</cp:coreProperties>
</file>